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62A387" w14:textId="77777777" w:rsidR="00E531FE" w:rsidRDefault="00822791">
      <w:pPr>
        <w:rPr>
          <w:rFonts w:ascii="Avenir Book" w:hAnsi="Avenir Book"/>
        </w:rPr>
      </w:pPr>
      <w:r>
        <w:rPr>
          <w:rFonts w:ascii="Avenir Book" w:hAnsi="Avenir Book"/>
        </w:rPr>
        <w:t xml:space="preserve">Whither digital humanities? </w:t>
      </w:r>
      <w:r w:rsidR="00D46419">
        <w:rPr>
          <w:rFonts w:ascii="Avenir Book" w:hAnsi="Avenir Book"/>
        </w:rPr>
        <w:t xml:space="preserve">As scholars in the humanities turn ever more to new technologies </w:t>
      </w:r>
      <w:r w:rsidR="00E531FE">
        <w:rPr>
          <w:rFonts w:ascii="Avenir Book" w:hAnsi="Avenir Book"/>
        </w:rPr>
        <w:t>to advance</w:t>
      </w:r>
      <w:r w:rsidR="00D46419">
        <w:rPr>
          <w:rFonts w:ascii="Avenir Book" w:hAnsi="Avenir Book"/>
        </w:rPr>
        <w:t xml:space="preserve"> their research and</w:t>
      </w:r>
      <w:r w:rsidR="00E531FE">
        <w:rPr>
          <w:rFonts w:ascii="Avenir Book" w:hAnsi="Avenir Book"/>
        </w:rPr>
        <w:t xml:space="preserve"> </w:t>
      </w:r>
      <w:r w:rsidR="00D46419">
        <w:rPr>
          <w:rFonts w:ascii="Avenir Book" w:hAnsi="Avenir Book"/>
        </w:rPr>
        <w:t>publication</w:t>
      </w:r>
      <w:r w:rsidR="00E531FE">
        <w:rPr>
          <w:rFonts w:ascii="Avenir Book" w:hAnsi="Avenir Book"/>
        </w:rPr>
        <w:t>s</w:t>
      </w:r>
      <w:r w:rsidR="00D46419">
        <w:rPr>
          <w:rFonts w:ascii="Avenir Book" w:hAnsi="Avenir Book"/>
        </w:rPr>
        <w:t>,</w:t>
      </w:r>
      <w:r w:rsidR="009E4F2C">
        <w:rPr>
          <w:rFonts w:ascii="Avenir Book" w:hAnsi="Avenir Book"/>
        </w:rPr>
        <w:t xml:space="preserve"> the academy </w:t>
      </w:r>
      <w:r w:rsidR="00E531FE">
        <w:rPr>
          <w:rFonts w:ascii="Avenir Book" w:hAnsi="Avenir Book"/>
        </w:rPr>
        <w:t>now needs to formulate (and formalize) questions about where the field is going.</w:t>
      </w:r>
      <w:r w:rsidR="00D46419">
        <w:rPr>
          <w:rFonts w:ascii="Avenir Book" w:hAnsi="Avenir Book"/>
        </w:rPr>
        <w:t xml:space="preserve"> </w:t>
      </w:r>
      <w:r w:rsidR="00E531FE">
        <w:rPr>
          <w:rFonts w:ascii="Avenir Book" w:hAnsi="Avenir Book"/>
        </w:rPr>
        <w:t xml:space="preserve">At their last meeting of the winter quarter, CESTA’s Digital Humanities Fellows had a conversation about the systems of value and evaluations that are being made to assess dh projects. </w:t>
      </w:r>
    </w:p>
    <w:p w14:paraId="76284283" w14:textId="77777777" w:rsidR="00E531FE" w:rsidRDefault="00E531FE">
      <w:pPr>
        <w:rPr>
          <w:rFonts w:ascii="Avenir Book" w:hAnsi="Avenir Book"/>
        </w:rPr>
      </w:pPr>
    </w:p>
    <w:p w14:paraId="018C9EF1" w14:textId="77777777" w:rsidR="00E531FE" w:rsidRDefault="00E531FE">
      <w:pPr>
        <w:rPr>
          <w:rFonts w:ascii="Avenir Book" w:hAnsi="Avenir Book"/>
        </w:rPr>
      </w:pPr>
      <w:r>
        <w:rPr>
          <w:rFonts w:ascii="Avenir Book" w:hAnsi="Avenir Book"/>
        </w:rPr>
        <w:t xml:space="preserve">The most salient points of conversation concerned the more fractious nature of judging digital projects, its implications for the traditional single-author monograph, and the effects of such projects on the role of the humanities to two constituencies: the academy and the public. </w:t>
      </w:r>
    </w:p>
    <w:p w14:paraId="0ABA4711" w14:textId="77777777" w:rsidR="00E531FE" w:rsidRDefault="00E531FE">
      <w:pPr>
        <w:rPr>
          <w:rFonts w:ascii="Avenir Book" w:hAnsi="Avenir Book"/>
        </w:rPr>
      </w:pPr>
    </w:p>
    <w:p w14:paraId="2744FD8B" w14:textId="77777777" w:rsidR="00DE6CA2" w:rsidRDefault="00E531FE">
      <w:pPr>
        <w:rPr>
          <w:rFonts w:ascii="Avenir Book" w:hAnsi="Avenir Book"/>
        </w:rPr>
      </w:pPr>
      <w:r>
        <w:rPr>
          <w:rFonts w:ascii="Avenir Book" w:hAnsi="Avenir Book"/>
        </w:rPr>
        <w:t xml:space="preserve">The further humanists venture with digital tools, the more they enter the realm of experts in other fields. </w:t>
      </w:r>
      <w:r w:rsidR="00DE6CA2">
        <w:rPr>
          <w:rFonts w:ascii="Avenir Book" w:hAnsi="Avenir Book"/>
        </w:rPr>
        <w:t xml:space="preserve">A book review might critique the format of a publication, but its </w:t>
      </w:r>
      <w:r w:rsidR="00DE6CA2" w:rsidRPr="00DE6CA2">
        <w:rPr>
          <w:rFonts w:ascii="Avenir Book" w:hAnsi="Avenir Book"/>
          <w:i/>
        </w:rPr>
        <w:t xml:space="preserve">raison </w:t>
      </w:r>
      <w:proofErr w:type="spellStart"/>
      <w:r w:rsidR="00DE6CA2" w:rsidRPr="00DE6CA2">
        <w:rPr>
          <w:rFonts w:ascii="Avenir Book" w:hAnsi="Avenir Book"/>
          <w:i/>
        </w:rPr>
        <w:t>d’etre</w:t>
      </w:r>
      <w:proofErr w:type="spellEnd"/>
      <w:r w:rsidR="00DE6CA2">
        <w:rPr>
          <w:rFonts w:ascii="Avenir Book" w:hAnsi="Avenir Book"/>
        </w:rPr>
        <w:t xml:space="preserve"> is to assess issues of content like quality of research and argumentation, or contributions to the field writ large; a single reader with kno</w:t>
      </w:r>
      <w:r w:rsidR="00885623">
        <w:rPr>
          <w:rFonts w:ascii="Avenir Book" w:hAnsi="Avenir Book"/>
        </w:rPr>
        <w:t xml:space="preserve">wledge of the subject field fulfills this essential form of “peer review.” </w:t>
      </w:r>
      <w:r w:rsidR="00DE6CA2">
        <w:rPr>
          <w:rFonts w:ascii="Avenir Book" w:hAnsi="Avenir Book"/>
        </w:rPr>
        <w:t xml:space="preserve"> </w:t>
      </w:r>
    </w:p>
    <w:p w14:paraId="1CBF7C7A" w14:textId="77777777" w:rsidR="00DE6CA2" w:rsidRDefault="00DE6CA2">
      <w:pPr>
        <w:rPr>
          <w:rFonts w:ascii="Avenir Book" w:hAnsi="Avenir Book"/>
        </w:rPr>
      </w:pPr>
    </w:p>
    <w:p w14:paraId="79170E46" w14:textId="77777777" w:rsidR="00C470FA" w:rsidRDefault="00DE6CA2">
      <w:pPr>
        <w:rPr>
          <w:rFonts w:ascii="Avenir Book" w:hAnsi="Avenir Book"/>
        </w:rPr>
      </w:pPr>
      <w:r>
        <w:rPr>
          <w:rFonts w:ascii="Avenir Book" w:hAnsi="Avenir Book"/>
        </w:rPr>
        <w:t xml:space="preserve">Not so with projects that support traditional research with complicated digital architectures. Take </w:t>
      </w:r>
      <w:hyperlink r:id="rId6" w:history="1">
        <w:r w:rsidRPr="00B67E2B">
          <w:rPr>
            <w:rStyle w:val="Hyperlink"/>
            <w:rFonts w:ascii="Avenir Book" w:hAnsi="Avenir Book"/>
            <w:i/>
          </w:rPr>
          <w:t>Enchanting the Desert</w:t>
        </w:r>
      </w:hyperlink>
      <w:r>
        <w:rPr>
          <w:rFonts w:ascii="Avenir Book" w:hAnsi="Avenir Book"/>
        </w:rPr>
        <w:t xml:space="preserve">, the first born-digital, peer-reviewed monograph to be published by Stanford University Press, in which scholars, librarians, and designers worked together to create a work of digital scholarship from the ground up. </w:t>
      </w:r>
      <w:r w:rsidR="00885623">
        <w:rPr>
          <w:rFonts w:ascii="Avenir Book" w:hAnsi="Avenir Book"/>
        </w:rPr>
        <w:t>As Nicole Coleman, Research Director of the Humanities + Design Lab pointed out, a</w:t>
      </w:r>
      <w:r>
        <w:rPr>
          <w:rFonts w:ascii="Avenir Book" w:hAnsi="Avenir Book"/>
        </w:rPr>
        <w:t xml:space="preserve"> credible review of such a digital project must come to resemble the collaborative composition </w:t>
      </w:r>
      <w:r w:rsidR="00885623">
        <w:rPr>
          <w:rFonts w:ascii="Avenir Book" w:hAnsi="Avenir Book"/>
        </w:rPr>
        <w:t>of that project itself.</w:t>
      </w:r>
      <w:r>
        <w:rPr>
          <w:rFonts w:ascii="Avenir Book" w:hAnsi="Avenir Book"/>
        </w:rPr>
        <w:t xml:space="preserve"> </w:t>
      </w:r>
      <w:r w:rsidR="00885623">
        <w:rPr>
          <w:rFonts w:ascii="Avenir Book" w:hAnsi="Avenir Book"/>
        </w:rPr>
        <w:t>A</w:t>
      </w:r>
      <w:r>
        <w:rPr>
          <w:rFonts w:ascii="Avenir Book" w:hAnsi="Avenir Book"/>
        </w:rPr>
        <w:t xml:space="preserve"> scholar </w:t>
      </w:r>
      <w:r w:rsidR="00885623">
        <w:rPr>
          <w:rFonts w:ascii="Avenir Book" w:hAnsi="Avenir Book"/>
        </w:rPr>
        <w:t>might review</w:t>
      </w:r>
      <w:r>
        <w:rPr>
          <w:rFonts w:ascii="Avenir Book" w:hAnsi="Avenir Book"/>
        </w:rPr>
        <w:t xml:space="preserve"> content, a librarian </w:t>
      </w:r>
      <w:r w:rsidR="00885623">
        <w:rPr>
          <w:rFonts w:ascii="Avenir Book" w:hAnsi="Avenir Book"/>
        </w:rPr>
        <w:t>the</w:t>
      </w:r>
      <w:r>
        <w:rPr>
          <w:rFonts w:ascii="Avenir Book" w:hAnsi="Avenir Book"/>
        </w:rPr>
        <w:t xml:space="preserve"> access and </w:t>
      </w:r>
      <w:proofErr w:type="spellStart"/>
      <w:r>
        <w:rPr>
          <w:rFonts w:ascii="Avenir Book" w:hAnsi="Avenir Book"/>
        </w:rPr>
        <w:t>archivability</w:t>
      </w:r>
      <w:proofErr w:type="spellEnd"/>
      <w:r w:rsidR="00885623">
        <w:rPr>
          <w:rFonts w:ascii="Avenir Book" w:hAnsi="Avenir Book"/>
        </w:rPr>
        <w:t xml:space="preserve"> of the project, while </w:t>
      </w:r>
      <w:r>
        <w:rPr>
          <w:rFonts w:ascii="Avenir Book" w:hAnsi="Avenir Book"/>
        </w:rPr>
        <w:t xml:space="preserve">a designer </w:t>
      </w:r>
      <w:r w:rsidR="00885623">
        <w:rPr>
          <w:rFonts w:ascii="Avenir Book" w:hAnsi="Avenir Book"/>
        </w:rPr>
        <w:t>could account</w:t>
      </w:r>
      <w:r>
        <w:rPr>
          <w:rFonts w:ascii="Avenir Book" w:hAnsi="Avenir Book"/>
        </w:rPr>
        <w:t xml:space="preserve"> for the feel and interaction of the platform. </w:t>
      </w:r>
    </w:p>
    <w:p w14:paraId="048B9399" w14:textId="77777777" w:rsidR="00C470FA" w:rsidRDefault="00C470FA">
      <w:pPr>
        <w:rPr>
          <w:rFonts w:ascii="Avenir Book" w:hAnsi="Avenir Book"/>
        </w:rPr>
      </w:pPr>
    </w:p>
    <w:p w14:paraId="79AA0FB2" w14:textId="77777777" w:rsidR="00DE6CA2" w:rsidRDefault="00DE6CA2">
      <w:pPr>
        <w:rPr>
          <w:rFonts w:ascii="Avenir Book" w:hAnsi="Avenir Book"/>
        </w:rPr>
      </w:pPr>
      <w:r>
        <w:rPr>
          <w:rFonts w:ascii="Avenir Book" w:hAnsi="Avenir Book"/>
        </w:rPr>
        <w:t>What sort of provisions have been put in place for such</w:t>
      </w:r>
      <w:r w:rsidR="00C470FA">
        <w:rPr>
          <w:rFonts w:ascii="Avenir Book" w:hAnsi="Avenir Book"/>
        </w:rPr>
        <w:t xml:space="preserve"> multivariable</w:t>
      </w:r>
      <w:r>
        <w:rPr>
          <w:rFonts w:ascii="Avenir Book" w:hAnsi="Avenir Book"/>
        </w:rPr>
        <w:t xml:space="preserve"> ju</w:t>
      </w:r>
      <w:r w:rsidR="00C470FA">
        <w:rPr>
          <w:rFonts w:ascii="Avenir Book" w:hAnsi="Avenir Book"/>
        </w:rPr>
        <w:t xml:space="preserve">dgments, ones that can and should factor in major career assessments like fellowships, hiring, and tenure? Standards are arriving. As of February 2016, my own field of art and architecture history has just released the </w:t>
      </w:r>
      <w:hyperlink r:id="rId7" w:history="1">
        <w:r w:rsidR="00C470FA" w:rsidRPr="00885623">
          <w:rPr>
            <w:rStyle w:val="Hyperlink"/>
            <w:rFonts w:ascii="Avenir Book" w:hAnsi="Avenir Book"/>
          </w:rPr>
          <w:t>first discipline-wide guidelines</w:t>
        </w:r>
      </w:hyperlink>
      <w:r w:rsidR="00C470FA">
        <w:rPr>
          <w:rFonts w:ascii="Avenir Book" w:hAnsi="Avenir Book"/>
        </w:rPr>
        <w:t xml:space="preserve"> </w:t>
      </w:r>
      <w:r w:rsidR="00885623">
        <w:rPr>
          <w:rFonts w:ascii="Avenir Book" w:hAnsi="Avenir Book"/>
        </w:rPr>
        <w:t>for the evaluation of such digital scholarship. While the document – which was written by a task force including some of the best practitioners of DH projects in the field – does well to acknowledge the different levels of contribution and access that should go into account, the bias is clearly towards “big data” projects, ones that</w:t>
      </w:r>
      <w:r w:rsidR="00DB7702">
        <w:rPr>
          <w:rFonts w:ascii="Avenir Book" w:hAnsi="Avenir Book"/>
        </w:rPr>
        <w:t xml:space="preserve"> </w:t>
      </w:r>
      <w:r w:rsidR="003D5C49">
        <w:rPr>
          <w:rFonts w:ascii="Avenir Book" w:hAnsi="Avenir Book"/>
        </w:rPr>
        <w:t>harvest and digest large quantities historical information</w:t>
      </w:r>
      <w:r w:rsidR="00DB7702">
        <w:rPr>
          <w:rFonts w:ascii="Avenir Book" w:hAnsi="Avenir Book"/>
        </w:rPr>
        <w:t>.</w:t>
      </w:r>
      <w:r w:rsidR="003D5C49">
        <w:rPr>
          <w:rFonts w:ascii="Avenir Book" w:hAnsi="Avenir Book"/>
        </w:rPr>
        <w:t xml:space="preserve"> Computational criticism, therefore, seems to be at the top of the dh pecking order. </w:t>
      </w:r>
    </w:p>
    <w:p w14:paraId="0C292BEF" w14:textId="77777777" w:rsidR="00DB7702" w:rsidRDefault="00DB7702">
      <w:pPr>
        <w:rPr>
          <w:rFonts w:ascii="Avenir Book" w:hAnsi="Avenir Book"/>
        </w:rPr>
      </w:pPr>
    </w:p>
    <w:p w14:paraId="22872480" w14:textId="77777777" w:rsidR="00DB7702" w:rsidRDefault="00A96359">
      <w:pPr>
        <w:rPr>
          <w:rFonts w:ascii="Avenir Book" w:hAnsi="Avenir Book"/>
        </w:rPr>
      </w:pPr>
      <w:r>
        <w:rPr>
          <w:rFonts w:ascii="Avenir Book" w:hAnsi="Avenir Book"/>
        </w:rPr>
        <w:lastRenderedPageBreak/>
        <w:t>P</w:t>
      </w:r>
      <w:r w:rsidR="00DB7702">
        <w:rPr>
          <w:rFonts w:ascii="Avenir Book" w:hAnsi="Avenir Book"/>
        </w:rPr>
        <w:t>rojects</w:t>
      </w:r>
      <w:r>
        <w:rPr>
          <w:rFonts w:ascii="Avenir Book" w:hAnsi="Avenir Book"/>
        </w:rPr>
        <w:t xml:space="preserve"> so large</w:t>
      </w:r>
      <w:r w:rsidR="00DB7702">
        <w:rPr>
          <w:rFonts w:ascii="Avenir Book" w:hAnsi="Avenir Book"/>
        </w:rPr>
        <w:t xml:space="preserve"> cannot be not the task of the author alone. Writing, that solitary calling of </w:t>
      </w:r>
      <w:r>
        <w:rPr>
          <w:rFonts w:ascii="Avenir Book" w:hAnsi="Avenir Book"/>
        </w:rPr>
        <w:t>the scholar, now cedes time to</w:t>
      </w:r>
      <w:r w:rsidR="00DB7702">
        <w:rPr>
          <w:rFonts w:ascii="Avenir Book" w:hAnsi="Avenir Book"/>
        </w:rPr>
        <w:t xml:space="preserve"> strategy meetings, design critiques, real-time editing sessions.</w:t>
      </w:r>
      <w:r>
        <w:rPr>
          <w:rFonts w:ascii="Avenir Book" w:hAnsi="Avenir Book"/>
        </w:rPr>
        <w:t xml:space="preserve"> Make no mistake: this constitu</w:t>
      </w:r>
      <w:bookmarkStart w:id="0" w:name="_GoBack"/>
      <w:bookmarkEnd w:id="0"/>
      <w:r>
        <w:rPr>
          <w:rFonts w:ascii="Avenir Book" w:hAnsi="Avenir Book"/>
        </w:rPr>
        <w:t>tes a significant change in the way scholarship is formed, along w</w:t>
      </w:r>
      <w:r w:rsidR="00BB2155">
        <w:rPr>
          <w:rFonts w:ascii="Avenir Book" w:hAnsi="Avenir Book"/>
        </w:rPr>
        <w:t>ith the ideologies that produce it</w:t>
      </w:r>
      <w:r>
        <w:rPr>
          <w:rFonts w:ascii="Avenir Book" w:hAnsi="Avenir Book"/>
        </w:rPr>
        <w:t>.</w:t>
      </w:r>
      <w:r w:rsidR="00DB7702">
        <w:rPr>
          <w:rFonts w:ascii="Avenir Book" w:hAnsi="Avenir Book"/>
        </w:rPr>
        <w:t xml:space="preserve"> </w:t>
      </w:r>
      <w:r>
        <w:rPr>
          <w:rFonts w:ascii="Avenir Book" w:hAnsi="Avenir Book"/>
        </w:rPr>
        <w:t xml:space="preserve">On the face of it, </w:t>
      </w:r>
      <w:r w:rsidR="00BB2155">
        <w:rPr>
          <w:rFonts w:ascii="Avenir Book" w:hAnsi="Avenir Book"/>
        </w:rPr>
        <w:t>such</w:t>
      </w:r>
      <w:r>
        <w:rPr>
          <w:rFonts w:ascii="Avenir Book" w:hAnsi="Avenir Book"/>
        </w:rPr>
        <w:t xml:space="preserve"> change </w:t>
      </w:r>
      <w:r w:rsidR="00BB2155">
        <w:rPr>
          <w:rFonts w:ascii="Avenir Book" w:hAnsi="Avenir Book"/>
        </w:rPr>
        <w:t>threatens the</w:t>
      </w:r>
      <w:r>
        <w:rPr>
          <w:rFonts w:ascii="Avenir Book" w:hAnsi="Avenir Book"/>
        </w:rPr>
        <w:t xml:space="preserve"> clarity of voice that can come through a single </w:t>
      </w:r>
      <w:r w:rsidR="00BB2155">
        <w:rPr>
          <w:rFonts w:ascii="Avenir Book" w:hAnsi="Avenir Book"/>
        </w:rPr>
        <w:t>author text</w:t>
      </w:r>
      <w:r>
        <w:rPr>
          <w:rFonts w:ascii="Avenir Book" w:hAnsi="Avenir Book"/>
        </w:rPr>
        <w:t xml:space="preserve">. But it is also a potential boon for publishing in the humanities; by moving towards the multi-author model that defines the sciences, humanities scholars can now share the success for (and weather the critique of) their publications. In a time of perish or publish, acknowledging this kind of work could </w:t>
      </w:r>
      <w:r w:rsidR="00BB2155">
        <w:rPr>
          <w:rFonts w:ascii="Avenir Book" w:hAnsi="Avenir Book"/>
        </w:rPr>
        <w:t>spread the wealth in a way that</w:t>
      </w:r>
      <w:r>
        <w:rPr>
          <w:rFonts w:ascii="Avenir Book" w:hAnsi="Avenir Book"/>
        </w:rPr>
        <w:t xml:space="preserve"> sustain</w:t>
      </w:r>
      <w:r w:rsidR="00BB2155">
        <w:rPr>
          <w:rFonts w:ascii="Avenir Book" w:hAnsi="Avenir Book"/>
        </w:rPr>
        <w:t>s</w:t>
      </w:r>
      <w:r>
        <w:rPr>
          <w:rFonts w:ascii="Avenir Book" w:hAnsi="Avenir Book"/>
        </w:rPr>
        <w:t xml:space="preserve"> scholars in the various centers, institutes</w:t>
      </w:r>
      <w:r w:rsidR="00BB2155">
        <w:rPr>
          <w:rFonts w:ascii="Avenir Book" w:hAnsi="Avenir Book"/>
        </w:rPr>
        <w:t>,</w:t>
      </w:r>
      <w:r>
        <w:rPr>
          <w:rFonts w:ascii="Avenir Book" w:hAnsi="Avenir Book"/>
        </w:rPr>
        <w:t xml:space="preserve"> and </w:t>
      </w:r>
      <w:r w:rsidR="00BB2155">
        <w:rPr>
          <w:rFonts w:ascii="Avenir Book" w:hAnsi="Avenir Book"/>
        </w:rPr>
        <w:t xml:space="preserve">interdisciplinary </w:t>
      </w:r>
      <w:r>
        <w:rPr>
          <w:rFonts w:ascii="Avenir Book" w:hAnsi="Avenir Book"/>
        </w:rPr>
        <w:t>degree programs that have cropped up across humaniti</w:t>
      </w:r>
      <w:r w:rsidR="00BB2155">
        <w:rPr>
          <w:rFonts w:ascii="Avenir Book" w:hAnsi="Avenir Book"/>
        </w:rPr>
        <w:t xml:space="preserve">es disciplines in recent years (if we think those should endure). </w:t>
      </w:r>
    </w:p>
    <w:p w14:paraId="35901094" w14:textId="77777777" w:rsidR="00A96359" w:rsidRDefault="00A96359">
      <w:pPr>
        <w:rPr>
          <w:rFonts w:ascii="Avenir Book" w:hAnsi="Avenir Book"/>
        </w:rPr>
      </w:pPr>
    </w:p>
    <w:p w14:paraId="72D8BB94" w14:textId="77777777" w:rsidR="00A96359" w:rsidRDefault="00A96359">
      <w:pPr>
        <w:rPr>
          <w:rFonts w:ascii="Avenir Book" w:hAnsi="Avenir Book"/>
        </w:rPr>
      </w:pPr>
      <w:r>
        <w:rPr>
          <w:rFonts w:ascii="Avenir Book" w:hAnsi="Avenir Book"/>
        </w:rPr>
        <w:t xml:space="preserve">That such “centers” – like our own Center for Spatial and Textual Analysis – live and die on gifts from private donors and </w:t>
      </w:r>
      <w:r w:rsidR="00BB2155">
        <w:rPr>
          <w:rFonts w:ascii="Avenir Book" w:hAnsi="Avenir Book"/>
        </w:rPr>
        <w:t>foundations leads to the third and final point: whom do digital humanities projects serve? Support for the CAA + SAH guidelines mentioned above came from the Mellon Foundation, which looks most favorably on elite institutions and the societies and associations of specific fields. Is the goal of incubating and assessing digital projects primarily to create standards within the academy, which operates within what one might call specific intellectual aesthetics? Or do digital humanities projects, with the decline of the public intellectual, represent a hope for bridging an increasingly attacked ivory tower and the broader population?</w:t>
      </w:r>
      <w:r w:rsidR="003D5C49">
        <w:rPr>
          <w:rFonts w:ascii="Avenir Book" w:hAnsi="Avenir Book"/>
        </w:rPr>
        <w:t xml:space="preserve"> A current series of interviews from the </w:t>
      </w:r>
      <w:hyperlink r:id="rId8" w:history="1">
        <w:r w:rsidR="003D5C49" w:rsidRPr="003D5C49">
          <w:rPr>
            <w:rStyle w:val="Hyperlink"/>
            <w:rFonts w:ascii="Avenir Book" w:hAnsi="Avenir Book"/>
          </w:rPr>
          <w:t xml:space="preserve">Los Angeles Review of Books </w:t>
        </w:r>
      </w:hyperlink>
      <w:r w:rsidR="003D5C49">
        <w:rPr>
          <w:rFonts w:ascii="Avenir Book" w:hAnsi="Avenir Book"/>
        </w:rPr>
        <w:t xml:space="preserve">poses this as a central question. These projects would seem a powerful way for the public to interact with humanities research in an exploratory and enlightening way. The language of new media speaks with visual representations of data, and it seems right that the humanities – at least some portion of them – should enter that conversation. </w:t>
      </w:r>
      <w:r w:rsidR="002F601C">
        <w:rPr>
          <w:rFonts w:ascii="Avenir Book" w:hAnsi="Avenir Book"/>
        </w:rPr>
        <w:t xml:space="preserve">As a recent </w:t>
      </w:r>
      <w:hyperlink r:id="rId9" w:history="1">
        <w:r w:rsidR="002F601C" w:rsidRPr="002F601C">
          <w:rPr>
            <w:rStyle w:val="Hyperlink"/>
            <w:rFonts w:ascii="Avenir Book" w:hAnsi="Avenir Book"/>
          </w:rPr>
          <w:t>opinion piece from the London School of Economics</w:t>
        </w:r>
      </w:hyperlink>
      <w:r w:rsidR="002F601C">
        <w:rPr>
          <w:rFonts w:ascii="Avenir Book" w:hAnsi="Avenir Book"/>
        </w:rPr>
        <w:t xml:space="preserve"> argues, a scholar’s ideas in popular media has significant bearing on their contributions to the academy as well. </w:t>
      </w:r>
    </w:p>
    <w:p w14:paraId="7FA11758" w14:textId="77777777" w:rsidR="003D5C49" w:rsidRDefault="003D5C49">
      <w:pPr>
        <w:rPr>
          <w:rFonts w:ascii="Avenir Book" w:hAnsi="Avenir Book"/>
        </w:rPr>
      </w:pPr>
    </w:p>
    <w:p w14:paraId="62099177" w14:textId="77777777" w:rsidR="00E531FE" w:rsidRPr="00E95E92" w:rsidRDefault="003D5C49" w:rsidP="002F601C">
      <w:pPr>
        <w:rPr>
          <w:rFonts w:ascii="Avenir Book" w:hAnsi="Avenir Book"/>
        </w:rPr>
      </w:pPr>
      <w:r>
        <w:rPr>
          <w:rFonts w:ascii="Avenir Book" w:hAnsi="Avenir Book"/>
        </w:rPr>
        <w:t xml:space="preserve">In what proportion and under what title the humanities should fuse with the digital is the subject of our ongoing debate. As Franco </w:t>
      </w:r>
      <w:proofErr w:type="spellStart"/>
      <w:r>
        <w:rPr>
          <w:rFonts w:ascii="Avenir Book" w:hAnsi="Avenir Book"/>
        </w:rPr>
        <w:t>Moretti</w:t>
      </w:r>
      <w:proofErr w:type="spellEnd"/>
      <w:r>
        <w:rPr>
          <w:rFonts w:ascii="Avenir Book" w:hAnsi="Avenir Book"/>
        </w:rPr>
        <w:t xml:space="preserve">, </w:t>
      </w:r>
      <w:r w:rsidRPr="003D5C49">
        <w:rPr>
          <w:rFonts w:ascii="Avenir Book" w:hAnsi="Avenir Book"/>
          <w:iCs/>
        </w:rPr>
        <w:t xml:space="preserve">The </w:t>
      </w:r>
      <w:proofErr w:type="spellStart"/>
      <w:r w:rsidRPr="003D5C49">
        <w:rPr>
          <w:rFonts w:ascii="Avenir Book" w:hAnsi="Avenir Book"/>
          <w:iCs/>
        </w:rPr>
        <w:t>Danily</w:t>
      </w:r>
      <w:proofErr w:type="spellEnd"/>
      <w:r w:rsidRPr="003D5C49">
        <w:rPr>
          <w:rFonts w:ascii="Avenir Book" w:hAnsi="Avenir Book"/>
          <w:iCs/>
        </w:rPr>
        <w:t xml:space="preserve"> C. and Laura Louise Bell Professor in the Humanities</w:t>
      </w:r>
      <w:r>
        <w:rPr>
          <w:rFonts w:ascii="Avenir Book" w:hAnsi="Avenir Book"/>
          <w:iCs/>
        </w:rPr>
        <w:t xml:space="preserve"> at Stanford</w:t>
      </w:r>
      <w:r w:rsidRPr="003D5C49">
        <w:rPr>
          <w:rFonts w:ascii="Avenir Book" w:hAnsi="Avenir Book"/>
          <w:iCs/>
        </w:rPr>
        <w:t xml:space="preserve"> and the founder of </w:t>
      </w:r>
      <w:r>
        <w:rPr>
          <w:rFonts w:ascii="Avenir Book" w:hAnsi="Avenir Book"/>
          <w:iCs/>
        </w:rPr>
        <w:t xml:space="preserve">university’s pioneering </w:t>
      </w:r>
      <w:r w:rsidRPr="003D5C49">
        <w:rPr>
          <w:rFonts w:ascii="Avenir Book" w:hAnsi="Avenir Book"/>
          <w:iCs/>
        </w:rPr>
        <w:t>Literary Lab</w:t>
      </w:r>
      <w:r>
        <w:rPr>
          <w:rFonts w:ascii="Avenir Book" w:hAnsi="Avenir Book"/>
          <w:iCs/>
        </w:rPr>
        <w:t xml:space="preserve">, put it in the first of the aforementioned interviews, “’digital humanities’ means nothing.” </w:t>
      </w:r>
      <w:r w:rsidR="002F601C">
        <w:rPr>
          <w:rFonts w:ascii="Avenir Book" w:hAnsi="Avenir Book"/>
        </w:rPr>
        <w:t xml:space="preserve">While </w:t>
      </w:r>
      <w:proofErr w:type="spellStart"/>
      <w:r w:rsidR="002F601C">
        <w:rPr>
          <w:rFonts w:ascii="Avenir Book" w:hAnsi="Avenir Book"/>
        </w:rPr>
        <w:t>Moretti</w:t>
      </w:r>
      <w:proofErr w:type="spellEnd"/>
      <w:r w:rsidR="002F601C">
        <w:rPr>
          <w:rFonts w:ascii="Avenir Book" w:hAnsi="Avenir Book"/>
        </w:rPr>
        <w:t xml:space="preserve"> was pointing to the dizzying proliferation of tools and approaches to digital work in the humanities, </w:t>
      </w:r>
      <w:r w:rsidR="00AA2647">
        <w:rPr>
          <w:rFonts w:ascii="Avenir Book" w:hAnsi="Avenir Book"/>
        </w:rPr>
        <w:t xml:space="preserve">hopefully with new standards for goals and best practices, we’ll soon know a bit more about what the digital humanities can mean. </w:t>
      </w:r>
    </w:p>
    <w:sectPr w:rsidR="00E531FE" w:rsidRPr="00E95E92" w:rsidSect="004514C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16EADE" w14:textId="77777777" w:rsidR="003334C5" w:rsidRDefault="003334C5" w:rsidP="003437BE">
      <w:r>
        <w:separator/>
      </w:r>
    </w:p>
  </w:endnote>
  <w:endnote w:type="continuationSeparator" w:id="0">
    <w:p w14:paraId="23598100" w14:textId="77777777" w:rsidR="003334C5" w:rsidRDefault="003334C5" w:rsidP="00343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24414" w14:textId="71E58DE0" w:rsidR="003437BE" w:rsidRPr="003437BE" w:rsidRDefault="003437BE">
    <w:pPr>
      <w:pStyle w:val="Footer"/>
      <w:rPr>
        <w:rFonts w:ascii="Avenir Book" w:hAnsi="Avenir Book"/>
      </w:rPr>
    </w:pPr>
    <w:r w:rsidRPr="003437BE">
      <w:rPr>
        <w:rFonts w:ascii="Avenir Book" w:hAnsi="Avenir Book"/>
      </w:rPr>
      <w:t>Blog entry for CESTA DH Fellows on digital projects and assessment, 3.11.16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BA32A6" w14:textId="77777777" w:rsidR="003334C5" w:rsidRDefault="003334C5" w:rsidP="003437BE">
      <w:r>
        <w:separator/>
      </w:r>
    </w:p>
  </w:footnote>
  <w:footnote w:type="continuationSeparator" w:id="0">
    <w:p w14:paraId="4D342284" w14:textId="77777777" w:rsidR="003334C5" w:rsidRDefault="003334C5" w:rsidP="003437B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358948" w14:textId="3803DDD6" w:rsidR="003437BE" w:rsidRPr="003437BE" w:rsidRDefault="003437BE" w:rsidP="003437BE">
    <w:pPr>
      <w:pStyle w:val="Header"/>
      <w:tabs>
        <w:tab w:val="clear" w:pos="4680"/>
        <w:tab w:val="clear" w:pos="9360"/>
        <w:tab w:val="left" w:pos="8386"/>
      </w:tabs>
      <w:rPr>
        <w:rFonts w:ascii="Avenir Book" w:hAnsi="Avenir Book"/>
      </w:rPr>
    </w:pPr>
    <w:r w:rsidRPr="003437BE">
      <w:rPr>
        <w:rFonts w:ascii="Avenir Book" w:hAnsi="Avenir Book"/>
      </w:rPr>
      <w:t>George Philip LeBourdais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E92"/>
    <w:rsid w:val="002F601C"/>
    <w:rsid w:val="003334C5"/>
    <w:rsid w:val="003437BE"/>
    <w:rsid w:val="003D5C49"/>
    <w:rsid w:val="004514C2"/>
    <w:rsid w:val="00822791"/>
    <w:rsid w:val="00885623"/>
    <w:rsid w:val="009E4F2C"/>
    <w:rsid w:val="00A96359"/>
    <w:rsid w:val="00AA2647"/>
    <w:rsid w:val="00B67E2B"/>
    <w:rsid w:val="00BB2155"/>
    <w:rsid w:val="00C470FA"/>
    <w:rsid w:val="00CA5A90"/>
    <w:rsid w:val="00D46419"/>
    <w:rsid w:val="00DB7702"/>
    <w:rsid w:val="00DE6CA2"/>
    <w:rsid w:val="00E531FE"/>
    <w:rsid w:val="00E95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88CBD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7E2B"/>
    <w:rPr>
      <w:color w:val="0563C1" w:themeColor="hyperlink"/>
      <w:u w:val="single"/>
    </w:rPr>
  </w:style>
  <w:style w:type="paragraph" w:styleId="Header">
    <w:name w:val="header"/>
    <w:basedOn w:val="Normal"/>
    <w:link w:val="HeaderChar"/>
    <w:uiPriority w:val="99"/>
    <w:unhideWhenUsed/>
    <w:rsid w:val="003437BE"/>
    <w:pPr>
      <w:tabs>
        <w:tab w:val="center" w:pos="4680"/>
        <w:tab w:val="right" w:pos="9360"/>
      </w:tabs>
    </w:pPr>
  </w:style>
  <w:style w:type="character" w:customStyle="1" w:styleId="HeaderChar">
    <w:name w:val="Header Char"/>
    <w:basedOn w:val="DefaultParagraphFont"/>
    <w:link w:val="Header"/>
    <w:uiPriority w:val="99"/>
    <w:rsid w:val="003437BE"/>
  </w:style>
  <w:style w:type="paragraph" w:styleId="Footer">
    <w:name w:val="footer"/>
    <w:basedOn w:val="Normal"/>
    <w:link w:val="FooterChar"/>
    <w:uiPriority w:val="99"/>
    <w:unhideWhenUsed/>
    <w:rsid w:val="003437BE"/>
    <w:pPr>
      <w:tabs>
        <w:tab w:val="center" w:pos="4680"/>
        <w:tab w:val="right" w:pos="9360"/>
      </w:tabs>
    </w:pPr>
  </w:style>
  <w:style w:type="character" w:customStyle="1" w:styleId="FooterChar">
    <w:name w:val="Footer Char"/>
    <w:basedOn w:val="DefaultParagraphFont"/>
    <w:link w:val="Footer"/>
    <w:uiPriority w:val="99"/>
    <w:rsid w:val="003437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enchantingthedesert.com/" TargetMode="External"/><Relationship Id="rId7" Type="http://schemas.openxmlformats.org/officeDocument/2006/relationships/hyperlink" Target="http://www.collegeart.org/news/2016/02/23/the-college-art-association-and-the-society-of-architectural-historians-release-guidelines-for-the-evaluation-of-digital-scholarship-in-art-and-architectural-history/" TargetMode="External"/><Relationship Id="rId8" Type="http://schemas.openxmlformats.org/officeDocument/2006/relationships/hyperlink" Target="https://lareviewofbooks.org/interview/the-digital-in-the-humanities-an-interview-with-franco-moretti/" TargetMode="External"/><Relationship Id="rId9" Type="http://schemas.openxmlformats.org/officeDocument/2006/relationships/hyperlink" Target="http://blogs.lse.ac.uk/impactofsocialsciences/2015/04/09/academic-promotion-scholars-popular-media/"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903</Words>
  <Characters>5152</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Philip LeBourdais</dc:creator>
  <cp:keywords/>
  <dc:description/>
  <cp:lastModifiedBy>George Philip LeBourdais</cp:lastModifiedBy>
  <cp:revision>2</cp:revision>
  <dcterms:created xsi:type="dcterms:W3CDTF">2016-03-11T16:47:00Z</dcterms:created>
  <dcterms:modified xsi:type="dcterms:W3CDTF">2016-03-11T19:50:00Z</dcterms:modified>
</cp:coreProperties>
</file>