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Compliance Discovery Report – Finance Module for SutraERP</w:t>
      </w:r>
    </w:p>
    <w:p>
      <w:r>
        <w:t>COMPLIANCE DISCOVERY REPORT — Finance Module for SutraERP</w:t>
      </w:r>
    </w:p>
    <w:p>
      <w:r>
        <w:t>Prepared by: CA (agent-ca)</w:t>
      </w:r>
    </w:p>
    <w:p>
      <w:r>
        <w:t>Date: 2026-07-21</w:t>
      </w:r>
    </w:p>
    <w:p>
      <w:r>
        <w:t>Session: 0c0cd34d-22dd-4ad7-8d8d-b2e6bc697bd3</w:t>
      </w:r>
    </w:p>
    <w:p/>
    <w:p>
      <w:r>
        <w:t>1. GST FOR EDUCATIONAL INSTITUTIONS</w:t>
      </w:r>
    </w:p>
    <w:p>
      <w:r>
        <w:t>1.1 Applicability — Exempt vs. Taxable</w:t>
      </w:r>
    </w:p>
    <w:p>
      <w:r>
        <w:t>Law reference: Notification No. 12/2017-Central Tax (Rate) as amended; Entry 66 &amp; 67</w:t>
      </w:r>
    </w:p>
    <w:p/>
    <w:p>
      <w:r>
        <w:t>Exempt (No GST): Education services by a recognized institution to its students — tuition, admission, examination, library, lab fees.</w:t>
      </w:r>
    </w:p>
    <w:p/>
    <w:p>
      <w:r>
        <w:t>Taxable (GST applies):</w:t>
      </w:r>
    </w:p>
    <w:p/>
    <w:p>
      <w:r>
        <w:t>Service</w:t>
        <w:tab/>
        <w:t>GST Rate</w:t>
        <w:tab/>
        <w:t>HSN/SAC</w:t>
      </w:r>
    </w:p>
    <w:p>
      <w:r>
        <w:t>Tuition/education fees</w:t>
        <w:tab/>
        <w:t>Exempt</w:t>
        <w:tab/>
        <w:t>9992</w:t>
      </w:r>
    </w:p>
    <w:p>
      <w:r>
        <w:t>Hostel (≤₹1,000/day)</w:t>
        <w:tab/>
        <w:t>Exempt</w:t>
        <w:tab/>
        <w:t>9963</w:t>
      </w:r>
    </w:p>
    <w:p>
      <w:r>
        <w:t>Hostel (&gt;₹1,000/day)</w:t>
        <w:tab/>
        <w:t>5% (no ITC)</w:t>
        <w:tab/>
        <w:t>9963</w:t>
      </w:r>
    </w:p>
    <w:p>
      <w:r>
        <w:t>Mess/canteen (institution-run)</w:t>
        <w:tab/>
        <w:t>5% (no ITC)</w:t>
        <w:tab/>
        <w:t>9963</w:t>
      </w:r>
    </w:p>
    <w:p>
      <w:r>
        <w:t>Transportation</w:t>
        <w:tab/>
        <w:t>5%</w:t>
        <w:tab/>
        <w:t>9964</w:t>
      </w:r>
    </w:p>
    <w:p>
      <w:r>
        <w:t>Books</w:t>
        <w:tab/>
        <w:t>Exempt</w:t>
        <w:tab/>
        <w:t>4901</w:t>
      </w:r>
    </w:p>
    <w:p>
      <w:r>
        <w:t>Stationery</w:t>
        <w:tab/>
        <w:t>12%</w:t>
        <w:tab/>
        <w:t>4905/4906</w:t>
      </w:r>
    </w:p>
    <w:p>
      <w:r>
        <w:t>Consultancy services</w:t>
        <w:tab/>
        <w:t>18%</w:t>
        <w:tab/>
        <w:t>9986</w:t>
      </w:r>
    </w:p>
    <w:p>
      <w:r>
        <w:t>Research grants (with service obligation)</w:t>
        <w:tab/>
        <w:t>18%</w:t>
        <w:tab/>
        <w:t>9986</w:t>
      </w:r>
    </w:p>
    <w:p>
      <w:r>
        <w:t>Workshop/STTP fees</w:t>
        <w:tab/>
        <w:t>18%</w:t>
        <w:tab/>
        <w:t>9992</w:t>
      </w:r>
    </w:p>
    <w:p>
      <w:r>
        <w:t>Rental of premises to third parties</w:t>
        <w:tab/>
        <w:t>18%</w:t>
        <w:tab/>
        <w:t>9972</w:t>
      </w:r>
    </w:p>
    <w:p/>
    <w:p>
      <w:r>
        <w:t>1.2 Input Tax Credit (ITC) Rules</w:t>
      </w:r>
    </w:p>
    <w:p>
      <w:r>
        <w:t>Law reference: Section 16 &amp; 17(5) of CGST Act</w:t>
      </w:r>
    </w:p>
    <w:p/>
    <w:p>
      <w:r>
        <w:t>• ITC blocked on inputs for exempt education services</w:t>
      </w:r>
    </w:p>
    <w:p>
      <w:r>
        <w:t>• ITC reversal required under Rule 42/43 based on exempt-to-taxable turnover ratio</w:t>
      </w:r>
    </w:p>
    <w:p>
      <w:r>
        <w:t>• ITC available on inputs used for taxable supplies (consultancy, workshop, hostel above threshold, canteen, transport, rental)</w:t>
      </w:r>
    </w:p>
    <w:p>
      <w:r>
        <w:t>• ERP requirement: Track ITC at invoice level; auto-calculate reversal under Rule 42/43.</w:t>
      </w:r>
    </w:p>
    <w:p/>
    <w:p>
      <w:r>
        <w:t>1.3 Filing Requirements</w:t>
      </w:r>
    </w:p>
    <w:p/>
    <w:p>
      <w:r>
        <w:t>Return</w:t>
        <w:tab/>
        <w:t>Frequency</w:t>
        <w:tab/>
        <w:t>Due Date</w:t>
      </w:r>
    </w:p>
    <w:p>
      <w:r>
        <w:t>GSTR-1</w:t>
        <w:tab/>
        <w:t>Monthly/Quarterly (QRMP)</w:t>
        <w:tab/>
        <w:t>11th/13th</w:t>
      </w:r>
    </w:p>
    <w:p>
      <w:r>
        <w:t>GSTR-3B</w:t>
        <w:tab/>
        <w:t>Monthly</w:t>
        <w:tab/>
        <w:t>20th</w:t>
      </w:r>
    </w:p>
    <w:p>
      <w:r>
        <w:t>GSTR-9 (annual)</w:t>
        <w:tab/>
        <w:t>Annual</w:t>
        <w:tab/>
        <w:t>31 Dec next FY (&gt;₹2 Cr)</w:t>
      </w:r>
    </w:p>
    <w:p>
      <w:r>
        <w:t>GSTR-9C (audit)</w:t>
        <w:tab/>
        <w:t>Annual</w:t>
        <w:tab/>
        <w:t>31 Dec next FY (&gt;₹5 Cr)</w:t>
      </w:r>
    </w:p>
    <w:p/>
    <w:p>
      <w:r>
        <w:t>1.4 Reverse Charge Mechanism (RCM) Scenarios</w:t>
      </w:r>
    </w:p>
    <w:p/>
    <w:p>
      <w:r>
        <w:t>• Goods Transport Agency (GTA): 5%/12%</w:t>
      </w:r>
    </w:p>
    <w:p>
      <w:r>
        <w:t>• Advocate/legal services: 18%</w:t>
      </w:r>
    </w:p>
    <w:p>
      <w:r>
        <w:t>• Director/independent director services: 18%</w:t>
      </w:r>
    </w:p>
    <w:p>
      <w:r>
        <w:t>• Sponsorship services: 18%</w:t>
      </w:r>
    </w:p>
    <w:p>
      <w:r>
        <w:t>• Import of services: 18%</w:t>
      </w:r>
    </w:p>
    <w:p>
      <w:r>
        <w:t>• Security services (unregistered provider)</w:t>
      </w:r>
    </w:p>
    <w:p>
      <w:r>
        <w:t>• ERP requirement: RCM flag at PO/invoice entry; auto-generate RCM payable entries.</w:t>
      </w:r>
    </w:p>
    <w:p/>
    <w:p>
      <w:r>
        <w:t>2. TDS (TAX DEDUCTED AT SOURCE)</w:t>
      </w:r>
    </w:p>
    <w:p/>
    <w:p>
      <w:r>
        <w:t>Section</w:t>
        <w:tab/>
        <w:t>Nature</w:t>
        <w:tab/>
        <w:t>Rate</w:t>
        <w:tab/>
        <w:t>Threshold</w:t>
      </w:r>
    </w:p>
    <w:p>
      <w:r>
        <w:t>192</w:t>
        <w:tab/>
        <w:t>Salaries</w:t>
        <w:tab/>
        <w:t>Per slab</w:t>
        <w:tab/>
        <w:t>Basic exemption limit</w:t>
      </w:r>
    </w:p>
    <w:p>
      <w:r>
        <w:t>194C</w:t>
        <w:tab/>
        <w:t>Contractor (individual/HUF)</w:t>
        <w:tab/>
        <w:t>1%</w:t>
        <w:tab/>
        <w:t>₹30,000 per contract / ₹1,00,000 aggregate</w:t>
      </w:r>
    </w:p>
    <w:p>
      <w:r>
        <w:t>194C</w:t>
        <w:tab/>
        <w:t>Contractor (other)</w:t>
        <w:tab/>
        <w:t>2%</w:t>
        <w:tab/>
        <w:t>₹30,000 per contract / ₹1,00,000 aggregate</w:t>
      </w:r>
    </w:p>
    <w:p>
      <w:r>
        <w:t>194J</w:t>
        <w:tab/>
        <w:t>Professional fees</w:t>
        <w:tab/>
        <w:t>10%</w:t>
        <w:tab/>
        <w:t>₹30,000</w:t>
      </w:r>
    </w:p>
    <w:p>
      <w:r>
        <w:t>194I</w:t>
        <w:tab/>
        <w:t>Rent — plant/machinery</w:t>
        <w:tab/>
        <w:t>2%</w:t>
        <w:tab/>
        <w:t>₹2,40,000</w:t>
      </w:r>
    </w:p>
    <w:p>
      <w:r>
        <w:t>194I</w:t>
        <w:tab/>
        <w:t>Rent — land/building</w:t>
        <w:tab/>
        <w:t>10%</w:t>
        <w:tab/>
        <w:t>₹2,40,000</w:t>
      </w:r>
    </w:p>
    <w:p>
      <w:r>
        <w:t>194A</w:t>
        <w:tab/>
        <w:t>Interest</w:t>
        <w:tab/>
        <w:t>10%</w:t>
        <w:tab/>
        <w:t>₹40,000</w:t>
      </w:r>
    </w:p>
    <w:p>
      <w:r>
        <w:t>194H</w:t>
        <w:tab/>
        <w:t>Commission</w:t>
        <w:tab/>
        <w:t>5%</w:t>
        <w:tab/>
        <w:t>₹15,000</w:t>
      </w:r>
    </w:p>
    <w:p>
      <w:r>
        <w:t>194Q</w:t>
        <w:tab/>
        <w:t>Purchase of goods</w:t>
        <w:tab/>
        <w:t>0.1%</w:t>
        <w:tab/>
        <w:t>₹50 Lakhs</w:t>
      </w:r>
    </w:p>
    <w:p/>
    <w:p>
      <w:r>
        <w:t>Return Filing</w:t>
      </w:r>
    </w:p>
    <w:p>
      <w:r>
        <w:t>24Q – Salary TDS – 15th of month after quarter</w:t>
      </w:r>
    </w:p>
    <w:p>
      <w:r>
        <w:t>26Q – Non-salary TDS – 15th of month after quarter</w:t>
      </w:r>
    </w:p>
    <w:p>
      <w:r>
        <w:t>27Q – Non-resident TDS – 15th of month after quarter</w:t>
      </w:r>
    </w:p>
    <w:p>
      <w:r>
        <w:t>Form 16 – Salary certificate – 31st May</w:t>
      </w:r>
    </w:p>
    <w:p>
      <w:r>
        <w:t>Form 16A – Non-salary certificate – 15 days after return filing</w:t>
      </w:r>
    </w:p>
    <w:p/>
    <w:p>
      <w:r>
        <w:t>Section 197:</w:t>
      </w:r>
    </w:p>
    <w:p>
      <w:r>
        <w:t>ERP requirement: Master of Section 197 certificates with vendor mapping, certificate number, validity period, specified rate. Auto-apply lower rate during payment processing. Expiry alerts.</w:t>
      </w:r>
    </w:p>
    <w:p/>
    <w:p>
      <w:r>
        <w:t>3. MAHARASHTRA STATE SCHOLARSHIPS</w:t>
      </w:r>
    </w:p>
    <w:p/>
    <w:p>
      <w:r>
        <w:t>Major Schemes:</w:t>
      </w:r>
    </w:p>
    <w:p>
      <w:r>
        <w:t>• Rajarshi Chhatrapati Shahu Maharaj Shikshan Shulkh Shishyavrutti – Up to 100% tuition + maintenance</w:t>
      </w:r>
    </w:p>
    <w:p>
      <w:r>
        <w:t>• EBC Scholarship – Up to ₹50,000/year</w:t>
      </w:r>
    </w:p>
    <w:p>
      <w:r>
        <w:t>• PMS for SC – Full tuition + maintenance</w:t>
      </w:r>
    </w:p>
    <w:p>
      <w:r>
        <w:t>• PMS for ST – Full tuition + maintenance</w:t>
      </w:r>
    </w:p>
    <w:p>
      <w:r>
        <w:t>• PMS for OBC – Tuition + maintenance</w:t>
      </w:r>
    </w:p>
    <w:p>
      <w:r>
        <w:t>• PMS for VJNT – Tuition + maintenance</w:t>
      </w:r>
    </w:p>
    <w:p/>
    <w:p>
      <w:r>
        <w:t>Disbursement Process (MahaDBT):</w:t>
      </w:r>
    </w:p>
    <w:p>
      <w:r>
        <w:t>1. Student applies on MahaDBT portal.</w:t>
      </w:r>
    </w:p>
    <w:p>
      <w:r>
        <w:t>2. Institute verifies.</w:t>
      </w:r>
    </w:p>
    <w:p>
      <w:r>
        <w:t>3. Department sanctions.</w:t>
      </w:r>
    </w:p>
    <w:p>
      <w:r>
        <w:t>4. DBT via PFMS.</w:t>
      </w:r>
    </w:p>
    <w:p>
      <w:r>
        <w:t>5. Institute reconciles against fees.</w:t>
      </w:r>
    </w:p>
    <w:p/>
    <w:p>
      <w:r>
        <w:t>ERP Requirements:</w:t>
      </w:r>
    </w:p>
    <w:p>
      <w:r>
        <w:t>• Student scholarship profile</w:t>
      </w:r>
    </w:p>
    <w:p>
      <w:r>
        <w:t>• Fee breakup and reconciliation</w:t>
      </w:r>
    </w:p>
    <w:p>
      <w:r>
        <w:t>• DBT tracking</w:t>
      </w:r>
    </w:p>
    <w:p>
      <w:r>
        <w:t>• Refund handling</w:t>
      </w:r>
    </w:p>
    <w:p>
      <w:r>
        <w:t>• Scheme-wise reports</w:t>
      </w:r>
    </w:p>
    <w:p>
      <w:r>
        <w:t>• Audit trail</w:t>
      </w:r>
    </w:p>
    <w:p>
      <w:r>
        <w:t>• Documentation support</w:t>
      </w:r>
    </w:p>
    <w:p/>
    <w:p>
      <w:r>
        <w:t>4. NAAC FINANCIAL REPORTING</w:t>
      </w:r>
    </w:p>
    <w:p>
      <w:r>
        <w:t>Metrics:</w:t>
      </w:r>
    </w:p>
    <w:p>
      <w:r>
        <w:t>• Research grants</w:t>
      </w:r>
    </w:p>
    <w:p>
      <w:r>
        <w:t>• Consultancy revenue</w:t>
      </w:r>
    </w:p>
    <w:p>
      <w:r>
        <w:t>• Budget allocation</w:t>
      </w:r>
    </w:p>
    <w:p>
      <w:r>
        <w:t>• Scholarship expenditure</w:t>
      </w:r>
    </w:p>
    <w:p>
      <w:r>
        <w:t>• Environmental/social expenditure</w:t>
      </w:r>
    </w:p>
    <w:p/>
    <w:p>
      <w:r>
        <w:t>ERP: Real-time NAAC dashboard and reports.</w:t>
      </w:r>
    </w:p>
    <w:p/>
    <w:p>
      <w:r>
        <w:t>5. AISHE REPORTING</w:t>
      </w:r>
    </w:p>
    <w:p>
      <w:r>
        <w:t>Financial heads:</w:t>
      </w:r>
    </w:p>
    <w:p>
      <w:r>
        <w:t>• Government grants</w:t>
      </w:r>
    </w:p>
    <w:p>
      <w:r>
        <w:t>• Tuition fees</w:t>
      </w:r>
    </w:p>
    <w:p>
      <w:r>
        <w:t>• Examination fees</w:t>
      </w:r>
    </w:p>
    <w:p>
      <w:r>
        <w:t>• Other receipts</w:t>
      </w:r>
    </w:p>
    <w:p>
      <w:r>
        <w:t>• Teaching &amp; non-teaching salaries</w:t>
      </w:r>
    </w:p>
    <w:p>
      <w:r>
        <w:t>• Maintenance</w:t>
      </w:r>
    </w:p>
    <w:p>
      <w:r>
        <w:t>• Research expenditure</w:t>
      </w:r>
    </w:p>
    <w:p/>
    <w:p>
      <w:r>
        <w:t>ERP: COA mapping and AISHE export.</w:t>
      </w:r>
    </w:p>
    <w:p/>
    <w:p>
      <w:r>
        <w:t>6. UGC FINANCIAL COMPLIANCE</w:t>
      </w:r>
    </w:p>
    <w:p>
      <w:r>
        <w:t>• Separate grant ledgers</w:t>
      </w:r>
    </w:p>
    <w:p>
      <w:r>
        <w:t>• Utilization Certificate (GFR 12-A)</w:t>
      </w:r>
    </w:p>
    <w:p>
      <w:r>
        <w:t>• Interest reporting</w:t>
      </w:r>
    </w:p>
    <w:p>
      <w:r>
        <w:t>• Unspent balance tracking</w:t>
      </w:r>
    </w:p>
    <w:p>
      <w:r>
        <w:t>• Development, Research, Salary, E-Governance and other grant support</w:t>
      </w:r>
    </w:p>
    <w:p/>
    <w:p>
      <w:r>
        <w:t>Endowment Fund:</w:t>
      </w:r>
    </w:p>
    <w:p>
      <w:r>
        <w:t>Corpus ₹10–20 Cr (Maharashtra Self-Financed Universities Act, 2013). Principal cannot be used.</w:t>
      </w:r>
    </w:p>
    <w:p/>
    <w:p>
      <w:r>
        <w:t>ERP: Grant management, UC generation, utilization tracking.</w:t>
      </w:r>
    </w:p>
    <w:p/>
    <w:p>
      <w:r>
        <w:t>7. INCOME TAX FOR EDUCATIONAL TRUSTS/SOCIETIES</w:t>
      </w:r>
    </w:p>
    <w:p/>
    <w:p>
      <w:r>
        <w:t>Sections:</w:t>
      </w:r>
    </w:p>
    <w:p>
      <w:r>
        <w:t>10(23C)(iiiad), 10(23C)(iiiab), 10(23C)(vi), 11 &amp; 12, 12AB.</w:t>
      </w:r>
    </w:p>
    <w:p/>
    <w:p>
      <w:r>
        <w:t>Key Conditions:</w:t>
      </w:r>
    </w:p>
    <w:p>
      <w:r>
        <w:t>• 85% application rule</w:t>
      </w:r>
    </w:p>
    <w:p>
      <w:r>
        <w:t>• 15% accumulation</w:t>
      </w:r>
    </w:p>
    <w:p>
      <w:r>
        <w:t>• Section 11(5) investments</w:t>
      </w:r>
    </w:p>
    <w:p>
      <w:r>
        <w:t>• No private benefit</w:t>
      </w:r>
    </w:p>
    <w:p/>
    <w:p>
      <w:r>
        <w:t>FCRA:</w:t>
      </w:r>
    </w:p>
    <w:p>
      <w:r>
        <w:t>• Separate SBI New Delhi account</w:t>
      </w:r>
    </w:p>
    <w:p>
      <w:r>
        <w:t>• Admin expenses ≤20%</w:t>
      </w:r>
    </w:p>
    <w:p>
      <w:r>
        <w:t>• FC-4 by 31 December</w:t>
      </w:r>
    </w:p>
    <w:p>
      <w:r>
        <w:t>• No re-granting</w:t>
      </w:r>
    </w:p>
    <w:p/>
    <w:p>
      <w:r>
        <w:t>Audit:</w:t>
      </w:r>
    </w:p>
    <w:p>
      <w:r>
        <w:t>44AB, 12A/12AB, Form 10B, Form 10BB, ITR-7.</w:t>
      </w:r>
    </w:p>
    <w:p/>
    <w:p>
      <w:r>
        <w:t>8. MAHARASHTRA STATE-SPECIFIC</w:t>
      </w:r>
    </w:p>
    <w:p/>
    <w:p>
      <w:r>
        <w:t>Professional Tax:</w:t>
      </w:r>
    </w:p>
    <w:p>
      <w:r>
        <w:t>≤₹7,500 – Nil</w:t>
      </w:r>
    </w:p>
    <w:p>
      <w:r>
        <w:t>₹7,501–₹10,000 – ₹175</w:t>
      </w:r>
    </w:p>
    <w:p>
      <w:r>
        <w:t>₹10,001+ – ₹200</w:t>
      </w:r>
    </w:p>
    <w:p/>
    <w:p>
      <w:r>
        <w:t>FRC:</w:t>
      </w:r>
    </w:p>
    <w:p>
      <w:r>
        <w:t>• Fee approval</w:t>
      </w:r>
    </w:p>
    <w:p>
      <w:r>
        <w:t>• Refund policy</w:t>
      </w:r>
    </w:p>
    <w:p>
      <w:r>
        <w:t>• Excess fee adjustment</w:t>
      </w:r>
    </w:p>
    <w:p/>
    <w:p>
      <w:r>
        <w:t>Labour Welfare Fund:</w:t>
      </w:r>
    </w:p>
    <w:p>
      <w:r>
        <w:t>Employee ₹12/month</w:t>
      </w:r>
    </w:p>
    <w:p>
      <w:r>
        <w:t>Employer ₹24/month</w:t>
      </w:r>
    </w:p>
    <w:p>
      <w:r>
        <w:t>Half-yearly payment (June &amp; December)</w:t>
      </w:r>
    </w:p>
    <w:p/>
    <w:p>
      <w:r>
        <w:t>9. CROSS-CUTTING ERP REQUIREMENTS</w:t>
      </w:r>
    </w:p>
    <w:p/>
    <w:p>
      <w:r>
        <w:t>• Compliant Chart of Accounts</w:t>
      </w:r>
    </w:p>
    <w:p>
      <w:r>
        <w:t>• Compliance calendar</w:t>
      </w:r>
    </w:p>
    <w:p>
      <w:r>
        <w:t>• Multi-GSTIN support</w:t>
      </w:r>
    </w:p>
    <w:p>
      <w:r>
        <w:t>• Grant management</w:t>
      </w:r>
    </w:p>
    <w:p>
      <w:r>
        <w:t>• Scholarship integration</w:t>
      </w:r>
    </w:p>
    <w:p>
      <w:r>
        <w:t>• Full audit trail</w:t>
      </w:r>
    </w:p>
    <w:p>
      <w:r>
        <w:t>• Role-based access</w:t>
      </w:r>
    </w:p>
    <w:p>
      <w:r>
        <w:t>• Auto income classification</w:t>
      </w:r>
    </w:p>
    <w:p>
      <w:r>
        <w:t>• ITC tracking</w:t>
      </w:r>
    </w:p>
    <w:p>
      <w:r>
        <w:t>• RCM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