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324D"/>
          <w:sz w:val="32"/>
        </w:rPr>
        <w:t>KAYGAON PAPER MILL</w:t>
      </w:r>
    </w:p>
    <w:p>
      <w:pPr>
        <w:jc w:val="center"/>
      </w:pPr>
      <w:r>
        <w:rPr>
          <w:rFonts w:ascii="Aptos Display" w:hAnsi="Aptos Display"/>
          <w:b/>
          <w:color w:val="17324D"/>
          <w:sz w:val="60"/>
        </w:rPr>
        <w:t>DIGITISATION BLUEPRINT</w:t>
      </w:r>
    </w:p>
    <w:p>
      <w:pPr>
        <w:jc w:val="center"/>
      </w:pPr>
      <w:r>
        <w:rPr>
          <w:color w:val="176B87"/>
          <w:sz w:val="24"/>
        </w:rPr>
        <w:t>Requirements • Operating Procedures • Data Model • Excel Integration • MD Command Centre</w:t>
      </w:r>
    </w:p>
    <w:p/>
    <w:p>
      <w:pPr>
        <w:jc w:val="center"/>
      </w:pPr>
      <w:r>
        <w:rPr>
          <w:sz w:val="20"/>
        </w:rPr>
        <w:t>Implementation-ready planning baseline | Version 1.0 | 11 October 2026</w:t>
      </w:r>
    </w:p>
    <w:p/>
    <w:p>
      <w:pPr>
        <w:jc w:val="center"/>
      </w:pPr>
      <w:r>
        <w:rPr>
          <w:b/>
        </w:rPr>
        <w:t>Core constraint: preserve DataMan ERP unchanged; use controlled Excel exports/imports as the initial integration method.</w:t>
      </w:r>
    </w:p>
    <w:p/>
    <w:p>
      <w:pPr>
        <w:jc w:val="center"/>
      </w:pPr>
      <w:r>
        <w:rPr>
          <w:i/>
        </w:rPr>
        <w:t>Prepared as a proposed design. It is not a representation of Kaygaon's verified internal policies, software configuration, or current operational data.</w:t>
      </w:r>
    </w:p>
    <w:p>
      <w:r>
        <w:br w:type="page"/>
      </w:r>
    </w:p>
    <w:p>
      <w:pPr>
        <w:pStyle w:val="Heading1"/>
      </w:pPr>
      <w:r>
        <w:t>Document control and how to use this blueprint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pPr>
              <w:spacing w:after="0"/>
            </w:pPr>
            <w:r/>
            <w:r>
              <w:rPr>
                <w:rFonts w:ascii="Aptos" w:hAnsi="Aptos"/>
                <w:b/>
                <w:color w:val="FFFFFF"/>
                <w:sz w:val="16"/>
              </w:rPr>
              <w:t>Field</w:t>
            </w:r>
          </w:p>
        </w:tc>
        <w:tc>
          <w:tcPr>
            <w:tcW w:type="dxa" w:w="5083"/>
            <w:vAlign w:val="center"/>
            <w:shd w:fill="17324D"/>
          </w:tcPr>
          <w:p>
            <w:pPr>
              <w:spacing w:after="0"/>
            </w:pPr>
            <w:r/>
            <w:r>
              <w:rPr>
                <w:rFonts w:ascii="Aptos" w:hAnsi="Aptos"/>
                <w:b/>
                <w:color w:val="FFFFFF"/>
                <w:sz w:val="16"/>
              </w:rPr>
              <w:t>Definition</w:t>
            </w:r>
          </w:p>
        </w:tc>
      </w:tr>
      <w:tr>
        <w:tc>
          <w:tcPr>
            <w:tcW w:type="dxa" w:w="5083"/>
            <w:vAlign w:val="center"/>
          </w:tcPr>
          <w:p>
            <w:pPr>
              <w:spacing w:after="0"/>
            </w:pPr>
            <w:r/>
            <w:r>
              <w:rPr>
                <w:rFonts w:ascii="Aptos" w:hAnsi="Aptos"/>
                <w:b w:val="0"/>
                <w:sz w:val="15"/>
              </w:rPr>
              <w:t>Purpose</w:t>
            </w:r>
          </w:p>
        </w:tc>
        <w:tc>
          <w:tcPr>
            <w:tcW w:type="dxa" w:w="5083"/>
            <w:vAlign w:val="center"/>
          </w:tcPr>
          <w:p>
            <w:pPr>
              <w:spacing w:after="0"/>
            </w:pPr>
            <w:r/>
            <w:r>
              <w:rPr>
                <w:rFonts w:ascii="Aptos" w:hAnsi="Aptos"/>
                <w:b w:val="0"/>
                <w:sz w:val="15"/>
              </w:rPr>
              <w:t>Specify a separate operations and intelligence platform around the existing DataMan ERP.</w:t>
            </w:r>
          </w:p>
        </w:tc>
      </w:tr>
      <w:tr>
        <w:tc>
          <w:tcPr>
            <w:tcW w:type="dxa" w:w="5083"/>
            <w:vAlign w:val="center"/>
          </w:tcPr>
          <w:p>
            <w:pPr>
              <w:spacing w:after="0"/>
            </w:pPr>
            <w:r/>
            <w:r>
              <w:rPr>
                <w:rFonts w:ascii="Aptos" w:hAnsi="Aptos"/>
                <w:b w:val="0"/>
                <w:sz w:val="15"/>
              </w:rPr>
              <w:t>Audience</w:t>
            </w:r>
          </w:p>
        </w:tc>
        <w:tc>
          <w:tcPr>
            <w:tcW w:type="dxa" w:w="5083"/>
            <w:vAlign w:val="center"/>
          </w:tcPr>
          <w:p>
            <w:pPr>
              <w:spacing w:after="0"/>
            </w:pPr>
            <w:r/>
            <w:r>
              <w:rPr>
                <w:rFonts w:ascii="Aptos" w:hAnsi="Aptos"/>
                <w:b w:val="0"/>
                <w:sz w:val="15"/>
              </w:rPr>
              <w:t>MD, factory management, security, weighbridge, QC, stores, procurement, production, maintenance, dispatch, corporate accounts, finance, IT and software delivery team.</w:t>
            </w:r>
          </w:p>
        </w:tc>
      </w:tr>
      <w:tr>
        <w:tc>
          <w:tcPr>
            <w:tcW w:type="dxa" w:w="5083"/>
            <w:vAlign w:val="center"/>
          </w:tcPr>
          <w:p>
            <w:pPr>
              <w:spacing w:after="0"/>
            </w:pPr>
            <w:r/>
            <w:r>
              <w:rPr>
                <w:rFonts w:ascii="Aptos" w:hAnsi="Aptos"/>
                <w:b w:val="0"/>
                <w:sz w:val="15"/>
              </w:rPr>
              <w:t>System boundary</w:t>
            </w:r>
          </w:p>
        </w:tc>
        <w:tc>
          <w:tcPr>
            <w:tcW w:type="dxa" w:w="5083"/>
            <w:vAlign w:val="center"/>
          </w:tcPr>
          <w:p>
            <w:pPr>
              <w:spacing w:after="0"/>
            </w:pPr>
            <w:r/>
            <w:r>
              <w:rPr>
                <w:rFonts w:ascii="Aptos" w:hAnsi="Aptos"/>
                <w:b w:val="0"/>
                <w:sz w:val="15"/>
              </w:rPr>
              <w:t>New application owns its operational workflow, document packet, task tracking and analytics layer. DataMan remains authoritative for official accounting transactions unless a formally approved future integration changes that boundary.</w:t>
            </w:r>
          </w:p>
        </w:tc>
      </w:tr>
      <w:tr>
        <w:tc>
          <w:tcPr>
            <w:tcW w:type="dxa" w:w="5083"/>
            <w:vAlign w:val="center"/>
          </w:tcPr>
          <w:p>
            <w:pPr>
              <w:spacing w:after="0"/>
            </w:pPr>
            <w:r/>
            <w:r>
              <w:rPr>
                <w:rFonts w:ascii="Aptos" w:hAnsi="Aptos"/>
                <w:b w:val="0"/>
                <w:sz w:val="15"/>
              </w:rPr>
              <w:t>Initial integration</w:t>
            </w:r>
          </w:p>
        </w:tc>
        <w:tc>
          <w:tcPr>
            <w:tcW w:type="dxa" w:w="5083"/>
            <w:vAlign w:val="center"/>
          </w:tcPr>
          <w:p>
            <w:pPr>
              <w:spacing w:after="0"/>
            </w:pPr>
            <w:r/>
            <w:r>
              <w:rPr>
                <w:rFonts w:ascii="Aptos" w:hAnsi="Aptos"/>
                <w:b w:val="0"/>
                <w:sz w:val="15"/>
              </w:rPr>
              <w:t>Excel exports/imports with controlled schemas, validation, import logs and reconciliation. No assumption of API or direct database access.</w:t>
            </w:r>
          </w:p>
        </w:tc>
      </w:tr>
      <w:tr>
        <w:tc>
          <w:tcPr>
            <w:tcW w:type="dxa" w:w="5083"/>
            <w:vAlign w:val="center"/>
          </w:tcPr>
          <w:p>
            <w:pPr>
              <w:spacing w:after="0"/>
            </w:pPr>
            <w:r/>
            <w:r>
              <w:rPr>
                <w:rFonts w:ascii="Aptos" w:hAnsi="Aptos"/>
                <w:b w:val="0"/>
                <w:sz w:val="15"/>
              </w:rPr>
              <w:t>Delivery approach</w:t>
            </w:r>
          </w:p>
        </w:tc>
        <w:tc>
          <w:tcPr>
            <w:tcW w:type="dxa" w:w="5083"/>
            <w:vAlign w:val="center"/>
          </w:tcPr>
          <w:p>
            <w:pPr>
              <w:spacing w:after="0"/>
            </w:pPr>
            <w:r/>
            <w:r>
              <w:rPr>
                <w:rFonts w:ascii="Aptos" w:hAnsi="Aptos"/>
                <w:b w:val="0"/>
                <w:sz w:val="15"/>
              </w:rPr>
              <w:t>Phased rollout, starting with inward/QC/GRN/document movement and corporate bill tracking.</w:t>
            </w:r>
          </w:p>
        </w:tc>
      </w:tr>
      <w:tr>
        <w:tc>
          <w:tcPr>
            <w:tcW w:type="dxa" w:w="5083"/>
            <w:vAlign w:val="center"/>
          </w:tcPr>
          <w:p>
            <w:pPr>
              <w:spacing w:after="0"/>
            </w:pPr>
            <w:r/>
            <w:r>
              <w:rPr>
                <w:rFonts w:ascii="Aptos" w:hAnsi="Aptos"/>
                <w:b w:val="0"/>
                <w:sz w:val="15"/>
              </w:rPr>
              <w:t>Status labels</w:t>
            </w:r>
          </w:p>
        </w:tc>
        <w:tc>
          <w:tcPr>
            <w:tcW w:type="dxa" w:w="5083"/>
            <w:vAlign w:val="center"/>
          </w:tcPr>
          <w:p>
            <w:pPr>
              <w:spacing w:after="0"/>
            </w:pPr>
            <w:r/>
            <w:r>
              <w:rPr>
                <w:rFonts w:ascii="Aptos" w:hAnsi="Aptos"/>
                <w:b w:val="0"/>
                <w:sz w:val="15"/>
              </w:rPr>
              <w:t>Confirmed from the brief = directly stated by the requester. Proposed = recommended design. To verify = must be confirmed at the factory before configuration.</w:t>
            </w:r>
          </w:p>
        </w:tc>
      </w:tr>
    </w:tbl>
    <w:p/>
    <w:p>
      <w:pPr>
        <w:pStyle w:val="Heading2"/>
      </w:pPr>
      <w:r>
        <w:t>How to interpret statements</w:t>
      </w:r>
    </w:p>
    <w:p>
      <w:pPr>
        <w:pStyle w:val="ListBullet"/>
        <w:spacing w:after="30"/>
      </w:pPr>
      <w:r>
        <w:t>CONFIRMED: supplied by the requester in this planning conversation: DataMan is already used; it must not be replaced or modified; Excel reports are available/used by accounting; QC occurs during unloading; GRN and supporting hard-copy documents are manually sent to corporate and can take about 2–3 days; bill posting occurs at corporate; management wants company-wide analytics.</w:t>
      </w:r>
    </w:p>
    <w:p>
      <w:pPr>
        <w:pStyle w:val="ListBullet"/>
        <w:spacing w:after="30"/>
      </w:pPr>
      <w:r>
        <w:t>PROPOSED: a recommended design choice, not a claim about current Kaygaon procedure.</w:t>
      </w:r>
    </w:p>
    <w:p>
      <w:pPr>
        <w:pStyle w:val="ListBullet"/>
        <w:spacing w:after="30"/>
      </w:pPr>
      <w:r>
        <w:t>TO VERIFY: exact document names, signatories, approval limits, GRN creation method, DataMan product/version, Excel columns, tax treatment, production equipment, and statutory retention rules.</w:t>
      </w:r>
    </w:p>
    <w:p>
      <w:pPr>
        <w:pStyle w:val="ListBullet"/>
        <w:spacing w:after="30"/>
      </w:pPr>
      <w:r>
        <w:t>Do not treat sample data, sample thresholds, illustrative SLAs or demo dashboard values as actual Kaygaon figures.</w:t>
      </w:r>
    </w:p>
    <w:p>
      <w:pPr>
        <w:pStyle w:val="Heading1"/>
      </w:pPr>
      <w:r>
        <w:t>1. Executive summary</w:t>
      </w:r>
    </w:p>
    <w:p>
      <w:r>
        <w:t>Build a responsive web application and dedicated factory mobile application that digitise operational events and document movement around Kaygaon Paper Mill, while leaving DataMan ERP unchanged. The first measurable win is to let corporate begin review as soon as the factory has recorded a GRN and uploaded its supporting documents, rather than waiting for a physical file to arrive. Physical originals remain tracked and are retained wherever required.</w:t>
      </w:r>
    </w:p>
    <w:p>
      <w:r>
        <w:t>The platform should not create a parallel accounting ledger. It stores operational records, document copies, statuses, approvals, links to DataMan identifiers, and imported snapshots of ERP data. Official bill posting, accounting vouchers, payment execution and financial balances remain in DataMan and are displayed only from a verified DataMan export or other approved source.</w:t>
      </w:r>
    </w:p>
    <w:p>
      <w:pPr>
        <w:pStyle w:val="Heading2"/>
      </w:pPr>
      <w:r>
        <w:t>Business outcomes</w:t>
      </w:r>
    </w:p>
    <w:p>
      <w:pPr>
        <w:pStyle w:val="ListBullet"/>
        <w:spacing w:after="30"/>
      </w:pPr>
      <w:r>
        <w:t>Reduce elapsed time between unloading/QC/GRN and corporate document availability.</w:t>
      </w:r>
    </w:p>
    <w:p>
      <w:pPr>
        <w:pStyle w:val="ListBullet"/>
        <w:spacing w:after="30"/>
      </w:pPr>
      <w:r>
        <w:t>Reduce duplicate data entry, lost documents, repeated phone calls and manual status chasing.</w:t>
      </w:r>
    </w:p>
    <w:p>
      <w:pPr>
        <w:pStyle w:val="ListBullet"/>
        <w:spacing w:after="30"/>
      </w:pPr>
      <w:r>
        <w:t>Make each inward transaction traceable from truck entry to QC, GRN, bill posting and payment status.</w:t>
      </w:r>
    </w:p>
    <w:p>
      <w:pPr>
        <w:pStyle w:val="ListBullet"/>
        <w:spacing w:after="30"/>
      </w:pPr>
      <w:r>
        <w:t>Show operational events as they happen and show imported ERP metrics with explicit last-refresh timestamps.</w:t>
      </w:r>
    </w:p>
    <w:p>
      <w:pPr>
        <w:pStyle w:val="ListBullet"/>
        <w:spacing w:after="30"/>
      </w:pPr>
      <w:r>
        <w:t>Expose delays, unresolved discrepancies, overdue approvals, supplier liabilities and production bottlenecks to the responsible owner and to management.</w:t>
      </w:r>
    </w:p>
    <w:p>
      <w:pPr>
        <w:pStyle w:val="ListBullet"/>
        <w:spacing w:after="30"/>
      </w:pPr>
      <w:r>
        <w:t>Provide a foundation for inventory, production, maintenance, sales, finance and company-wide analytics in controlled phases.</w:t>
      </w:r>
    </w:p>
    <w:p>
      <w:pPr>
        <w:pStyle w:val="Heading2"/>
      </w:pPr>
      <w:r>
        <w:t>Non-goals</w:t>
      </w:r>
    </w:p>
    <w:p>
      <w:pPr>
        <w:pStyle w:val="ListBullet"/>
        <w:spacing w:after="30"/>
      </w:pPr>
      <w:r>
        <w:t>Do not replace, reconfigure, write to, or bypass DataMan ERP in the initial release.</w:t>
      </w:r>
    </w:p>
    <w:p>
      <w:pPr>
        <w:pStyle w:val="ListBullet"/>
        <w:spacing w:after="30"/>
      </w:pPr>
      <w:r>
        <w:t>Do not make the new application the legal accounting book of record.</w:t>
      </w:r>
    </w:p>
    <w:p>
      <w:pPr>
        <w:pStyle w:val="ListBullet"/>
        <w:spacing w:after="30"/>
      </w:pPr>
      <w:r>
        <w:t>Do not infer that an invoice is posted or a payment is made merely because a record is absent from an Excel file.</w:t>
      </w:r>
    </w:p>
    <w:p>
      <w:pPr>
        <w:pStyle w:val="ListBullet"/>
        <w:spacing w:after="30"/>
      </w:pPr>
      <w:r>
        <w:t>Do not auto-approve QC, deductions, bills, payments, journal entries or accounting corrections without approved policy and accountable human authorisation.</w:t>
      </w:r>
    </w:p>
    <w:p>
      <w:pPr>
        <w:pStyle w:val="ListBullet"/>
        <w:spacing w:after="30"/>
      </w:pPr>
      <w:r>
        <w:t>Do not assume all plant data can be live-connected. Clearly label manual entry, imported data, stale data and unavailable feeds.</w:t>
      </w:r>
    </w:p>
    <w:p>
      <w:pPr>
        <w:pStyle w:val="Heading1"/>
      </w:pPr>
      <w:r>
        <w:t>2. Confirmed facts, assumptions and open questions</w:t>
      </w:r>
    </w:p>
    <w:p>
      <w:pPr>
        <w:pStyle w:val="Heading2"/>
      </w:pPr>
      <w:r>
        <w:t>Confirmed from the requester</w:t>
      </w:r>
    </w:p>
    <w:p>
      <w:pPr>
        <w:pStyle w:val="ListBullet"/>
        <w:spacing w:after="30"/>
      </w:pPr>
      <w:r>
        <w:t>DataMan ERP is already in use and must remain unchanged.</w:t>
      </w:r>
    </w:p>
    <w:p>
      <w:pPr>
        <w:pStyle w:val="ListBullet"/>
        <w:spacing w:after="30"/>
      </w:pPr>
      <w:r>
        <w:t>Excel sheets/reports are available and accounting staff already use Excel.</w:t>
      </w:r>
    </w:p>
    <w:p>
      <w:pPr>
        <w:pStyle w:val="ListBullet"/>
        <w:spacing w:after="30"/>
      </w:pPr>
      <w:r>
        <w:t>A truck enters the factory, proceeds to an unloading area behind the factory, and QC occurs while unloading.</w:t>
      </w:r>
    </w:p>
    <w:p>
      <w:pPr>
        <w:pStyle w:val="ListBullet"/>
        <w:spacing w:after="30"/>
      </w:pPr>
      <w:r>
        <w:t>A person carries paperwork to the security cabin / inward administration point.</w:t>
      </w:r>
    </w:p>
    <w:p>
      <w:pPr>
        <w:pStyle w:val="ListBullet"/>
        <w:spacing w:after="30"/>
      </w:pPr>
      <w:r>
        <w:t>GRN and related documents are physically sent to the corporate office; the journey can take roughly 2–3 days.</w:t>
      </w:r>
    </w:p>
    <w:p>
      <w:pPr>
        <w:pStyle w:val="ListBullet"/>
        <w:spacing w:after="30"/>
      </w:pPr>
      <w:r>
        <w:t>Corporate-office bill posting follows receipt/verification of the documents.</w:t>
      </w:r>
    </w:p>
    <w:p>
      <w:pPr>
        <w:pStyle w:val="ListBullet"/>
        <w:spacing w:after="30"/>
      </w:pPr>
      <w:r>
        <w:t>The MD wants visibility into live company operations and analytics across procurement, inventory, production, maintenance, sales and finance.</w:t>
      </w:r>
    </w:p>
    <w:p>
      <w:pPr>
        <w:pStyle w:val="ListBullet"/>
        <w:spacing w:after="30"/>
      </w:pPr>
      <w:r>
        <w:t>Target experience: responsive web application plus a dedicated factory mobile application.</w:t>
      </w:r>
    </w:p>
    <w:p>
      <w:pPr>
        <w:pStyle w:val="Heading2"/>
      </w:pPr>
      <w:r>
        <w:t>Assumptions to validate before configuration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ID</w:t>
            </w:r>
          </w:p>
        </w:tc>
        <w:tc>
          <w:tcPr>
            <w:tcW w:type="dxa" w:w="3389"/>
            <w:vAlign w:val="center"/>
            <w:shd w:fill="17324D"/>
          </w:tcPr>
          <w:p>
            <w:pPr>
              <w:spacing w:after="0"/>
            </w:pPr>
            <w:r/>
            <w:r>
              <w:rPr>
                <w:rFonts w:ascii="Aptos" w:hAnsi="Aptos"/>
                <w:b/>
                <w:color w:val="FFFFFF"/>
                <w:sz w:val="16"/>
              </w:rPr>
              <w:t>Assumption</w:t>
            </w:r>
          </w:p>
        </w:tc>
        <w:tc>
          <w:tcPr>
            <w:tcW w:type="dxa" w:w="3389"/>
            <w:vAlign w:val="center"/>
            <w:shd w:fill="17324D"/>
          </w:tcPr>
          <w:p>
            <w:pPr>
              <w:spacing w:after="0"/>
            </w:pPr>
            <w:r/>
            <w:r>
              <w:rPr>
                <w:rFonts w:ascii="Aptos" w:hAnsi="Aptos"/>
                <w:b/>
                <w:color w:val="FFFFFF"/>
                <w:sz w:val="16"/>
              </w:rPr>
              <w:t>How to validate</w:t>
            </w:r>
          </w:p>
        </w:tc>
      </w:tr>
      <w:tr>
        <w:tc>
          <w:tcPr>
            <w:tcW w:type="dxa" w:w="3389"/>
            <w:vAlign w:val="center"/>
          </w:tcPr>
          <w:p>
            <w:pPr>
              <w:spacing w:after="0"/>
            </w:pPr>
            <w:r/>
            <w:r>
              <w:rPr>
                <w:rFonts w:ascii="Aptos" w:hAnsi="Aptos"/>
                <w:b w:val="0"/>
                <w:sz w:val="15"/>
              </w:rPr>
              <w:t>A-01</w:t>
            </w:r>
          </w:p>
        </w:tc>
        <w:tc>
          <w:tcPr>
            <w:tcW w:type="dxa" w:w="3389"/>
            <w:vAlign w:val="center"/>
          </w:tcPr>
          <w:p>
            <w:pPr>
              <w:spacing w:after="0"/>
            </w:pPr>
            <w:r/>
            <w:r>
              <w:rPr>
                <w:rFonts w:ascii="Aptos" w:hAnsi="Aptos"/>
                <w:b w:val="0"/>
                <w:sz w:val="15"/>
              </w:rPr>
              <w:t>A GRN identifier exists in DataMan or a current factory register.</w:t>
            </w:r>
          </w:p>
        </w:tc>
        <w:tc>
          <w:tcPr>
            <w:tcW w:type="dxa" w:w="3389"/>
            <w:vAlign w:val="center"/>
          </w:tcPr>
          <w:p>
            <w:pPr>
              <w:spacing w:after="0"/>
            </w:pPr>
            <w:r/>
            <w:r>
              <w:rPr>
                <w:rFonts w:ascii="Aptos" w:hAnsi="Aptos"/>
                <w:b w:val="0"/>
                <w:sz w:val="15"/>
              </w:rPr>
              <w:t>Inspect a sample GRN and GRN register.</w:t>
            </w:r>
          </w:p>
        </w:tc>
      </w:tr>
      <w:tr>
        <w:tc>
          <w:tcPr>
            <w:tcW w:type="dxa" w:w="3389"/>
            <w:vAlign w:val="center"/>
          </w:tcPr>
          <w:p>
            <w:pPr>
              <w:spacing w:after="0"/>
            </w:pPr>
            <w:r/>
            <w:r>
              <w:rPr>
                <w:rFonts w:ascii="Aptos" w:hAnsi="Aptos"/>
                <w:b w:val="0"/>
                <w:sz w:val="15"/>
              </w:rPr>
              <w:t>A-02</w:t>
            </w:r>
          </w:p>
        </w:tc>
        <w:tc>
          <w:tcPr>
            <w:tcW w:type="dxa" w:w="3389"/>
            <w:vAlign w:val="center"/>
          </w:tcPr>
          <w:p>
            <w:pPr>
              <w:spacing w:after="0"/>
            </w:pPr>
            <w:r/>
            <w:r>
              <w:rPr>
                <w:rFonts w:ascii="Aptos" w:hAnsi="Aptos"/>
                <w:b w:val="0"/>
                <w:sz w:val="15"/>
              </w:rPr>
              <w:t>Excel exports can be produced consistently from DataMan.</w:t>
            </w:r>
          </w:p>
        </w:tc>
        <w:tc>
          <w:tcPr>
            <w:tcW w:type="dxa" w:w="3389"/>
            <w:vAlign w:val="center"/>
          </w:tcPr>
          <w:p>
            <w:pPr>
              <w:spacing w:after="0"/>
            </w:pPr>
            <w:r/>
            <w:r>
              <w:rPr>
                <w:rFonts w:ascii="Aptos" w:hAnsi="Aptos"/>
                <w:b w:val="0"/>
                <w:sz w:val="15"/>
              </w:rPr>
              <w:t>Obtain sample files for PO, GRN, supplier bills/vouchers and outstanding balances.</w:t>
            </w:r>
          </w:p>
        </w:tc>
      </w:tr>
      <w:tr>
        <w:tc>
          <w:tcPr>
            <w:tcW w:type="dxa" w:w="3389"/>
            <w:vAlign w:val="center"/>
          </w:tcPr>
          <w:p>
            <w:pPr>
              <w:spacing w:after="0"/>
            </w:pPr>
            <w:r/>
            <w:r>
              <w:rPr>
                <w:rFonts w:ascii="Aptos" w:hAnsi="Aptos"/>
                <w:b w:val="0"/>
                <w:sz w:val="15"/>
              </w:rPr>
              <w:t>A-03</w:t>
            </w:r>
          </w:p>
        </w:tc>
        <w:tc>
          <w:tcPr>
            <w:tcW w:type="dxa" w:w="3389"/>
            <w:vAlign w:val="center"/>
          </w:tcPr>
          <w:p>
            <w:pPr>
              <w:spacing w:after="0"/>
            </w:pPr>
            <w:r/>
            <w:r>
              <w:rPr>
                <w:rFonts w:ascii="Aptos" w:hAnsi="Aptos"/>
                <w:b w:val="0"/>
                <w:sz w:val="15"/>
              </w:rPr>
              <w:t>Corporate accounts can provide a posting-status export or voucher register.</w:t>
            </w:r>
          </w:p>
        </w:tc>
        <w:tc>
          <w:tcPr>
            <w:tcW w:type="dxa" w:w="3389"/>
            <w:vAlign w:val="center"/>
          </w:tcPr>
          <w:p>
            <w:pPr>
              <w:spacing w:after="0"/>
            </w:pPr>
            <w:r/>
            <w:r>
              <w:rPr>
                <w:rFonts w:ascii="Aptos" w:hAnsi="Aptos"/>
                <w:b w:val="0"/>
                <w:sz w:val="15"/>
              </w:rPr>
              <w:t>Ask accounts which report proves a bill has been posted.</w:t>
            </w:r>
          </w:p>
        </w:tc>
      </w:tr>
      <w:tr>
        <w:tc>
          <w:tcPr>
            <w:tcW w:type="dxa" w:w="3389"/>
            <w:vAlign w:val="center"/>
          </w:tcPr>
          <w:p>
            <w:pPr>
              <w:spacing w:after="0"/>
            </w:pPr>
            <w:r/>
            <w:r>
              <w:rPr>
                <w:rFonts w:ascii="Aptos" w:hAnsi="Aptos"/>
                <w:b w:val="0"/>
                <w:sz w:val="15"/>
              </w:rPr>
              <w:t>A-04</w:t>
            </w:r>
          </w:p>
        </w:tc>
        <w:tc>
          <w:tcPr>
            <w:tcW w:type="dxa" w:w="3389"/>
            <w:vAlign w:val="center"/>
          </w:tcPr>
          <w:p>
            <w:pPr>
              <w:spacing w:after="0"/>
            </w:pPr>
            <w:r/>
            <w:r>
              <w:rPr>
                <w:rFonts w:ascii="Aptos" w:hAnsi="Aptos"/>
                <w:b w:val="0"/>
                <w:sz w:val="15"/>
              </w:rPr>
              <w:t>Users can use company-approved phones/tablets or a shared kiosk.</w:t>
            </w:r>
          </w:p>
        </w:tc>
        <w:tc>
          <w:tcPr>
            <w:tcW w:type="dxa" w:w="3389"/>
            <w:vAlign w:val="center"/>
          </w:tcPr>
          <w:p>
            <w:pPr>
              <w:spacing w:after="0"/>
            </w:pPr>
            <w:r/>
            <w:r>
              <w:rPr>
                <w:rFonts w:ascii="Aptos" w:hAnsi="Aptos"/>
                <w:b w:val="0"/>
                <w:sz w:val="15"/>
              </w:rPr>
              <w:t>Conduct a device/network walkthrough at unloading, security and stores.</w:t>
            </w:r>
          </w:p>
        </w:tc>
      </w:tr>
      <w:tr>
        <w:tc>
          <w:tcPr>
            <w:tcW w:type="dxa" w:w="3389"/>
            <w:vAlign w:val="center"/>
          </w:tcPr>
          <w:p>
            <w:pPr>
              <w:spacing w:after="0"/>
            </w:pPr>
            <w:r/>
            <w:r>
              <w:rPr>
                <w:rFonts w:ascii="Aptos" w:hAnsi="Aptos"/>
                <w:b w:val="0"/>
                <w:sz w:val="15"/>
              </w:rPr>
              <w:t>A-05</w:t>
            </w:r>
          </w:p>
        </w:tc>
        <w:tc>
          <w:tcPr>
            <w:tcW w:type="dxa" w:w="3389"/>
            <w:vAlign w:val="center"/>
          </w:tcPr>
          <w:p>
            <w:pPr>
              <w:spacing w:after="0"/>
            </w:pPr>
            <w:r/>
            <w:r>
              <w:rPr>
                <w:rFonts w:ascii="Aptos" w:hAnsi="Aptos"/>
                <w:b w:val="0"/>
                <w:sz w:val="15"/>
              </w:rPr>
              <w:t>The plant can store scanned copies centrally with appropriate access controls.</w:t>
            </w:r>
          </w:p>
        </w:tc>
        <w:tc>
          <w:tcPr>
            <w:tcW w:type="dxa" w:w="3389"/>
            <w:vAlign w:val="center"/>
          </w:tcPr>
          <w:p>
            <w:pPr>
              <w:spacing w:after="0"/>
            </w:pPr>
            <w:r/>
            <w:r>
              <w:rPr>
                <w:rFonts w:ascii="Aptos" w:hAnsi="Aptos"/>
                <w:b w:val="0"/>
                <w:sz w:val="15"/>
              </w:rPr>
              <w:t>Confirm approved hosting, network, backups and retention.</w:t>
            </w:r>
          </w:p>
        </w:tc>
      </w:tr>
      <w:tr>
        <w:tc>
          <w:tcPr>
            <w:tcW w:type="dxa" w:w="3389"/>
            <w:vAlign w:val="center"/>
          </w:tcPr>
          <w:p>
            <w:pPr>
              <w:spacing w:after="0"/>
            </w:pPr>
            <w:r/>
            <w:r>
              <w:rPr>
                <w:rFonts w:ascii="Aptos" w:hAnsi="Aptos"/>
                <w:b w:val="0"/>
                <w:sz w:val="15"/>
              </w:rPr>
              <w:t>A-06</w:t>
            </w:r>
          </w:p>
        </w:tc>
        <w:tc>
          <w:tcPr>
            <w:tcW w:type="dxa" w:w="3389"/>
            <w:vAlign w:val="center"/>
          </w:tcPr>
          <w:p>
            <w:pPr>
              <w:spacing w:after="0"/>
            </w:pPr>
            <w:r/>
            <w:r>
              <w:rPr>
                <w:rFonts w:ascii="Aptos" w:hAnsi="Aptos"/>
                <w:b w:val="0"/>
                <w:sz w:val="15"/>
              </w:rPr>
              <w:t>The physical original remains required for at least some transactions.</w:t>
            </w:r>
          </w:p>
        </w:tc>
        <w:tc>
          <w:tcPr>
            <w:tcW w:type="dxa" w:w="3389"/>
            <w:vAlign w:val="center"/>
          </w:tcPr>
          <w:p>
            <w:pPr>
              <w:spacing w:after="0"/>
            </w:pPr>
            <w:r/>
            <w:r>
              <w:rPr>
                <w:rFonts w:ascii="Aptos" w:hAnsi="Aptos"/>
                <w:b w:val="0"/>
                <w:sz w:val="15"/>
              </w:rPr>
              <w:t>Confirm policy, audit needs, statutory requirements and which original documents must travel.</w:t>
            </w:r>
          </w:p>
        </w:tc>
      </w:tr>
      <w:tr>
        <w:tc>
          <w:tcPr>
            <w:tcW w:type="dxa" w:w="3389"/>
            <w:vAlign w:val="center"/>
          </w:tcPr>
          <w:p>
            <w:pPr>
              <w:spacing w:after="0"/>
            </w:pPr>
            <w:r/>
            <w:r>
              <w:rPr>
                <w:rFonts w:ascii="Aptos" w:hAnsi="Aptos"/>
                <w:b w:val="0"/>
                <w:sz w:val="15"/>
              </w:rPr>
              <w:t>A-07</w:t>
            </w:r>
          </w:p>
        </w:tc>
        <w:tc>
          <w:tcPr>
            <w:tcW w:type="dxa" w:w="3389"/>
            <w:vAlign w:val="center"/>
          </w:tcPr>
          <w:p>
            <w:pPr>
              <w:spacing w:after="0"/>
            </w:pPr>
            <w:r/>
            <w:r>
              <w:rPr>
                <w:rFonts w:ascii="Aptos" w:hAnsi="Aptos"/>
                <w:b w:val="0"/>
                <w:sz w:val="15"/>
              </w:rPr>
              <w:t>Production, maintenance and sales data may exist in registers, spreadsheets or DataMan reports.</w:t>
            </w:r>
          </w:p>
        </w:tc>
        <w:tc>
          <w:tcPr>
            <w:tcW w:type="dxa" w:w="3389"/>
            <w:vAlign w:val="center"/>
          </w:tcPr>
          <w:p>
            <w:pPr>
              <w:spacing w:after="0"/>
            </w:pPr>
            <w:r/>
            <w:r>
              <w:rPr>
                <w:rFonts w:ascii="Aptos" w:hAnsi="Aptos"/>
                <w:b w:val="0"/>
                <w:sz w:val="15"/>
              </w:rPr>
              <w:t>Inventory the current sources before building these modules.</w:t>
            </w:r>
          </w:p>
        </w:tc>
      </w:tr>
      <w:tr>
        <w:tc>
          <w:tcPr>
            <w:tcW w:type="dxa" w:w="3389"/>
            <w:vAlign w:val="center"/>
          </w:tcPr>
          <w:p>
            <w:pPr>
              <w:spacing w:after="0"/>
            </w:pPr>
            <w:r/>
            <w:r>
              <w:rPr>
                <w:rFonts w:ascii="Aptos" w:hAnsi="Aptos"/>
                <w:b w:val="0"/>
                <w:sz w:val="15"/>
              </w:rPr>
              <w:t>A-08</w:t>
            </w:r>
          </w:p>
        </w:tc>
        <w:tc>
          <w:tcPr>
            <w:tcW w:type="dxa" w:w="3389"/>
            <w:vAlign w:val="center"/>
          </w:tcPr>
          <w:p>
            <w:pPr>
              <w:spacing w:after="0"/>
            </w:pPr>
            <w:r/>
            <w:r>
              <w:rPr>
                <w:rFonts w:ascii="Aptos" w:hAnsi="Aptos"/>
                <w:b w:val="0"/>
                <w:sz w:val="15"/>
              </w:rPr>
              <w:t>Approval limits and segregation of duties can be documented by management.</w:t>
            </w:r>
          </w:p>
        </w:tc>
        <w:tc>
          <w:tcPr>
            <w:tcW w:type="dxa" w:w="3389"/>
            <w:vAlign w:val="center"/>
          </w:tcPr>
          <w:p>
            <w:pPr>
              <w:spacing w:after="0"/>
            </w:pPr>
            <w:r/>
            <w:r>
              <w:rPr>
                <w:rFonts w:ascii="Aptos" w:hAnsi="Aptos"/>
                <w:b w:val="0"/>
                <w:sz w:val="15"/>
              </w:rPr>
              <w:t>Obtain an approved delegation-of-authority matrix.</w:t>
            </w:r>
          </w:p>
        </w:tc>
      </w:tr>
    </w:tbl>
    <w:p/>
    <w:p>
      <w:pPr>
        <w:pStyle w:val="Heading2"/>
      </w:pPr>
      <w:r>
        <w:t>Open questions that block final production configuration</w:t>
      </w:r>
    </w:p>
    <w:p>
      <w:pPr>
        <w:pStyle w:val="ListBullet"/>
        <w:spacing w:after="30"/>
      </w:pPr>
      <w:r>
        <w:t>What is the exact DataMan product/version, and which reports can be exported? Obtain actual sample exports, not screenshots alone, if possible.</w:t>
      </w:r>
    </w:p>
    <w:p>
      <w:pPr>
        <w:pStyle w:val="ListBullet"/>
        <w:spacing w:after="30"/>
      </w:pPr>
      <w:r>
        <w:t>Who creates the GRN today, in which application/register, and at what exact point in the unloading sequence?</w:t>
      </w:r>
    </w:p>
    <w:p>
      <w:pPr>
        <w:pStyle w:val="ListBullet"/>
        <w:spacing w:after="30"/>
      </w:pPr>
      <w:r>
        <w:t>Which document is handed to the security cabin after QC, and who signs it?</w:t>
      </w:r>
    </w:p>
    <w:p>
      <w:pPr>
        <w:pStyle w:val="ListBullet"/>
        <w:spacing w:after="30"/>
      </w:pPr>
      <w:r>
        <w:t>Does the corporate office receive the supplier invoice in the same hard-copy bundle as the GRN, or separately?</w:t>
      </w:r>
    </w:p>
    <w:p>
      <w:pPr>
        <w:pStyle w:val="ListBullet"/>
        <w:spacing w:after="30"/>
      </w:pPr>
      <w:r>
        <w:t>What is the approved QC protocol for each incoming raw-material grade, including moisture/contamination handling and rejection authority?</w:t>
      </w:r>
    </w:p>
    <w:p>
      <w:pPr>
        <w:pStyle w:val="ListBullet"/>
        <w:spacing w:after="30"/>
      </w:pPr>
      <w:r>
        <w:t>Are gross/tare weights captured by an electronic weighbridge, printed slips, or manual entry?</w:t>
      </w:r>
    </w:p>
    <w:p>
      <w:pPr>
        <w:pStyle w:val="ListBullet"/>
        <w:spacing w:after="30"/>
      </w:pPr>
      <w:r>
        <w:t>Which roles can create, approve, post, reverse or correct a transaction, and what are the monetary approval limits?</w:t>
      </w:r>
    </w:p>
    <w:p>
      <w:pPr>
        <w:pStyle w:val="ListBullet"/>
        <w:spacing w:after="30"/>
      </w:pPr>
      <w:r>
        <w:t>What are the approved GST, e-way bill, invoice, record-retention and document-signature rules applicable to the business?</w:t>
      </w:r>
    </w:p>
    <w:p>
      <w:pPr>
        <w:pStyle w:val="ListBullet"/>
        <w:spacing w:after="30"/>
      </w:pPr>
      <w:r>
        <w:t>Which hosting environment, identity provider, backup location and IT security controls are approved?</w:t>
      </w:r>
    </w:p>
    <w:p>
      <w:pPr>
        <w:pStyle w:val="ListBullet"/>
        <w:spacing w:after="30"/>
      </w:pPr>
      <w:r>
        <w:t>Which operational systems currently hold production, stock, sales, maintenance, payroll and utility data?</w:t>
      </w:r>
    </w:p>
    <w:p>
      <w:pPr>
        <w:pStyle w:val="Heading1"/>
      </w:pPr>
      <w:r>
        <w:t>3. Scope and phased delivery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Phase</w:t>
            </w:r>
          </w:p>
        </w:tc>
        <w:tc>
          <w:tcPr>
            <w:tcW w:type="dxa" w:w="3389"/>
            <w:vAlign w:val="center"/>
            <w:shd w:fill="17324D"/>
          </w:tcPr>
          <w:p>
            <w:pPr>
              <w:spacing w:after="0"/>
            </w:pPr>
            <w:r/>
            <w:r>
              <w:rPr>
                <w:rFonts w:ascii="Aptos" w:hAnsi="Aptos"/>
                <w:b/>
                <w:color w:val="FFFFFF"/>
                <w:sz w:val="16"/>
              </w:rPr>
              <w:t>Scope</w:t>
            </w:r>
          </w:p>
        </w:tc>
        <w:tc>
          <w:tcPr>
            <w:tcW w:type="dxa" w:w="3389"/>
            <w:vAlign w:val="center"/>
            <w:shd w:fill="17324D"/>
          </w:tcPr>
          <w:p>
            <w:pPr>
              <w:spacing w:after="0"/>
            </w:pPr>
            <w:r/>
            <w:r>
              <w:rPr>
                <w:rFonts w:ascii="Aptos" w:hAnsi="Aptos"/>
                <w:b/>
                <w:color w:val="FFFFFF"/>
                <w:sz w:val="16"/>
              </w:rPr>
              <w:t>Exit criteria</w:t>
            </w:r>
          </w:p>
        </w:tc>
      </w:tr>
      <w:tr>
        <w:tc>
          <w:tcPr>
            <w:tcW w:type="dxa" w:w="3389"/>
            <w:vAlign w:val="center"/>
          </w:tcPr>
          <w:p>
            <w:pPr>
              <w:spacing w:after="0"/>
            </w:pPr>
            <w:r/>
            <w:r>
              <w:rPr>
                <w:rFonts w:ascii="Aptos" w:hAnsi="Aptos"/>
                <w:b w:val="0"/>
                <w:sz w:val="15"/>
              </w:rPr>
              <w:t>0. Discovery and baseline</w:t>
            </w:r>
          </w:p>
        </w:tc>
        <w:tc>
          <w:tcPr>
            <w:tcW w:type="dxa" w:w="3389"/>
            <w:vAlign w:val="center"/>
          </w:tcPr>
          <w:p>
            <w:pPr>
              <w:spacing w:after="0"/>
            </w:pPr>
            <w:r/>
            <w:r>
              <w:rPr>
                <w:rFonts w:ascii="Aptos" w:hAnsi="Aptos"/>
                <w:b w:val="0"/>
                <w:sz w:val="15"/>
              </w:rPr>
              <w:t>Observe process; collect blank/sample forms and anonymised exports; map owners, approvals, document variants, network/device conditions; measure current cycle times.</w:t>
            </w:r>
          </w:p>
        </w:tc>
        <w:tc>
          <w:tcPr>
            <w:tcW w:type="dxa" w:w="3389"/>
            <w:vAlign w:val="center"/>
          </w:tcPr>
          <w:p>
            <w:pPr>
              <w:spacing w:after="0"/>
            </w:pPr>
            <w:r/>
            <w:r>
              <w:rPr>
                <w:rFonts w:ascii="Aptos" w:hAnsi="Aptos"/>
                <w:b w:val="0"/>
                <w:sz w:val="15"/>
              </w:rPr>
              <w:t>Signed current-state map, data dictionary, approved roles, baseline metrics, risks and integration proof.</w:t>
            </w:r>
          </w:p>
        </w:tc>
      </w:tr>
      <w:tr>
        <w:tc>
          <w:tcPr>
            <w:tcW w:type="dxa" w:w="3389"/>
            <w:vAlign w:val="center"/>
          </w:tcPr>
          <w:p>
            <w:pPr>
              <w:spacing w:after="0"/>
            </w:pPr>
            <w:r/>
            <w:r>
              <w:rPr>
                <w:rFonts w:ascii="Aptos" w:hAnsi="Aptos"/>
                <w:b w:val="0"/>
                <w:sz w:val="15"/>
              </w:rPr>
              <w:t>1. Digital inward/QC/GRN packet</w:t>
            </w:r>
          </w:p>
        </w:tc>
        <w:tc>
          <w:tcPr>
            <w:tcW w:type="dxa" w:w="3389"/>
            <w:vAlign w:val="center"/>
          </w:tcPr>
          <w:p>
            <w:pPr>
              <w:spacing w:after="0"/>
            </w:pPr>
            <w:r/>
            <w:r>
              <w:rPr>
                <w:rFonts w:ascii="Aptos" w:hAnsi="Aptos"/>
                <w:b w:val="0"/>
                <w:sz w:val="15"/>
              </w:rPr>
              <w:t>Truck inward, weighment capture, unloading QC, accepted/rejected/held quantity, GRN reference, attachments, audit trail, digital handoff to corporate, physical-original tracking.</w:t>
            </w:r>
          </w:p>
        </w:tc>
        <w:tc>
          <w:tcPr>
            <w:tcW w:type="dxa" w:w="3389"/>
            <w:vAlign w:val="center"/>
          </w:tcPr>
          <w:p>
            <w:pPr>
              <w:spacing w:after="0"/>
            </w:pPr>
            <w:r/>
            <w:r>
              <w:rPr>
                <w:rFonts w:ascii="Aptos" w:hAnsi="Aptos"/>
                <w:b w:val="0"/>
                <w:sz w:val="15"/>
              </w:rPr>
              <w:t>Pilot users can trace a delivery end-to-end; corporate sees the packet promptly; paper original remains traceable.</w:t>
            </w:r>
          </w:p>
        </w:tc>
      </w:tr>
      <w:tr>
        <w:tc>
          <w:tcPr>
            <w:tcW w:type="dxa" w:w="3389"/>
            <w:vAlign w:val="center"/>
          </w:tcPr>
          <w:p>
            <w:pPr>
              <w:spacing w:after="0"/>
            </w:pPr>
            <w:r/>
            <w:r>
              <w:rPr>
                <w:rFonts w:ascii="Aptos" w:hAnsi="Aptos"/>
                <w:b w:val="0"/>
                <w:sz w:val="15"/>
              </w:rPr>
              <w:t>2. Excel integration and bill workflow</w:t>
            </w:r>
          </w:p>
        </w:tc>
        <w:tc>
          <w:tcPr>
            <w:tcW w:type="dxa" w:w="3389"/>
            <w:vAlign w:val="center"/>
          </w:tcPr>
          <w:p>
            <w:pPr>
              <w:spacing w:after="0"/>
            </w:pPr>
            <w:r/>
            <w:r>
              <w:rPr>
                <w:rFonts w:ascii="Aptos" w:hAnsi="Aptos"/>
                <w:b w:val="0"/>
                <w:sz w:val="15"/>
              </w:rPr>
              <w:t>Import PO/GRN/vendor/bill/voucher/payables exports; map columns; validation; three-way matching; exception queue; posting status reconciliation.</w:t>
            </w:r>
          </w:p>
        </w:tc>
        <w:tc>
          <w:tcPr>
            <w:tcW w:type="dxa" w:w="3389"/>
            <w:vAlign w:val="center"/>
          </w:tcPr>
          <w:p>
            <w:pPr>
              <w:spacing w:after="0"/>
            </w:pPr>
            <w:r/>
            <w:r>
              <w:rPr>
                <w:rFonts w:ascii="Aptos" w:hAnsi="Aptos"/>
                <w:b w:val="0"/>
                <w:sz w:val="15"/>
              </w:rPr>
              <w:t>Imports are repeatable/idempotent; all totals reconcile to source exports; posted status comes only from authoritative evidence.</w:t>
            </w:r>
          </w:p>
        </w:tc>
      </w:tr>
      <w:tr>
        <w:tc>
          <w:tcPr>
            <w:tcW w:type="dxa" w:w="3389"/>
            <w:vAlign w:val="center"/>
          </w:tcPr>
          <w:p>
            <w:pPr>
              <w:spacing w:after="0"/>
            </w:pPr>
            <w:r/>
            <w:r>
              <w:rPr>
                <w:rFonts w:ascii="Aptos" w:hAnsi="Aptos"/>
                <w:b w:val="0"/>
                <w:sz w:val="15"/>
              </w:rPr>
              <w:t>3. Inventory and procurement</w:t>
            </w:r>
          </w:p>
        </w:tc>
        <w:tc>
          <w:tcPr>
            <w:tcW w:type="dxa" w:w="3389"/>
            <w:vAlign w:val="center"/>
          </w:tcPr>
          <w:p>
            <w:pPr>
              <w:spacing w:after="0"/>
            </w:pPr>
            <w:r/>
            <w:r>
              <w:rPr>
                <w:rFonts w:ascii="Aptos" w:hAnsi="Aptos"/>
                <w:b w:val="0"/>
                <w:sz w:val="15"/>
              </w:rPr>
              <w:t>Item/vendor master snapshots, stock status, purchase requests/PO references, stock movements, returns, reorder and supplier performance.</w:t>
            </w:r>
          </w:p>
        </w:tc>
        <w:tc>
          <w:tcPr>
            <w:tcW w:type="dxa" w:w="3389"/>
            <w:vAlign w:val="center"/>
          </w:tcPr>
          <w:p>
            <w:pPr>
              <w:spacing w:after="0"/>
            </w:pPr>
            <w:r/>
            <w:r>
              <w:rPr>
                <w:rFonts w:ascii="Aptos" w:hAnsi="Aptos"/>
                <w:b w:val="0"/>
                <w:sz w:val="15"/>
              </w:rPr>
              <w:t>Stock events have traceable references; no duplicate accounting entries; variances are explainable.</w:t>
            </w:r>
          </w:p>
        </w:tc>
      </w:tr>
      <w:tr>
        <w:tc>
          <w:tcPr>
            <w:tcW w:type="dxa" w:w="3389"/>
            <w:vAlign w:val="center"/>
          </w:tcPr>
          <w:p>
            <w:pPr>
              <w:spacing w:after="0"/>
            </w:pPr>
            <w:r/>
            <w:r>
              <w:rPr>
                <w:rFonts w:ascii="Aptos" w:hAnsi="Aptos"/>
                <w:b w:val="0"/>
                <w:sz w:val="15"/>
              </w:rPr>
              <w:t>4. Production and quality</w:t>
            </w:r>
          </w:p>
        </w:tc>
        <w:tc>
          <w:tcPr>
            <w:tcW w:type="dxa" w:w="3389"/>
            <w:vAlign w:val="center"/>
          </w:tcPr>
          <w:p>
            <w:pPr>
              <w:spacing w:after="0"/>
            </w:pPr>
            <w:r/>
            <w:r>
              <w:rPr>
                <w:rFonts w:ascii="Aptos" w:hAnsi="Aptos"/>
                <w:b w:val="0"/>
                <w:sz w:val="15"/>
              </w:rPr>
              <w:t>Production plan, shift output, grade/reel/batch traceability where available, consumption, waste, downtime, finished-goods records and lab results.</w:t>
            </w:r>
          </w:p>
        </w:tc>
        <w:tc>
          <w:tcPr>
            <w:tcW w:type="dxa" w:w="3389"/>
            <w:vAlign w:val="center"/>
          </w:tcPr>
          <w:p>
            <w:pPr>
              <w:spacing w:after="0"/>
            </w:pPr>
            <w:r/>
            <w:r>
              <w:rPr>
                <w:rFonts w:ascii="Aptos" w:hAnsi="Aptos"/>
                <w:b w:val="0"/>
                <w:sz w:val="15"/>
              </w:rPr>
              <w:t>Production reports have definitions, ownership and reconciliation to source records.</w:t>
            </w:r>
          </w:p>
        </w:tc>
      </w:tr>
      <w:tr>
        <w:tc>
          <w:tcPr>
            <w:tcW w:type="dxa" w:w="3389"/>
            <w:vAlign w:val="center"/>
          </w:tcPr>
          <w:p>
            <w:pPr>
              <w:spacing w:after="0"/>
            </w:pPr>
            <w:r/>
            <w:r>
              <w:rPr>
                <w:rFonts w:ascii="Aptos" w:hAnsi="Aptos"/>
                <w:b w:val="0"/>
                <w:sz w:val="15"/>
              </w:rPr>
              <w:t>5. Maintenance/utilities</w:t>
            </w:r>
          </w:p>
        </w:tc>
        <w:tc>
          <w:tcPr>
            <w:tcW w:type="dxa" w:w="3389"/>
            <w:vAlign w:val="center"/>
          </w:tcPr>
          <w:p>
            <w:pPr>
              <w:spacing w:after="0"/>
            </w:pPr>
            <w:r/>
            <w:r>
              <w:rPr>
                <w:rFonts w:ascii="Aptos" w:hAnsi="Aptos"/>
                <w:b w:val="0"/>
                <w:sz w:val="15"/>
              </w:rPr>
              <w:t>Asset register, preventive maintenance, breakdown/work orders, spares usage, downtime and utility readings.</w:t>
            </w:r>
          </w:p>
        </w:tc>
        <w:tc>
          <w:tcPr>
            <w:tcW w:type="dxa" w:w="3389"/>
            <w:vAlign w:val="center"/>
          </w:tcPr>
          <w:p>
            <w:pPr>
              <w:spacing w:after="0"/>
            </w:pPr>
            <w:r/>
            <w:r>
              <w:rPr>
                <w:rFonts w:ascii="Aptos" w:hAnsi="Aptos"/>
                <w:b w:val="0"/>
                <w:sz w:val="15"/>
              </w:rPr>
              <w:t>Maintenance tasks and downtime are traceable; meter-based values show source and freshness.</w:t>
            </w:r>
          </w:p>
        </w:tc>
      </w:tr>
      <w:tr>
        <w:tc>
          <w:tcPr>
            <w:tcW w:type="dxa" w:w="3389"/>
            <w:vAlign w:val="center"/>
          </w:tcPr>
          <w:p>
            <w:pPr>
              <w:spacing w:after="0"/>
            </w:pPr>
            <w:r/>
            <w:r>
              <w:rPr>
                <w:rFonts w:ascii="Aptos" w:hAnsi="Aptos"/>
                <w:b w:val="0"/>
                <w:sz w:val="15"/>
              </w:rPr>
              <w:t>6. Sales/dispatch/receivables</w:t>
            </w:r>
          </w:p>
        </w:tc>
        <w:tc>
          <w:tcPr>
            <w:tcW w:type="dxa" w:w="3389"/>
            <w:vAlign w:val="center"/>
          </w:tcPr>
          <w:p>
            <w:pPr>
              <w:spacing w:after="0"/>
            </w:pPr>
            <w:r/>
            <w:r>
              <w:rPr>
                <w:rFonts w:ascii="Aptos" w:hAnsi="Aptos"/>
                <w:b w:val="0"/>
                <w:sz w:val="15"/>
              </w:rPr>
              <w:t>Sales orders or imported snapshots, finished stock allocation, dispatch packet, delivery status, invoice/receivable/payment imports.</w:t>
            </w:r>
          </w:p>
        </w:tc>
        <w:tc>
          <w:tcPr>
            <w:tcW w:type="dxa" w:w="3389"/>
            <w:vAlign w:val="center"/>
          </w:tcPr>
          <w:p>
            <w:pPr>
              <w:spacing w:after="0"/>
            </w:pPr>
            <w:r/>
            <w:r>
              <w:rPr>
                <w:rFonts w:ascii="Aptos" w:hAnsi="Aptos"/>
                <w:b w:val="0"/>
                <w:sz w:val="15"/>
              </w:rPr>
              <w:t>Dispatch and receivable states reconcile to approved source data.</w:t>
            </w:r>
          </w:p>
        </w:tc>
      </w:tr>
      <w:tr>
        <w:tc>
          <w:tcPr>
            <w:tcW w:type="dxa" w:w="3389"/>
            <w:vAlign w:val="center"/>
          </w:tcPr>
          <w:p>
            <w:pPr>
              <w:spacing w:after="0"/>
            </w:pPr>
            <w:r/>
            <w:r>
              <w:rPr>
                <w:rFonts w:ascii="Aptos" w:hAnsi="Aptos"/>
                <w:b w:val="0"/>
                <w:sz w:val="15"/>
              </w:rPr>
              <w:t>7. MD analytics and optimisation</w:t>
            </w:r>
          </w:p>
        </w:tc>
        <w:tc>
          <w:tcPr>
            <w:tcW w:type="dxa" w:w="3389"/>
            <w:vAlign w:val="center"/>
          </w:tcPr>
          <w:p>
            <w:pPr>
              <w:spacing w:after="0"/>
            </w:pPr>
            <w:r/>
            <w:r>
              <w:rPr>
                <w:rFonts w:ascii="Aptos" w:hAnsi="Aptos"/>
                <w:b w:val="0"/>
                <w:sz w:val="15"/>
              </w:rPr>
              <w:t>Company-wide KPIs, cash/working-capital views, exception alerts, trend analytics, forecasting only after sufficient clean history.</w:t>
            </w:r>
          </w:p>
        </w:tc>
        <w:tc>
          <w:tcPr>
            <w:tcW w:type="dxa" w:w="3389"/>
            <w:vAlign w:val="center"/>
          </w:tcPr>
          <w:p>
            <w:pPr>
              <w:spacing w:after="0"/>
            </w:pPr>
            <w:r/>
            <w:r>
              <w:rPr>
                <w:rFonts w:ascii="Aptos" w:hAnsi="Aptos"/>
                <w:b w:val="0"/>
                <w:sz w:val="15"/>
              </w:rPr>
              <w:t>Dashboard values reconcile to source; definitions are signed off; stale/estimated values are visibly labelled.</w:t>
            </w:r>
          </w:p>
        </w:tc>
      </w:tr>
    </w:tbl>
    <w:p/>
    <w:p>
      <w:r>
        <w:t>Planning note: the phase durations must be estimated after discovery. Do not promise a delivery date until the DataMan export formats, data ownership, hosting and device readiness have been checked.</w:t>
      </w:r>
    </w:p>
    <w:p>
      <w:pPr>
        <w:pStyle w:val="Heading1"/>
      </w:pPr>
      <w:r>
        <w:t>4. System principles and architecture</w:t>
      </w:r>
    </w:p>
    <w:p>
      <w:pPr>
        <w:pStyle w:val="Heading2"/>
      </w:pPr>
      <w:r>
        <w:t>System-of-record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Data domain</w:t>
            </w:r>
          </w:p>
        </w:tc>
        <w:tc>
          <w:tcPr>
            <w:tcW w:type="dxa" w:w="3389"/>
            <w:vAlign w:val="center"/>
            <w:shd w:fill="17324D"/>
          </w:tcPr>
          <w:p>
            <w:pPr>
              <w:spacing w:after="0"/>
            </w:pPr>
            <w:r/>
            <w:r>
              <w:rPr>
                <w:rFonts w:ascii="Aptos" w:hAnsi="Aptos"/>
                <w:b/>
                <w:color w:val="FFFFFF"/>
                <w:sz w:val="16"/>
              </w:rPr>
              <w:t>Authoritative source initially</w:t>
            </w:r>
          </w:p>
        </w:tc>
        <w:tc>
          <w:tcPr>
            <w:tcW w:type="dxa" w:w="3389"/>
            <w:vAlign w:val="center"/>
            <w:shd w:fill="17324D"/>
          </w:tcPr>
          <w:p>
            <w:pPr>
              <w:spacing w:after="0"/>
            </w:pPr>
            <w:r/>
            <w:r>
              <w:rPr>
                <w:rFonts w:ascii="Aptos" w:hAnsi="Aptos"/>
                <w:b/>
                <w:color w:val="FFFFFF"/>
                <w:sz w:val="16"/>
              </w:rPr>
              <w:t>New platform responsibility</w:t>
            </w:r>
          </w:p>
        </w:tc>
      </w:tr>
      <w:tr>
        <w:tc>
          <w:tcPr>
            <w:tcW w:type="dxa" w:w="3389"/>
            <w:vAlign w:val="center"/>
          </w:tcPr>
          <w:p>
            <w:pPr>
              <w:spacing w:after="0"/>
            </w:pPr>
            <w:r/>
            <w:r>
              <w:rPr>
                <w:rFonts w:ascii="Aptos" w:hAnsi="Aptos"/>
                <w:b w:val="0"/>
                <w:sz w:val="15"/>
              </w:rPr>
              <w:t>Official accounting voucher, supplier ledger, payment, tax ledger</w:t>
            </w:r>
          </w:p>
        </w:tc>
        <w:tc>
          <w:tcPr>
            <w:tcW w:type="dxa" w:w="3389"/>
            <w:vAlign w:val="center"/>
          </w:tcPr>
          <w:p>
            <w:pPr>
              <w:spacing w:after="0"/>
            </w:pPr>
            <w:r/>
            <w:r>
              <w:rPr>
                <w:rFonts w:ascii="Aptos" w:hAnsi="Aptos"/>
                <w:b w:val="0"/>
                <w:sz w:val="15"/>
              </w:rPr>
              <w:t>DataMan ERP</w:t>
            </w:r>
          </w:p>
        </w:tc>
        <w:tc>
          <w:tcPr>
            <w:tcW w:type="dxa" w:w="3389"/>
            <w:vAlign w:val="center"/>
          </w:tcPr>
          <w:p>
            <w:pPr>
              <w:spacing w:after="0"/>
            </w:pPr>
            <w:r/>
            <w:r>
              <w:rPr>
                <w:rFonts w:ascii="Aptos" w:hAnsi="Aptos"/>
                <w:b w:val="0"/>
                <w:sz w:val="15"/>
              </w:rPr>
              <w:t>Read/import for visibility; link to voucher/reference; never independently post duplicate entries.</w:t>
            </w:r>
          </w:p>
        </w:tc>
      </w:tr>
      <w:tr>
        <w:tc>
          <w:tcPr>
            <w:tcW w:type="dxa" w:w="3389"/>
            <w:vAlign w:val="center"/>
          </w:tcPr>
          <w:p>
            <w:pPr>
              <w:spacing w:after="0"/>
            </w:pPr>
            <w:r/>
            <w:r>
              <w:rPr>
                <w:rFonts w:ascii="Aptos" w:hAnsi="Aptos"/>
                <w:b w:val="0"/>
                <w:sz w:val="15"/>
              </w:rPr>
              <w:t>Truck arrival, timestamps, queue status</w:t>
            </w:r>
          </w:p>
        </w:tc>
        <w:tc>
          <w:tcPr>
            <w:tcW w:type="dxa" w:w="3389"/>
            <w:vAlign w:val="center"/>
          </w:tcPr>
          <w:p>
            <w:pPr>
              <w:spacing w:after="0"/>
            </w:pPr>
            <w:r/>
            <w:r>
              <w:rPr>
                <w:rFonts w:ascii="Aptos" w:hAnsi="Aptos"/>
                <w:b w:val="0"/>
                <w:sz w:val="15"/>
              </w:rPr>
              <w:t>New platform, once adopted operationally</w:t>
            </w:r>
          </w:p>
        </w:tc>
        <w:tc>
          <w:tcPr>
            <w:tcW w:type="dxa" w:w="3389"/>
            <w:vAlign w:val="center"/>
          </w:tcPr>
          <w:p>
            <w:pPr>
              <w:spacing w:after="0"/>
            </w:pPr>
            <w:r/>
            <w:r>
              <w:rPr>
                <w:rFonts w:ascii="Aptos" w:hAnsi="Aptos"/>
                <w:b w:val="0"/>
                <w:sz w:val="15"/>
              </w:rPr>
              <w:t>Capture event and audit history.</w:t>
            </w:r>
          </w:p>
        </w:tc>
      </w:tr>
      <w:tr>
        <w:tc>
          <w:tcPr>
            <w:tcW w:type="dxa" w:w="3389"/>
            <w:vAlign w:val="center"/>
          </w:tcPr>
          <w:p>
            <w:pPr>
              <w:spacing w:after="0"/>
            </w:pPr>
            <w:r/>
            <w:r>
              <w:rPr>
                <w:rFonts w:ascii="Aptos" w:hAnsi="Aptos"/>
                <w:b w:val="0"/>
                <w:sz w:val="15"/>
              </w:rPr>
              <w:t>QC performed during unloading</w:t>
            </w:r>
          </w:p>
        </w:tc>
        <w:tc>
          <w:tcPr>
            <w:tcW w:type="dxa" w:w="3389"/>
            <w:vAlign w:val="center"/>
          </w:tcPr>
          <w:p>
            <w:pPr>
              <w:spacing w:after="0"/>
            </w:pPr>
            <w:r/>
            <w:r>
              <w:rPr>
                <w:rFonts w:ascii="Aptos" w:hAnsi="Aptos"/>
                <w:b w:val="0"/>
                <w:sz w:val="15"/>
              </w:rPr>
              <w:t>New platform or approved existing QC record</w:t>
            </w:r>
          </w:p>
        </w:tc>
        <w:tc>
          <w:tcPr>
            <w:tcW w:type="dxa" w:w="3389"/>
            <w:vAlign w:val="center"/>
          </w:tcPr>
          <w:p>
            <w:pPr>
              <w:spacing w:after="0"/>
            </w:pPr>
            <w:r/>
            <w:r>
              <w:rPr>
                <w:rFonts w:ascii="Aptos" w:hAnsi="Aptos"/>
                <w:b w:val="0"/>
                <w:sz w:val="15"/>
              </w:rPr>
              <w:t>Record result, evidence, inspector and decision.</w:t>
            </w:r>
          </w:p>
        </w:tc>
      </w:tr>
      <w:tr>
        <w:tc>
          <w:tcPr>
            <w:tcW w:type="dxa" w:w="3389"/>
            <w:vAlign w:val="center"/>
          </w:tcPr>
          <w:p>
            <w:pPr>
              <w:spacing w:after="0"/>
            </w:pPr>
            <w:r/>
            <w:r>
              <w:rPr>
                <w:rFonts w:ascii="Aptos" w:hAnsi="Aptos"/>
                <w:b w:val="0"/>
                <w:sz w:val="15"/>
              </w:rPr>
              <w:t>GRN legal/official record</w:t>
            </w:r>
          </w:p>
        </w:tc>
        <w:tc>
          <w:tcPr>
            <w:tcW w:type="dxa" w:w="3389"/>
            <w:vAlign w:val="center"/>
          </w:tcPr>
          <w:p>
            <w:pPr>
              <w:spacing w:after="0"/>
            </w:pPr>
            <w:r/>
            <w:r>
              <w:rPr>
                <w:rFonts w:ascii="Aptos" w:hAnsi="Aptos"/>
                <w:b w:val="0"/>
                <w:sz w:val="15"/>
              </w:rPr>
              <w:t>To verify: DataMan or existing approved process</w:t>
            </w:r>
          </w:p>
        </w:tc>
        <w:tc>
          <w:tcPr>
            <w:tcW w:type="dxa" w:w="3389"/>
            <w:vAlign w:val="center"/>
          </w:tcPr>
          <w:p>
            <w:pPr>
              <w:spacing w:after="0"/>
            </w:pPr>
            <w:r/>
            <w:r>
              <w:rPr>
                <w:rFonts w:ascii="Aptos" w:hAnsi="Aptos"/>
                <w:b w:val="0"/>
                <w:sz w:val="15"/>
              </w:rPr>
              <w:t>Store reference and supporting packet; do not silently replace official GRN creation.</w:t>
            </w:r>
          </w:p>
        </w:tc>
      </w:tr>
      <w:tr>
        <w:tc>
          <w:tcPr>
            <w:tcW w:type="dxa" w:w="3389"/>
            <w:vAlign w:val="center"/>
          </w:tcPr>
          <w:p>
            <w:pPr>
              <w:spacing w:after="0"/>
            </w:pPr>
            <w:r/>
            <w:r>
              <w:rPr>
                <w:rFonts w:ascii="Aptos" w:hAnsi="Aptos"/>
                <w:b w:val="0"/>
                <w:sz w:val="15"/>
              </w:rPr>
              <w:t>Scanned document images</w:t>
            </w:r>
          </w:p>
        </w:tc>
        <w:tc>
          <w:tcPr>
            <w:tcW w:type="dxa" w:w="3389"/>
            <w:vAlign w:val="center"/>
          </w:tcPr>
          <w:p>
            <w:pPr>
              <w:spacing w:after="0"/>
            </w:pPr>
            <w:r/>
            <w:r>
              <w:rPr>
                <w:rFonts w:ascii="Aptos" w:hAnsi="Aptos"/>
                <w:b w:val="0"/>
                <w:sz w:val="15"/>
              </w:rPr>
              <w:t>New platform document store</w:t>
            </w:r>
          </w:p>
        </w:tc>
        <w:tc>
          <w:tcPr>
            <w:tcW w:type="dxa" w:w="3389"/>
            <w:vAlign w:val="center"/>
          </w:tcPr>
          <w:p>
            <w:pPr>
              <w:spacing w:after="0"/>
            </w:pPr>
            <w:r/>
            <w:r>
              <w:rPr>
                <w:rFonts w:ascii="Aptos" w:hAnsi="Aptos"/>
                <w:b w:val="0"/>
                <w:sz w:val="15"/>
              </w:rPr>
              <w:t>Secure storage, versioning, checksum, access log and link to transaction.</w:t>
            </w:r>
          </w:p>
        </w:tc>
      </w:tr>
      <w:tr>
        <w:tc>
          <w:tcPr>
            <w:tcW w:type="dxa" w:w="3389"/>
            <w:vAlign w:val="center"/>
          </w:tcPr>
          <w:p>
            <w:pPr>
              <w:spacing w:after="0"/>
            </w:pPr>
            <w:r/>
            <w:r>
              <w:rPr>
                <w:rFonts w:ascii="Aptos" w:hAnsi="Aptos"/>
                <w:b w:val="0"/>
                <w:sz w:val="15"/>
              </w:rPr>
              <w:t>Imported PO/vendor/material/bill snapshots</w:t>
            </w:r>
          </w:p>
        </w:tc>
        <w:tc>
          <w:tcPr>
            <w:tcW w:type="dxa" w:w="3389"/>
            <w:vAlign w:val="center"/>
          </w:tcPr>
          <w:p>
            <w:pPr>
              <w:spacing w:after="0"/>
            </w:pPr>
            <w:r/>
            <w:r>
              <w:rPr>
                <w:rFonts w:ascii="Aptos" w:hAnsi="Aptos"/>
                <w:b w:val="0"/>
                <w:sz w:val="15"/>
              </w:rPr>
              <w:t>DataMan export as of import time</w:t>
            </w:r>
          </w:p>
        </w:tc>
        <w:tc>
          <w:tcPr>
            <w:tcW w:type="dxa" w:w="3389"/>
            <w:vAlign w:val="center"/>
          </w:tcPr>
          <w:p>
            <w:pPr>
              <w:spacing w:after="0"/>
            </w:pPr>
            <w:r/>
            <w:r>
              <w:rPr>
                <w:rFonts w:ascii="Aptos" w:hAnsi="Aptos"/>
                <w:b w:val="0"/>
                <w:sz w:val="15"/>
              </w:rPr>
              <w:t>Validate, normalise, reconcile, show import time and source file.</w:t>
            </w:r>
          </w:p>
        </w:tc>
      </w:tr>
      <w:tr>
        <w:tc>
          <w:tcPr>
            <w:tcW w:type="dxa" w:w="3389"/>
            <w:vAlign w:val="center"/>
          </w:tcPr>
          <w:p>
            <w:pPr>
              <w:spacing w:after="0"/>
            </w:pPr>
            <w:r/>
            <w:r>
              <w:rPr>
                <w:rFonts w:ascii="Aptos" w:hAnsi="Aptos"/>
                <w:b w:val="0"/>
                <w:sz w:val="15"/>
              </w:rPr>
              <w:t>Production/maintenance/sales events</w:t>
            </w:r>
          </w:p>
        </w:tc>
        <w:tc>
          <w:tcPr>
            <w:tcW w:type="dxa" w:w="3389"/>
            <w:vAlign w:val="center"/>
          </w:tcPr>
          <w:p>
            <w:pPr>
              <w:spacing w:after="0"/>
            </w:pPr>
            <w:r/>
            <w:r>
              <w:rPr>
                <w:rFonts w:ascii="Aptos" w:hAnsi="Aptos"/>
                <w:b w:val="0"/>
                <w:sz w:val="15"/>
              </w:rPr>
              <w:t>To verify by domain</w:t>
            </w:r>
          </w:p>
        </w:tc>
        <w:tc>
          <w:tcPr>
            <w:tcW w:type="dxa" w:w="3389"/>
            <w:vAlign w:val="center"/>
          </w:tcPr>
          <w:p>
            <w:pPr>
              <w:spacing w:after="0"/>
            </w:pPr>
            <w:r/>
            <w:r>
              <w:rPr>
                <w:rFonts w:ascii="Aptos" w:hAnsi="Aptos"/>
                <w:b w:val="0"/>
                <w:sz w:val="15"/>
              </w:rPr>
              <w:t>Capture or import according to the approved phase/source.</w:t>
            </w:r>
          </w:p>
        </w:tc>
      </w:tr>
    </w:tbl>
    <w:p/>
    <w:p>
      <w:pPr>
        <w:pStyle w:val="Heading2"/>
      </w:pPr>
      <w:r>
        <w:t>Logical components</w:t>
      </w:r>
    </w:p>
    <w:p>
      <w:pPr>
        <w:pStyle w:val="ListBullet"/>
        <w:spacing w:after="30"/>
      </w:pPr>
      <w:r>
        <w:t>Responsive web application: corporate accounts, management, procurement, stores and administration.</w:t>
      </w:r>
    </w:p>
    <w:p>
      <w:pPr>
        <w:pStyle w:val="ListBullet"/>
        <w:spacing w:after="30"/>
      </w:pPr>
      <w:r>
        <w:t>Factory mobile app: security, weighbridge, QC, stores, production and maintenance, with role-specific screens and camera/file upload.</w:t>
      </w:r>
    </w:p>
    <w:p>
      <w:pPr>
        <w:pStyle w:val="ListBullet"/>
        <w:spacing w:after="30"/>
      </w:pPr>
      <w:r>
        <w:t>Backend API and workflow service: validation, state transitions, approvals, notifications, idempotency and audit logging.</w:t>
      </w:r>
    </w:p>
    <w:p>
      <w:pPr>
        <w:pStyle w:val="ListBullet"/>
        <w:spacing w:after="30"/>
      </w:pPr>
      <w:r>
        <w:t>Relational application database: operational records, references, statuses, mappings and audit events.</w:t>
      </w:r>
    </w:p>
    <w:p>
      <w:pPr>
        <w:pStyle w:val="ListBullet"/>
        <w:spacing w:after="30"/>
      </w:pPr>
      <w:r>
        <w:t>Document/object storage: scans, photos, QC evidence and exports, with encryption and retention controls.</w:t>
      </w:r>
    </w:p>
    <w:p>
      <w:pPr>
        <w:pStyle w:val="ListBullet"/>
        <w:spacing w:after="30"/>
      </w:pPr>
      <w:r>
        <w:t>Excel import service: upload/watch-folder intake, schema mapping, validation report, import batch, duplicate handling and reconciliation.</w:t>
      </w:r>
    </w:p>
    <w:p>
      <w:pPr>
        <w:pStyle w:val="ListBullet"/>
        <w:spacing w:after="30"/>
      </w:pPr>
      <w:r>
        <w:t>Notification service: in-app/email/approved messaging; avoid sending sensitive documents through unapproved channels.</w:t>
      </w:r>
    </w:p>
    <w:p>
      <w:pPr>
        <w:pStyle w:val="ListBullet"/>
        <w:spacing w:after="30"/>
      </w:pPr>
      <w:r>
        <w:t>Analytics/read model: metrics derived from operational events and imported snapshots; source and freshness shown for each KPI.</w:t>
      </w:r>
    </w:p>
    <w:p>
      <w:pPr>
        <w:pStyle w:val="ListBullet"/>
        <w:spacing w:after="30"/>
      </w:pPr>
      <w:r>
        <w:t>Integration monitoring: import failures, missing exports, schema changes, stale data, row rejections and reconciliation differences.</w:t>
      </w:r>
    </w:p>
    <w:p>
      <w:pPr>
        <w:pStyle w:val="Heading2"/>
      </w:pPr>
      <w:r>
        <w:t>Recommended technology approach</w:t>
      </w:r>
    </w:p>
    <w:p>
      <w:r>
        <w:t>Use a maintainable, widely supported stack selected by the implementation team after checking company IT standards. A reasonable default is TypeScript-based web/mobile interfaces, a documented backend API, a relational database, private object storage, automated tests and role-based access control. The mobile application should support camera capture and, if factory connectivity is unreliable, an explicitly designed offline queue. Do not select infrastructure or third-party services before confirming hosting, data residency, connectivity, licensing and security requirements.</w:t>
      </w:r>
    </w:p>
    <w:p>
      <w:r>
        <w:t>The Excel integration must be implemented as a controlled import pipeline, not as fragile cell-copying automation. Read-only DataMan exports are the initial contract. Do not write to DataMan files, database tables or screens.</w:t>
      </w:r>
    </w:p>
    <w:p>
      <w:pPr>
        <w:pStyle w:val="Heading1"/>
      </w:pPr>
      <w:r>
        <w:t>5. Detailed standard operating procedures (SOPs)</w:t>
      </w:r>
    </w:p>
    <w:p>
      <w:pPr>
        <w:pStyle w:val="Heading2"/>
      </w:pPr>
      <w:r>
        <w:t>SOP 1 — Truck inward</w:t>
      </w:r>
    </w:p>
    <w:p>
      <w:pPr>
        <w:pStyle w:val="ListNumber"/>
        <w:spacing w:after="30"/>
      </w:pPr>
      <w:r>
        <w:t>Security starts an inward transaction before the truck is allowed to proceed under the existing gate policy.</w:t>
      </w:r>
    </w:p>
    <w:p>
      <w:pPr>
        <w:pStyle w:val="ListNumber"/>
        <w:spacing w:after="30"/>
      </w:pPr>
      <w:r>
        <w:t>Capture inward ID, arrival timestamp, truck registration, supplier reference, driver details only if required by policy, PO reference if available, declared material, delivery document references and user identity.</w:t>
      </w:r>
    </w:p>
    <w:p>
      <w:pPr>
        <w:pStyle w:val="ListNumber"/>
        <w:spacing w:after="30"/>
      </w:pPr>
      <w:r>
        <w:t>Scan or photograph available documents. Record document type, file, capture time and whether it is original/copy.</w:t>
      </w:r>
    </w:p>
    <w:p>
      <w:pPr>
        <w:pStyle w:val="ListNumber"/>
        <w:spacing w:after="30"/>
      </w:pPr>
      <w:r>
        <w:t>Search for possible duplicates using truck + supplier + invoice/challan + date; a warning is not a final decision if legitimate repeated trips exist.</w:t>
      </w:r>
    </w:p>
    <w:p>
      <w:pPr>
        <w:pStyle w:val="ListNumber"/>
        <w:spacing w:after="30"/>
      </w:pPr>
      <w:r>
        <w:t>If a required document is absent, mark the exact missing item and route according to the approved gate exception policy. Do not invent an automatic rejection rule.</w:t>
      </w:r>
    </w:p>
    <w:p>
      <w:pPr>
        <w:pStyle w:val="ListNumber"/>
        <w:spacing w:after="30"/>
      </w:pPr>
      <w:r>
        <w:t>Record loaded weighment and link its slip or source reading if applicable.</w:t>
      </w:r>
    </w:p>
    <w:p>
      <w:pPr>
        <w:pStyle w:val="ListNumber"/>
        <w:spacing w:after="30"/>
      </w:pPr>
      <w:r>
        <w:t>Set the state to 'Awaiting unloading/QC' and make the queue visible to the receiving team.</w:t>
      </w:r>
    </w:p>
    <w:p>
      <w:pPr>
        <w:pStyle w:val="Heading2"/>
      </w:pPr>
      <w:r>
        <w:t>SOP 2 — Weighbridge</w:t>
      </w:r>
    </w:p>
    <w:p>
      <w:pPr>
        <w:pStyle w:val="ListNumber"/>
        <w:spacing w:after="30"/>
      </w:pPr>
      <w:r>
        <w:t>Identify the inward transaction before recording a weight.</w:t>
      </w:r>
    </w:p>
    <w:p>
      <w:pPr>
        <w:pStyle w:val="ListNumber"/>
        <w:spacing w:after="30"/>
      </w:pPr>
      <w:r>
        <w:t>Capture weight value, unit, date/time, scale/weighbridge identifier, operator and evidence/source.</w:t>
      </w:r>
    </w:p>
    <w:p>
      <w:pPr>
        <w:pStyle w:val="ListNumber"/>
        <w:spacing w:after="30"/>
      </w:pPr>
      <w:r>
        <w:t>Record gross and tare as separate events; calculate net quantity using a controlled formula and precision rule.</w:t>
      </w:r>
    </w:p>
    <w:p>
      <w:pPr>
        <w:pStyle w:val="ListNumber"/>
        <w:spacing w:after="30"/>
      </w:pPr>
      <w:r>
        <w:t>Validate impossible or incomplete sequences, unit mismatch, negative net weight, duplicate slip number and unexplained manual overrides.</w:t>
      </w:r>
    </w:p>
    <w:p>
      <w:pPr>
        <w:pStyle w:val="ListNumber"/>
        <w:spacing w:after="30"/>
      </w:pPr>
      <w:r>
        <w:t>If a correction is needed, preserve the original value, reason, user, approver and corrected value. Never overwrite without history.</w:t>
      </w:r>
    </w:p>
    <w:p>
      <w:pPr>
        <w:pStyle w:val="ListNumber"/>
        <w:spacing w:after="30"/>
      </w:pPr>
      <w:r>
        <w:t>Link both weighments to the same delivery. If tare is recorded later, keep the transaction open and label net weight as pending until complete.</w:t>
      </w:r>
    </w:p>
    <w:p>
      <w:pPr>
        <w:pStyle w:val="Heading2"/>
      </w:pPr>
      <w:r>
        <w:t>SOP 3 — QC during unloading</w:t>
      </w:r>
    </w:p>
    <w:p>
      <w:pPr>
        <w:pStyle w:val="ListNumber"/>
        <w:spacing w:after="30"/>
      </w:pPr>
      <w:r>
        <w:t>The QC inspector opens the inward transaction from a mobile device or assigned kiosk before/while unloading begins.</w:t>
      </w:r>
    </w:p>
    <w:p>
      <w:pPr>
        <w:pStyle w:val="ListNumber"/>
        <w:spacing w:after="30"/>
      </w:pPr>
      <w:r>
        <w:t>Select the approved material grade/specification from the configured master; do not type arbitrary grade names where controlled choices exist.</w:t>
      </w:r>
    </w:p>
    <w:p>
      <w:pPr>
        <w:pStyle w:val="ListNumber"/>
        <w:spacing w:after="30"/>
      </w:pPr>
      <w:r>
        <w:t>Record inspection start/end, inspector, inspection method, sample details where relevant, test readings, observations and evidence photographs.</w:t>
      </w:r>
    </w:p>
    <w:p>
      <w:pPr>
        <w:pStyle w:val="ListNumber"/>
        <w:spacing w:after="30"/>
      </w:pPr>
      <w:r>
        <w:t>Record result as Accepted, Partially Accepted, Rejected or Hold. Define allowed transitions and approval roles with plant management.</w:t>
      </w:r>
    </w:p>
    <w:p>
      <w:pPr>
        <w:pStyle w:val="ListNumber"/>
        <w:spacing w:after="30"/>
      </w:pPr>
      <w:r>
        <w:t>Capture gross delivered quantity and accepted/rejected/held quantities separately; define the official basis of quantity in the policy.</w:t>
      </w:r>
    </w:p>
    <w:p>
      <w:pPr>
        <w:pStyle w:val="ListNumber"/>
        <w:spacing w:after="30"/>
      </w:pPr>
      <w:r>
        <w:t>Record moisture/contamination/other deductions only using the approved rule and evidence; the software may calculate a proposal but cannot invent the commercial deduction.</w:t>
      </w:r>
    </w:p>
    <w:p>
      <w:pPr>
        <w:pStyle w:val="ListNumber"/>
        <w:spacing w:after="30"/>
      </w:pPr>
      <w:r>
        <w:t>For a hold or rejection, record location/segregation, reason, owner, next action and due time. Notify purchase/stores as configured.</w:t>
      </w:r>
    </w:p>
    <w:p>
      <w:pPr>
        <w:pStyle w:val="ListNumber"/>
        <w:spacing w:after="30"/>
      </w:pPr>
      <w:r>
        <w:t>Lock the signed-off QC result against casual editing. Corrections require a reason and authorised amendment.</w:t>
      </w:r>
    </w:p>
    <w:p>
      <w:pPr>
        <w:pStyle w:val="Heading2"/>
      </w:pPr>
      <w:r>
        <w:t>SOP 4 — GRN reference and receipt packet</w:t>
      </w:r>
    </w:p>
    <w:p>
      <w:pPr>
        <w:pStyle w:val="ListNumber"/>
        <w:spacing w:after="30"/>
      </w:pPr>
      <w:r>
        <w:t>Confirm which system officially generates the GRN. In the initial design, the new application records the official GRN number and does not assume authority to create or post it.</w:t>
      </w:r>
    </w:p>
    <w:p>
      <w:pPr>
        <w:pStyle w:val="ListNumber"/>
        <w:spacing w:after="30"/>
      </w:pPr>
      <w:r>
        <w:t>Capture GRN number, GRN date, PO reference, supplier code, material code, receipt quantity, accepted quantity and unit from the authorised source.</w:t>
      </w:r>
    </w:p>
    <w:p>
      <w:pPr>
        <w:pStyle w:val="ListNumber"/>
        <w:spacing w:after="30"/>
      </w:pPr>
      <w:r>
        <w:t>Run consistency checks against weighbridge and QC records; flag differences instead of silently changing any source value.</w:t>
      </w:r>
    </w:p>
    <w:p>
      <w:pPr>
        <w:pStyle w:val="ListNumber"/>
        <w:spacing w:after="30"/>
      </w:pPr>
      <w:r>
        <w:t>Create a digital packet containing the GRN copy/reference, PO reference/copy where available, supplier invoice if available, e-way bill/delivery challan where applicable, weighbridge slips, QC evidence, rejection/deduction record and required approvals.</w:t>
      </w:r>
    </w:p>
    <w:p>
      <w:pPr>
        <w:pStyle w:val="ListNumber"/>
        <w:spacing w:after="30"/>
      </w:pPr>
      <w:r>
        <w:t>Run completeness checks based on a configurable document checklist by transaction type. Mark a document 'not applicable' only with a reason/authorised policy where required.</w:t>
      </w:r>
    </w:p>
    <w:p>
      <w:pPr>
        <w:pStyle w:val="ListNumber"/>
        <w:spacing w:after="30"/>
      </w:pPr>
      <w:r>
        <w:t>Publish the packet to authorised corporate users immediately after the defined minimum data and evidence are available. Record publication time and recipients/visibility.</w:t>
      </w:r>
    </w:p>
    <w:p>
      <w:pPr>
        <w:pStyle w:val="ListNumber"/>
        <w:spacing w:after="30"/>
      </w:pPr>
      <w:r>
        <w:t>If the supplier invoice has not yet arrived, set 'Invoice awaited'; do not mislabel the transaction as bill-ready.</w:t>
      </w:r>
    </w:p>
    <w:p>
      <w:pPr>
        <w:pStyle w:val="ListNumber"/>
        <w:spacing w:after="30"/>
      </w:pPr>
      <w:r>
        <w:t>Generate a packet manifest and unique packet ID. Each file has a checksum, upload timestamp, uploader, version and document type.</w:t>
      </w:r>
    </w:p>
    <w:p>
      <w:pPr>
        <w:pStyle w:val="Heading2"/>
      </w:pPr>
      <w:r>
        <w:t>SOP 5 — Physical original tracking</w:t>
      </w:r>
    </w:p>
    <w:p>
      <w:pPr>
        <w:pStyle w:val="ListNumber"/>
        <w:spacing w:after="30"/>
      </w:pPr>
      <w:r>
        <w:t>Create a physical bundle record linked to the inward/GRN/packet ID.</w:t>
      </w:r>
    </w:p>
    <w:p>
      <w:pPr>
        <w:pStyle w:val="ListNumber"/>
        <w:spacing w:after="30"/>
      </w:pPr>
      <w:r>
        <w:t>List each original document expected in the bundle and indicate whether it is present, a copy, missing or not applicable.</w:t>
      </w:r>
    </w:p>
    <w:p>
      <w:pPr>
        <w:pStyle w:val="ListNumber"/>
        <w:spacing w:after="30"/>
      </w:pPr>
      <w:r>
        <w:t>Record factory handover person, dispatch date/time, transport method/courier/internal runner, bundle seal/reference if used, and receiving office.</w:t>
      </w:r>
    </w:p>
    <w:p>
      <w:pPr>
        <w:pStyle w:val="ListNumber"/>
        <w:spacing w:after="30"/>
      </w:pPr>
      <w:r>
        <w:t>At corporate receipt, the receiving person acknowledges the bundle, records received date/time and checks the manifest.</w:t>
      </w:r>
    </w:p>
    <w:p>
      <w:pPr>
        <w:pStyle w:val="ListNumber"/>
        <w:spacing w:after="30"/>
      </w:pPr>
      <w:r>
        <w:t>Record missing, damaged or mismatched papers as an exception assigned to an owner.</w:t>
      </w:r>
    </w:p>
    <w:p>
      <w:pPr>
        <w:pStyle w:val="ListNumber"/>
        <w:spacing w:after="30"/>
      </w:pPr>
      <w:r>
        <w:t>Digitally accessible documents may be reviewed before originals arrive, but any legal/financial approval that requires an original must remain blocked until the rule is satisfied.</w:t>
      </w:r>
    </w:p>
    <w:p>
      <w:pPr>
        <w:pStyle w:val="ListNumber"/>
        <w:spacing w:after="30"/>
      </w:pPr>
      <w:r>
        <w:t>Record archive location, file reference, retention category and authorised retrieval history.</w:t>
      </w:r>
    </w:p>
    <w:p>
      <w:pPr>
        <w:pStyle w:val="Heading2"/>
      </w:pPr>
      <w:r>
        <w:t>SOP 6 — Excel export/import</w:t>
      </w:r>
    </w:p>
    <w:p>
      <w:pPr>
        <w:pStyle w:val="ListNumber"/>
        <w:spacing w:after="30"/>
      </w:pPr>
      <w:r>
        <w:t>An authorised user exports the required report from DataMan using the approved report and date/filter settings.</w:t>
      </w:r>
    </w:p>
    <w:p>
      <w:pPr>
        <w:pStyle w:val="ListNumber"/>
        <w:spacing w:after="30"/>
      </w:pPr>
      <w:r>
        <w:t>The user uploads the original file to the approved intake screen or places it in the approved secured folder. Do not email unencrypted sensitive files to personal accounts.</w:t>
      </w:r>
    </w:p>
    <w:p>
      <w:pPr>
        <w:pStyle w:val="ListNumber"/>
        <w:spacing w:after="30"/>
      </w:pPr>
      <w:r>
        <w:t>The import service creates an import-batch ID and records uploader/source, file hash, file name, import time, report type, reporting period and schema version.</w:t>
      </w:r>
    </w:p>
    <w:p>
      <w:pPr>
        <w:pStyle w:val="ListNumber"/>
        <w:spacing w:after="30"/>
      </w:pPr>
      <w:r>
        <w:t>Validate file type, required columns, data types, date/number formats, expected sheet names, duplicate keys and totals where available.</w:t>
      </w:r>
    </w:p>
    <w:p>
      <w:pPr>
        <w:pStyle w:val="ListNumber"/>
        <w:spacing w:after="30"/>
      </w:pPr>
      <w:r>
        <w:t>Map source column headers to canonical fields using an approved versioned mapping. Never silently guess a new column mapping.</w:t>
      </w:r>
    </w:p>
    <w:p>
      <w:pPr>
        <w:pStyle w:val="ListNumber"/>
        <w:spacing w:after="30"/>
      </w:pPr>
      <w:r>
        <w:t>Show a preview: rows accepted, rows rejected, duplicates, unknown codes, missing keys, changed schema and warnings.</w:t>
      </w:r>
    </w:p>
    <w:p>
      <w:pPr>
        <w:pStyle w:val="ListNumber"/>
        <w:spacing w:after="30"/>
      </w:pPr>
      <w:r>
        <w:t>Commit valid rows atomically or use a documented partial-acceptance model. The chosen behaviour must be consistent and visible.</w:t>
      </w:r>
    </w:p>
    <w:p>
      <w:pPr>
        <w:pStyle w:val="ListNumber"/>
        <w:spacing w:after="30"/>
      </w:pPr>
      <w:r>
        <w:t>Retain rejected rows with row number, reason and correction guidance. A corrected re-upload must be idempotent and must not double-count accepted rows.</w:t>
      </w:r>
    </w:p>
    <w:p>
      <w:pPr>
        <w:pStyle w:val="ListNumber"/>
        <w:spacing w:after="30"/>
      </w:pPr>
      <w:r>
        <w:t>Reconcile record counts and key totals against the source report. Mark the import complete only after reconciliation checks pass or a responsible user accepts a documented exception.</w:t>
      </w:r>
    </w:p>
    <w:p>
      <w:pPr>
        <w:pStyle w:val="ListNumber"/>
        <w:spacing w:after="30"/>
      </w:pPr>
      <w:r>
        <w:t>Update the last-successful-import timestamp for the affected dataset only after successful validation/commit.</w:t>
      </w:r>
    </w:p>
    <w:p>
      <w:pPr>
        <w:pStyle w:val="Heading2"/>
      </w:pPr>
      <w:r>
        <w:t>SOP 7 — Corporate bill verification and posting</w:t>
      </w:r>
    </w:p>
    <w:p>
      <w:pPr>
        <w:pStyle w:val="ListNumber"/>
        <w:spacing w:after="30"/>
      </w:pPr>
      <w:r>
        <w:t>Create or update the bill tracking record when a supplier invoice is received or imported. Store supplier invoice number/date, supplier code, currency, taxable value, tax components, total, PO/GRN references and invoice file.</w:t>
      </w:r>
    </w:p>
    <w:p>
      <w:pPr>
        <w:pStyle w:val="ListNumber"/>
        <w:spacing w:after="30"/>
      </w:pPr>
      <w:r>
        <w:t>Detect duplicates using supplier identity + normalised invoice number + financial year/period; also run fuzzy warnings for similar amounts/dates/references. Human review resolves collisions.</w:t>
      </w:r>
    </w:p>
    <w:p>
      <w:pPr>
        <w:pStyle w:val="ListNumber"/>
        <w:spacing w:after="30"/>
      </w:pPr>
      <w:r>
        <w:t>Match the bill to PO and GRN. Compare ordered, received/accepted and invoiced quantities; PO rate and invoice rate; tax/charges; quality deductions; freight and other contractual components.</w:t>
      </w:r>
    </w:p>
    <w:p>
      <w:pPr>
        <w:pStyle w:val="ListNumber"/>
        <w:spacing w:after="30"/>
      </w:pPr>
      <w:r>
        <w:t>Use tolerances only when approved by finance/procurement. Every tolerance is configurable, documented and audited. Default behaviour for an unknown tolerance is to flag for review, not auto-approve.</w:t>
      </w:r>
    </w:p>
    <w:p>
      <w:pPr>
        <w:pStyle w:val="ListNumber"/>
        <w:spacing w:after="30"/>
      </w:pPr>
      <w:r>
        <w:t>Route quantity/quality issues to factory/QC/stores, rate/PO issues to procurement, invoice/tax/document issues to accounts/tax, and approval-limit issues to the authorised approver.</w:t>
      </w:r>
    </w:p>
    <w:p>
      <w:pPr>
        <w:pStyle w:val="ListNumber"/>
        <w:spacing w:after="30"/>
      </w:pPr>
      <w:r>
        <w:t>Show the bill packet and discrepancy summary in one screen. Preserve comments, evidence, owner, due date and decision history.</w:t>
      </w:r>
    </w:p>
    <w:p>
      <w:pPr>
        <w:pStyle w:val="ListNumber"/>
        <w:spacing w:after="30"/>
      </w:pPr>
      <w:r>
        <w:t>After all required checks and approvals, the authorised accounts user posts the official bill in DataMan using the existing procedure.</w:t>
      </w:r>
    </w:p>
    <w:p>
      <w:pPr>
        <w:pStyle w:val="ListNumber"/>
        <w:spacing w:after="30"/>
      </w:pPr>
      <w:r>
        <w:t>Capture DataMan voucher/reference number and posted date from a reliable source (prefer an exported voucher register). If no proof exists, show 'Posting not confirmed' rather than 'Posted'.</w:t>
      </w:r>
    </w:p>
    <w:p>
      <w:pPr>
        <w:pStyle w:val="ListNumber"/>
        <w:spacing w:after="30"/>
      </w:pPr>
      <w:r>
        <w:t>On the next successful import, reconcile the tracking record to the voucher register and mark the posting confirmed. Any mismatch goes to a reconciliation queue.</w:t>
      </w:r>
    </w:p>
    <w:p>
      <w:pPr>
        <w:pStyle w:val="ListNumber"/>
        <w:spacing w:after="30"/>
      </w:pPr>
      <w:r>
        <w:t>Payment status is updated only from a reliable payment/outstanding export or authorised confirmation, with its source/time recorded.</w:t>
      </w:r>
    </w:p>
    <w:p>
      <w:pPr>
        <w:pStyle w:val="Heading2"/>
      </w:pPr>
      <w:r>
        <w:t>SOP 8 — Stock movements</w:t>
      </w:r>
    </w:p>
    <w:p>
      <w:pPr>
        <w:pStyle w:val="ListNumber"/>
        <w:spacing w:after="30"/>
      </w:pPr>
      <w:r>
        <w:t>Every receipt, issue, transfer, return, adjustment and stock-count variance gets a unique movement ID and a reason.</w:t>
      </w:r>
    </w:p>
    <w:p>
      <w:pPr>
        <w:pStyle w:val="ListNumber"/>
        <w:spacing w:after="30"/>
      </w:pPr>
      <w:r>
        <w:t>Use controlled material codes and units. Preserve original units and explicit conversion factors where conversions are approved.</w:t>
      </w:r>
    </w:p>
    <w:p>
      <w:pPr>
        <w:pStyle w:val="ListNumber"/>
        <w:spacing w:after="30"/>
      </w:pPr>
      <w:r>
        <w:t>Separate available, quality-hold, rejected, quarantined and reserved quantities.</w:t>
      </w:r>
    </w:p>
    <w:p>
      <w:pPr>
        <w:pStyle w:val="ListNumber"/>
        <w:spacing w:after="30"/>
      </w:pPr>
      <w:r>
        <w:t>Link material issues to a production order/batch/department where available; otherwise use an approved reason code.</w:t>
      </w:r>
    </w:p>
    <w:p>
      <w:pPr>
        <w:pStyle w:val="ListNumber"/>
        <w:spacing w:after="30"/>
      </w:pPr>
      <w:r>
        <w:t>Do not change official stock balances in DataMan through this platform. Show the operational ledger separately until a reconciled approved integration exists.</w:t>
      </w:r>
    </w:p>
    <w:p>
      <w:pPr>
        <w:pStyle w:val="ListNumber"/>
        <w:spacing w:after="30"/>
      </w:pPr>
      <w:r>
        <w:t>Stock adjustments require reason, evidence and authorised approval; large/unusual adjustments generate an alert.</w:t>
      </w:r>
    </w:p>
    <w:p>
      <w:pPr>
        <w:pStyle w:val="Heading2"/>
      </w:pPr>
      <w:r>
        <w:t>SOP 9 — Production</w:t>
      </w:r>
    </w:p>
    <w:p>
      <w:pPr>
        <w:pStyle w:val="ListNumber"/>
        <w:spacing w:after="30"/>
      </w:pPr>
      <w:r>
        <w:t>Create or import the approved production plan, shift, machine, grade and target.</w:t>
      </w:r>
    </w:p>
    <w:p>
      <w:pPr>
        <w:pStyle w:val="ListNumber"/>
        <w:spacing w:after="30"/>
      </w:pPr>
      <w:r>
        <w:t>Capture actual output with timestamp, machine/line, grade, shift, reel/batch identifiers if used, good tonnes, waste/broke, downtime and reason.</w:t>
      </w:r>
    </w:p>
    <w:p>
      <w:pPr>
        <w:pStyle w:val="ListNumber"/>
        <w:spacing w:after="30"/>
      </w:pPr>
      <w:r>
        <w:t>Record raw-material/chemical/energy consumption from approved sources; label manually entered or estimated values.</w:t>
      </w:r>
    </w:p>
    <w:p>
      <w:pPr>
        <w:pStyle w:val="ListNumber"/>
        <w:spacing w:after="30"/>
      </w:pPr>
      <w:r>
        <w:t>Capture quality checks and release/hold status for finished output.</w:t>
      </w:r>
    </w:p>
    <w:p>
      <w:pPr>
        <w:pStyle w:val="ListNumber"/>
        <w:spacing w:after="30"/>
      </w:pPr>
      <w:r>
        <w:t>Reconcile production totals with the approved production register/export at a defined cadence.</w:t>
      </w:r>
    </w:p>
    <w:p>
      <w:pPr>
        <w:pStyle w:val="ListNumber"/>
        <w:spacing w:after="30"/>
      </w:pPr>
      <w:r>
        <w:t>Calculate yield and cost KPIs only when numerator, denominator, units, period and source are defined and reconciled.</w:t>
      </w:r>
    </w:p>
    <w:p>
      <w:pPr>
        <w:pStyle w:val="Heading2"/>
      </w:pPr>
      <w:r>
        <w:t>SOP 10 — Maintenance</w:t>
      </w:r>
    </w:p>
    <w:p>
      <w:pPr>
        <w:pStyle w:val="ListNumber"/>
        <w:spacing w:after="30"/>
      </w:pPr>
      <w:r>
        <w:t>Create a work request for breakdown or preventive maintenance, linking asset/machine, reported time, severity, reporter and symptoms.</w:t>
      </w:r>
    </w:p>
    <w:p>
      <w:pPr>
        <w:pStyle w:val="ListNumber"/>
        <w:spacing w:after="30"/>
      </w:pPr>
      <w:r>
        <w:t>Triage and assign owner/technician; set priority and target response according to approved policy.</w:t>
      </w:r>
    </w:p>
    <w:p>
      <w:pPr>
        <w:pStyle w:val="ListNumber"/>
        <w:spacing w:after="30"/>
      </w:pPr>
      <w:r>
        <w:t>Record start/end, cause, action, spares consumed, labour, downtime and verification.</w:t>
      </w:r>
    </w:p>
    <w:p>
      <w:pPr>
        <w:pStyle w:val="ListNumber"/>
        <w:spacing w:after="30"/>
      </w:pPr>
      <w:r>
        <w:t>Require authorised closure for critical assets as defined by plant policy.</w:t>
      </w:r>
    </w:p>
    <w:p>
      <w:pPr>
        <w:pStyle w:val="ListNumber"/>
        <w:spacing w:after="30"/>
      </w:pPr>
      <w:r>
        <w:t>Track preventive-maintenance due dates, overdue tasks, repeat failures and downtime by asset.</w:t>
      </w:r>
    </w:p>
    <w:p>
      <w:pPr>
        <w:pStyle w:val="Heading2"/>
      </w:pPr>
      <w:r>
        <w:t>SOP 11 — Sales and dispatch</w:t>
      </w:r>
    </w:p>
    <w:p>
      <w:pPr>
        <w:pStyle w:val="ListNumber"/>
        <w:spacing w:after="30"/>
      </w:pPr>
      <w:r>
        <w:t>Import or capture sales order/customer reference and approved quantities/grade.</w:t>
      </w:r>
    </w:p>
    <w:p>
      <w:pPr>
        <w:pStyle w:val="ListNumber"/>
        <w:spacing w:after="30"/>
      </w:pPr>
      <w:r>
        <w:t>Check available/quality-released finished stock and customer credit status using the authoritative source.</w:t>
      </w:r>
    </w:p>
    <w:p>
      <w:pPr>
        <w:pStyle w:val="ListNumber"/>
        <w:spacing w:after="30"/>
      </w:pPr>
      <w:r>
        <w:t>Plan dispatch and record vehicle, loading, weight, delivery documents, e-way bill where applicable and gate-out time.</w:t>
      </w:r>
    </w:p>
    <w:p>
      <w:pPr>
        <w:pStyle w:val="ListNumber"/>
        <w:spacing w:after="30"/>
      </w:pPr>
      <w:r>
        <w:t>Link delivery and customer invoice references; do not generate duplicate official accounting invoices if DataMan is the source.</w:t>
      </w:r>
    </w:p>
    <w:p>
      <w:pPr>
        <w:pStyle w:val="ListNumber"/>
        <w:spacing w:after="30"/>
      </w:pPr>
      <w:r>
        <w:t>Import sales invoice, receivable and receipt/payment status for analytics; route discrepancies to finance.</w:t>
      </w:r>
    </w:p>
    <w:p>
      <w:pPr>
        <w:pStyle w:val="Heading2"/>
      </w:pPr>
      <w:r>
        <w:t>SOP 12 — Finance and month-end</w:t>
      </w:r>
    </w:p>
    <w:p>
      <w:pPr>
        <w:pStyle w:val="ListNumber"/>
        <w:spacing w:after="30"/>
      </w:pPr>
      <w:r>
        <w:t>Import approved DataMan voucher, outstanding, payment, sales and relevant expense reports at the agreed cadence.</w:t>
      </w:r>
    </w:p>
    <w:p>
      <w:pPr>
        <w:pStyle w:val="ListNumber"/>
        <w:spacing w:after="30"/>
      </w:pPr>
      <w:r>
        <w:t>Record each dataset's reporting period, export time, import time and source report.</w:t>
      </w:r>
    </w:p>
    <w:p>
      <w:pPr>
        <w:pStyle w:val="ListNumber"/>
        <w:spacing w:after="30"/>
      </w:pPr>
      <w:r>
        <w:t>Reconcile imported totals/counts with source report totals and maintain an exception register.</w:t>
      </w:r>
    </w:p>
    <w:p>
      <w:pPr>
        <w:pStyle w:val="ListNumber"/>
        <w:spacing w:after="30"/>
      </w:pPr>
      <w:r>
        <w:t>Display management metrics only with an approved definition and source. Separate posted actuals from open operational commitments, estimates and forecasts.</w:t>
      </w:r>
    </w:p>
    <w:p>
      <w:pPr>
        <w:pStyle w:val="ListNumber"/>
        <w:spacing w:after="30"/>
      </w:pPr>
      <w:r>
        <w:t>Run a month-end checklist for missing imports, unreconciled bills, open GRNs, unmatched vouchers, stale data and unexplained variances.</w:t>
      </w:r>
    </w:p>
    <w:p>
      <w:pPr>
        <w:pStyle w:val="ListNumber"/>
        <w:spacing w:after="30"/>
      </w:pPr>
      <w:r>
        <w:t>Do not present a new-app estimate as a statutory financial statement.</w:t>
      </w:r>
    </w:p>
    <w:p>
      <w:pPr>
        <w:pStyle w:val="Heading1"/>
      </w:pPr>
      <w:r>
        <w:t>6. Roles, responsibilities and segregation of duties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Role</w:t>
            </w:r>
          </w:p>
        </w:tc>
        <w:tc>
          <w:tcPr>
            <w:tcW w:type="dxa" w:w="3389"/>
            <w:vAlign w:val="center"/>
            <w:shd w:fill="17324D"/>
          </w:tcPr>
          <w:p>
            <w:pPr>
              <w:spacing w:after="0"/>
            </w:pPr>
            <w:r/>
            <w:r>
              <w:rPr>
                <w:rFonts w:ascii="Aptos" w:hAnsi="Aptos"/>
                <w:b/>
                <w:color w:val="FFFFFF"/>
                <w:sz w:val="16"/>
              </w:rPr>
              <w:t>Can do</w:t>
            </w:r>
          </w:p>
        </w:tc>
        <w:tc>
          <w:tcPr>
            <w:tcW w:type="dxa" w:w="3389"/>
            <w:vAlign w:val="center"/>
            <w:shd w:fill="17324D"/>
          </w:tcPr>
          <w:p>
            <w:pPr>
              <w:spacing w:after="0"/>
            </w:pPr>
            <w:r/>
            <w:r>
              <w:rPr>
                <w:rFonts w:ascii="Aptos" w:hAnsi="Aptos"/>
                <w:b/>
                <w:color w:val="FFFFFF"/>
                <w:sz w:val="16"/>
              </w:rPr>
              <w:t>Must not do by default</w:t>
            </w:r>
          </w:p>
        </w:tc>
      </w:tr>
      <w:tr>
        <w:tc>
          <w:tcPr>
            <w:tcW w:type="dxa" w:w="3389"/>
            <w:vAlign w:val="center"/>
          </w:tcPr>
          <w:p>
            <w:pPr>
              <w:spacing w:after="0"/>
            </w:pPr>
            <w:r/>
            <w:r>
              <w:rPr>
                <w:rFonts w:ascii="Aptos" w:hAnsi="Aptos"/>
                <w:b w:val="0"/>
                <w:sz w:val="15"/>
              </w:rPr>
              <w:t>Security / gate operator</w:t>
            </w:r>
          </w:p>
        </w:tc>
        <w:tc>
          <w:tcPr>
            <w:tcW w:type="dxa" w:w="3389"/>
            <w:vAlign w:val="center"/>
          </w:tcPr>
          <w:p>
            <w:pPr>
              <w:spacing w:after="0"/>
            </w:pPr>
            <w:r/>
            <w:r>
              <w:rPr>
                <w:rFonts w:ascii="Aptos" w:hAnsi="Aptos"/>
                <w:b w:val="0"/>
                <w:sz w:val="15"/>
              </w:rPr>
              <w:t>Create inward, capture vehicle/document details, record gate timestamps, view queue.</w:t>
            </w:r>
          </w:p>
        </w:tc>
        <w:tc>
          <w:tcPr>
            <w:tcW w:type="dxa" w:w="3389"/>
            <w:vAlign w:val="center"/>
          </w:tcPr>
          <w:p>
            <w:pPr>
              <w:spacing w:after="0"/>
            </w:pPr>
            <w:r/>
            <w:r>
              <w:rPr>
                <w:rFonts w:ascii="Aptos" w:hAnsi="Aptos"/>
                <w:b w:val="0"/>
                <w:sz w:val="15"/>
              </w:rPr>
              <w:t>Approve QC, alter weights after sign-off, approve commercial deductions or post bills.</w:t>
            </w:r>
          </w:p>
        </w:tc>
      </w:tr>
      <w:tr>
        <w:tc>
          <w:tcPr>
            <w:tcW w:type="dxa" w:w="3389"/>
            <w:vAlign w:val="center"/>
          </w:tcPr>
          <w:p>
            <w:pPr>
              <w:spacing w:after="0"/>
            </w:pPr>
            <w:r/>
            <w:r>
              <w:rPr>
                <w:rFonts w:ascii="Aptos" w:hAnsi="Aptos"/>
                <w:b w:val="0"/>
                <w:sz w:val="15"/>
              </w:rPr>
              <w:t>Weighbridge operator</w:t>
            </w:r>
          </w:p>
        </w:tc>
        <w:tc>
          <w:tcPr>
            <w:tcW w:type="dxa" w:w="3389"/>
            <w:vAlign w:val="center"/>
          </w:tcPr>
          <w:p>
            <w:pPr>
              <w:spacing w:after="0"/>
            </w:pPr>
            <w:r/>
            <w:r>
              <w:rPr>
                <w:rFonts w:ascii="Aptos" w:hAnsi="Aptos"/>
                <w:b w:val="0"/>
                <w:sz w:val="15"/>
              </w:rPr>
              <w:t>Capture gross/tare readings and slips, correct a reading through controlled process.</w:t>
            </w:r>
          </w:p>
        </w:tc>
        <w:tc>
          <w:tcPr>
            <w:tcW w:type="dxa" w:w="3389"/>
            <w:vAlign w:val="center"/>
          </w:tcPr>
          <w:p>
            <w:pPr>
              <w:spacing w:after="0"/>
            </w:pPr>
            <w:r/>
            <w:r>
              <w:rPr>
                <w:rFonts w:ascii="Aptos" w:hAnsi="Aptos"/>
                <w:b w:val="0"/>
                <w:sz w:val="15"/>
              </w:rPr>
              <w:t>Delete original weighment or approve own unexplained override.</w:t>
            </w:r>
          </w:p>
        </w:tc>
      </w:tr>
      <w:tr>
        <w:tc>
          <w:tcPr>
            <w:tcW w:type="dxa" w:w="3389"/>
            <w:vAlign w:val="center"/>
          </w:tcPr>
          <w:p>
            <w:pPr>
              <w:spacing w:after="0"/>
            </w:pPr>
            <w:r/>
            <w:r>
              <w:rPr>
                <w:rFonts w:ascii="Aptos" w:hAnsi="Aptos"/>
                <w:b w:val="0"/>
                <w:sz w:val="15"/>
              </w:rPr>
              <w:t>QC inspector</w:t>
            </w:r>
          </w:p>
        </w:tc>
        <w:tc>
          <w:tcPr>
            <w:tcW w:type="dxa" w:w="3389"/>
            <w:vAlign w:val="center"/>
          </w:tcPr>
          <w:p>
            <w:pPr>
              <w:spacing w:after="0"/>
            </w:pPr>
            <w:r/>
            <w:r>
              <w:rPr>
                <w:rFonts w:ascii="Aptos" w:hAnsi="Aptos"/>
                <w:b w:val="0"/>
                <w:sz w:val="15"/>
              </w:rPr>
              <w:t>Record inspections, evidence, result and recommended acceptance/hold/rejection.</w:t>
            </w:r>
          </w:p>
        </w:tc>
        <w:tc>
          <w:tcPr>
            <w:tcW w:type="dxa" w:w="3389"/>
            <w:vAlign w:val="center"/>
          </w:tcPr>
          <w:p>
            <w:pPr>
              <w:spacing w:after="0"/>
            </w:pPr>
            <w:r/>
            <w:r>
              <w:rPr>
                <w:rFonts w:ascii="Aptos" w:hAnsi="Aptos"/>
                <w:b w:val="0"/>
                <w:sz w:val="15"/>
              </w:rPr>
              <w:t>Change PO rates, post invoices, or silently change a signed QC result.</w:t>
            </w:r>
          </w:p>
        </w:tc>
      </w:tr>
      <w:tr>
        <w:tc>
          <w:tcPr>
            <w:tcW w:type="dxa" w:w="3389"/>
            <w:vAlign w:val="center"/>
          </w:tcPr>
          <w:p>
            <w:pPr>
              <w:spacing w:after="0"/>
            </w:pPr>
            <w:r/>
            <w:r>
              <w:rPr>
                <w:rFonts w:ascii="Aptos" w:hAnsi="Aptos"/>
                <w:b w:val="0"/>
                <w:sz w:val="15"/>
              </w:rPr>
              <w:t>Stores/receiving</w:t>
            </w:r>
          </w:p>
        </w:tc>
        <w:tc>
          <w:tcPr>
            <w:tcW w:type="dxa" w:w="3389"/>
            <w:vAlign w:val="center"/>
          </w:tcPr>
          <w:p>
            <w:pPr>
              <w:spacing w:after="0"/>
            </w:pPr>
            <w:r/>
            <w:r>
              <w:rPr>
                <w:rFonts w:ascii="Aptos" w:hAnsi="Aptos"/>
                <w:b w:val="0"/>
                <w:sz w:val="15"/>
              </w:rPr>
              <w:t>Confirm material location and receipt handling; link official GRN reference.</w:t>
            </w:r>
          </w:p>
        </w:tc>
        <w:tc>
          <w:tcPr>
            <w:tcW w:type="dxa" w:w="3389"/>
            <w:vAlign w:val="center"/>
          </w:tcPr>
          <w:p>
            <w:pPr>
              <w:spacing w:after="0"/>
            </w:pPr>
            <w:r/>
            <w:r>
              <w:rPr>
                <w:rFonts w:ascii="Aptos" w:hAnsi="Aptos"/>
                <w:b w:val="0"/>
                <w:sz w:val="15"/>
              </w:rPr>
              <w:t>Approve their own exceptions beyond delegated authority.</w:t>
            </w:r>
          </w:p>
        </w:tc>
      </w:tr>
      <w:tr>
        <w:tc>
          <w:tcPr>
            <w:tcW w:type="dxa" w:w="3389"/>
            <w:vAlign w:val="center"/>
          </w:tcPr>
          <w:p>
            <w:pPr>
              <w:spacing w:after="0"/>
            </w:pPr>
            <w:r/>
            <w:r>
              <w:rPr>
                <w:rFonts w:ascii="Aptos" w:hAnsi="Aptos"/>
                <w:b w:val="0"/>
                <w:sz w:val="15"/>
              </w:rPr>
              <w:t>Purchase/procurement</w:t>
            </w:r>
          </w:p>
        </w:tc>
        <w:tc>
          <w:tcPr>
            <w:tcW w:type="dxa" w:w="3389"/>
            <w:vAlign w:val="center"/>
          </w:tcPr>
          <w:p>
            <w:pPr>
              <w:spacing w:after="0"/>
            </w:pPr>
            <w:r/>
            <w:r>
              <w:rPr>
                <w:rFonts w:ascii="Aptos" w:hAnsi="Aptos"/>
                <w:b w:val="0"/>
                <w:sz w:val="15"/>
              </w:rPr>
              <w:t>Maintain PO/vendor references if authorised; resolve rate/PO issues; manage supplier queries.</w:t>
            </w:r>
          </w:p>
        </w:tc>
        <w:tc>
          <w:tcPr>
            <w:tcW w:type="dxa" w:w="3389"/>
            <w:vAlign w:val="center"/>
          </w:tcPr>
          <w:p>
            <w:pPr>
              <w:spacing w:after="0"/>
            </w:pPr>
            <w:r/>
            <w:r>
              <w:rPr>
                <w:rFonts w:ascii="Aptos" w:hAnsi="Aptos"/>
                <w:b w:val="0"/>
                <w:sz w:val="15"/>
              </w:rPr>
              <w:t>Post/pay bills unless explicitly authorised and segregation permits.</w:t>
            </w:r>
          </w:p>
        </w:tc>
      </w:tr>
      <w:tr>
        <w:tc>
          <w:tcPr>
            <w:tcW w:type="dxa" w:w="3389"/>
            <w:vAlign w:val="center"/>
          </w:tcPr>
          <w:p>
            <w:pPr>
              <w:spacing w:after="0"/>
            </w:pPr>
            <w:r/>
            <w:r>
              <w:rPr>
                <w:rFonts w:ascii="Aptos" w:hAnsi="Aptos"/>
                <w:b w:val="0"/>
                <w:sz w:val="15"/>
              </w:rPr>
              <w:t>Factory manager</w:t>
            </w:r>
          </w:p>
        </w:tc>
        <w:tc>
          <w:tcPr>
            <w:tcW w:type="dxa" w:w="3389"/>
            <w:vAlign w:val="center"/>
          </w:tcPr>
          <w:p>
            <w:pPr>
              <w:spacing w:after="0"/>
            </w:pPr>
            <w:r/>
            <w:r>
              <w:rPr>
                <w:rFonts w:ascii="Aptos" w:hAnsi="Aptos"/>
                <w:b w:val="0"/>
                <w:sz w:val="15"/>
              </w:rPr>
              <w:t>Review operational exceptions, approve delegated decisions and monitor delays.</w:t>
            </w:r>
          </w:p>
        </w:tc>
        <w:tc>
          <w:tcPr>
            <w:tcW w:type="dxa" w:w="3389"/>
            <w:vAlign w:val="center"/>
          </w:tcPr>
          <w:p>
            <w:pPr>
              <w:spacing w:after="0"/>
            </w:pPr>
            <w:r/>
            <w:r>
              <w:rPr>
                <w:rFonts w:ascii="Aptos" w:hAnsi="Aptos"/>
                <w:b w:val="0"/>
                <w:sz w:val="15"/>
              </w:rPr>
              <w:t>Override audit trail or bypass required finance controls.</w:t>
            </w:r>
          </w:p>
        </w:tc>
      </w:tr>
      <w:tr>
        <w:tc>
          <w:tcPr>
            <w:tcW w:type="dxa" w:w="3389"/>
            <w:vAlign w:val="center"/>
          </w:tcPr>
          <w:p>
            <w:pPr>
              <w:spacing w:after="0"/>
            </w:pPr>
            <w:r/>
            <w:r>
              <w:rPr>
                <w:rFonts w:ascii="Aptos" w:hAnsi="Aptos"/>
                <w:b w:val="0"/>
                <w:sz w:val="15"/>
              </w:rPr>
              <w:t>Corporate document receiver</w:t>
            </w:r>
          </w:p>
        </w:tc>
        <w:tc>
          <w:tcPr>
            <w:tcW w:type="dxa" w:w="3389"/>
            <w:vAlign w:val="center"/>
          </w:tcPr>
          <w:p>
            <w:pPr>
              <w:spacing w:after="0"/>
            </w:pPr>
            <w:r/>
            <w:r>
              <w:rPr>
                <w:rFonts w:ascii="Aptos" w:hAnsi="Aptos"/>
                <w:b w:val="0"/>
                <w:sz w:val="15"/>
              </w:rPr>
              <w:t>Acknowledge physical bundle, compare manifest and report missing documents.</w:t>
            </w:r>
          </w:p>
        </w:tc>
        <w:tc>
          <w:tcPr>
            <w:tcW w:type="dxa" w:w="3389"/>
            <w:vAlign w:val="center"/>
          </w:tcPr>
          <w:p>
            <w:pPr>
              <w:spacing w:after="0"/>
            </w:pPr>
            <w:r/>
            <w:r>
              <w:rPr>
                <w:rFonts w:ascii="Aptos" w:hAnsi="Aptos"/>
                <w:b w:val="0"/>
                <w:sz w:val="15"/>
              </w:rPr>
              <w:t>Mark a bill posted solely because the bundle arrived.</w:t>
            </w:r>
          </w:p>
        </w:tc>
      </w:tr>
      <w:tr>
        <w:tc>
          <w:tcPr>
            <w:tcW w:type="dxa" w:w="3389"/>
            <w:vAlign w:val="center"/>
          </w:tcPr>
          <w:p>
            <w:pPr>
              <w:spacing w:after="0"/>
            </w:pPr>
            <w:r/>
            <w:r>
              <w:rPr>
                <w:rFonts w:ascii="Aptos" w:hAnsi="Aptos"/>
                <w:b w:val="0"/>
                <w:sz w:val="15"/>
              </w:rPr>
              <w:t>Accounts payable clerk</w:t>
            </w:r>
          </w:p>
        </w:tc>
        <w:tc>
          <w:tcPr>
            <w:tcW w:type="dxa" w:w="3389"/>
            <w:vAlign w:val="center"/>
          </w:tcPr>
          <w:p>
            <w:pPr>
              <w:spacing w:after="0"/>
            </w:pPr>
            <w:r/>
            <w:r>
              <w:rPr>
                <w:rFonts w:ascii="Aptos" w:hAnsi="Aptos"/>
                <w:b w:val="0"/>
                <w:sz w:val="15"/>
              </w:rPr>
              <w:t>Import/verify invoices, match PO/GRN/invoice, prepare bill for posting and record voucher reference.</w:t>
            </w:r>
          </w:p>
        </w:tc>
        <w:tc>
          <w:tcPr>
            <w:tcW w:type="dxa" w:w="3389"/>
            <w:vAlign w:val="center"/>
          </w:tcPr>
          <w:p>
            <w:pPr>
              <w:spacing w:after="0"/>
            </w:pPr>
            <w:r/>
            <w:r>
              <w:rPr>
                <w:rFonts w:ascii="Aptos" w:hAnsi="Aptos"/>
                <w:b w:val="0"/>
                <w:sz w:val="15"/>
              </w:rPr>
              <w:t>Approve own high-risk exception or execute payment unless authorised policy permits.</w:t>
            </w:r>
          </w:p>
        </w:tc>
      </w:tr>
      <w:tr>
        <w:tc>
          <w:tcPr>
            <w:tcW w:type="dxa" w:w="3389"/>
            <w:vAlign w:val="center"/>
          </w:tcPr>
          <w:p>
            <w:pPr>
              <w:spacing w:after="0"/>
            </w:pPr>
            <w:r/>
            <w:r>
              <w:rPr>
                <w:rFonts w:ascii="Aptos" w:hAnsi="Aptos"/>
                <w:b w:val="0"/>
                <w:sz w:val="15"/>
              </w:rPr>
              <w:t>Finance approver/controller</w:t>
            </w:r>
          </w:p>
        </w:tc>
        <w:tc>
          <w:tcPr>
            <w:tcW w:type="dxa" w:w="3389"/>
            <w:vAlign w:val="center"/>
          </w:tcPr>
          <w:p>
            <w:pPr>
              <w:spacing w:after="0"/>
            </w:pPr>
            <w:r/>
            <w:r>
              <w:rPr>
                <w:rFonts w:ascii="Aptos" w:hAnsi="Aptos"/>
                <w:b w:val="0"/>
                <w:sz w:val="15"/>
              </w:rPr>
              <w:t>Approve within documented authority; review accounting/tax exceptions and reconciliations.</w:t>
            </w:r>
          </w:p>
        </w:tc>
        <w:tc>
          <w:tcPr>
            <w:tcW w:type="dxa" w:w="3389"/>
            <w:vAlign w:val="center"/>
          </w:tcPr>
          <w:p>
            <w:pPr>
              <w:spacing w:after="0"/>
            </w:pPr>
            <w:r/>
            <w:r>
              <w:rPr>
                <w:rFonts w:ascii="Aptos" w:hAnsi="Aptos"/>
                <w:b w:val="0"/>
                <w:sz w:val="15"/>
              </w:rPr>
              <w:t>Modify source exports to make a mismatch disappear.</w:t>
            </w:r>
          </w:p>
        </w:tc>
      </w:tr>
      <w:tr>
        <w:tc>
          <w:tcPr>
            <w:tcW w:type="dxa" w:w="3389"/>
            <w:vAlign w:val="center"/>
          </w:tcPr>
          <w:p>
            <w:pPr>
              <w:spacing w:after="0"/>
            </w:pPr>
            <w:r/>
            <w:r>
              <w:rPr>
                <w:rFonts w:ascii="Aptos" w:hAnsi="Aptos"/>
                <w:b w:val="0"/>
                <w:sz w:val="15"/>
              </w:rPr>
              <w:t>Payment approver/treasury</w:t>
            </w:r>
          </w:p>
        </w:tc>
        <w:tc>
          <w:tcPr>
            <w:tcW w:type="dxa" w:w="3389"/>
            <w:vAlign w:val="center"/>
          </w:tcPr>
          <w:p>
            <w:pPr>
              <w:spacing w:after="0"/>
            </w:pPr>
            <w:r/>
            <w:r>
              <w:rPr>
                <w:rFonts w:ascii="Aptos" w:hAnsi="Aptos"/>
                <w:b w:val="0"/>
                <w:sz w:val="15"/>
              </w:rPr>
              <w:t>Review due payable and authorise payment according to existing policy.</w:t>
            </w:r>
          </w:p>
        </w:tc>
        <w:tc>
          <w:tcPr>
            <w:tcW w:type="dxa" w:w="3389"/>
            <w:vAlign w:val="center"/>
          </w:tcPr>
          <w:p>
            <w:pPr>
              <w:spacing w:after="0"/>
            </w:pPr>
            <w:r/>
            <w:r>
              <w:rPr>
                <w:rFonts w:ascii="Aptos" w:hAnsi="Aptos"/>
                <w:b w:val="0"/>
                <w:sz w:val="15"/>
              </w:rPr>
              <w:t>Treat the new platform as authority to initiate payment without DataMan/company controls.</w:t>
            </w:r>
          </w:p>
        </w:tc>
      </w:tr>
      <w:tr>
        <w:tc>
          <w:tcPr>
            <w:tcW w:type="dxa" w:w="3389"/>
            <w:vAlign w:val="center"/>
          </w:tcPr>
          <w:p>
            <w:pPr>
              <w:spacing w:after="0"/>
            </w:pPr>
            <w:r/>
            <w:r>
              <w:rPr>
                <w:rFonts w:ascii="Aptos" w:hAnsi="Aptos"/>
                <w:b w:val="0"/>
                <w:sz w:val="15"/>
              </w:rPr>
              <w:t>Production supervisor</w:t>
            </w:r>
          </w:p>
        </w:tc>
        <w:tc>
          <w:tcPr>
            <w:tcW w:type="dxa" w:w="3389"/>
            <w:vAlign w:val="center"/>
          </w:tcPr>
          <w:p>
            <w:pPr>
              <w:spacing w:after="0"/>
            </w:pPr>
            <w:r/>
            <w:r>
              <w:rPr>
                <w:rFonts w:ascii="Aptos" w:hAnsi="Aptos"/>
                <w:b w:val="0"/>
                <w:sz w:val="15"/>
              </w:rPr>
              <w:t>Record shift output, downtime and consumption; close assigned tasks.</w:t>
            </w:r>
          </w:p>
        </w:tc>
        <w:tc>
          <w:tcPr>
            <w:tcW w:type="dxa" w:w="3389"/>
            <w:vAlign w:val="center"/>
          </w:tcPr>
          <w:p>
            <w:pPr>
              <w:spacing w:after="0"/>
            </w:pPr>
            <w:r/>
            <w:r>
              <w:rPr>
                <w:rFonts w:ascii="Aptos" w:hAnsi="Aptos"/>
                <w:b w:val="0"/>
                <w:sz w:val="15"/>
              </w:rPr>
              <w:t>Alter historical signed-off records without an amendment.</w:t>
            </w:r>
          </w:p>
        </w:tc>
      </w:tr>
      <w:tr>
        <w:tc>
          <w:tcPr>
            <w:tcW w:type="dxa" w:w="3389"/>
            <w:vAlign w:val="center"/>
          </w:tcPr>
          <w:p>
            <w:pPr>
              <w:spacing w:after="0"/>
            </w:pPr>
            <w:r/>
            <w:r>
              <w:rPr>
                <w:rFonts w:ascii="Aptos" w:hAnsi="Aptos"/>
                <w:b w:val="0"/>
                <w:sz w:val="15"/>
              </w:rPr>
              <w:t>Maintenance team</w:t>
            </w:r>
          </w:p>
        </w:tc>
        <w:tc>
          <w:tcPr>
            <w:tcW w:type="dxa" w:w="3389"/>
            <w:vAlign w:val="center"/>
          </w:tcPr>
          <w:p>
            <w:pPr>
              <w:spacing w:after="0"/>
            </w:pPr>
            <w:r/>
            <w:r>
              <w:rPr>
                <w:rFonts w:ascii="Aptos" w:hAnsi="Aptos"/>
                <w:b w:val="0"/>
                <w:sz w:val="15"/>
              </w:rPr>
              <w:t>Create/execute/close assigned work orders and record spares/downtime.</w:t>
            </w:r>
          </w:p>
        </w:tc>
        <w:tc>
          <w:tcPr>
            <w:tcW w:type="dxa" w:w="3389"/>
            <w:vAlign w:val="center"/>
          </w:tcPr>
          <w:p>
            <w:pPr>
              <w:spacing w:after="0"/>
            </w:pPr>
            <w:r/>
            <w:r>
              <w:rPr>
                <w:rFonts w:ascii="Aptos" w:hAnsi="Aptos"/>
                <w:b w:val="0"/>
                <w:sz w:val="15"/>
              </w:rPr>
              <w:t>Approve their own restricted purchase/payment transactions.</w:t>
            </w:r>
          </w:p>
        </w:tc>
      </w:tr>
      <w:tr>
        <w:tc>
          <w:tcPr>
            <w:tcW w:type="dxa" w:w="3389"/>
            <w:vAlign w:val="center"/>
          </w:tcPr>
          <w:p>
            <w:pPr>
              <w:spacing w:after="0"/>
            </w:pPr>
            <w:r/>
            <w:r>
              <w:rPr>
                <w:rFonts w:ascii="Aptos" w:hAnsi="Aptos"/>
                <w:b w:val="0"/>
                <w:sz w:val="15"/>
              </w:rPr>
              <w:t>MD/executive</w:t>
            </w:r>
          </w:p>
        </w:tc>
        <w:tc>
          <w:tcPr>
            <w:tcW w:type="dxa" w:w="3389"/>
            <w:vAlign w:val="center"/>
          </w:tcPr>
          <w:p>
            <w:pPr>
              <w:spacing w:after="0"/>
            </w:pPr>
            <w:r/>
            <w:r>
              <w:rPr>
                <w:rFonts w:ascii="Aptos" w:hAnsi="Aptos"/>
                <w:b w:val="0"/>
                <w:sz w:val="15"/>
              </w:rPr>
              <w:t>Read company-wide dashboards, drill down subject to permissions, assign/escalate decisions.</w:t>
            </w:r>
          </w:p>
        </w:tc>
        <w:tc>
          <w:tcPr>
            <w:tcW w:type="dxa" w:w="3389"/>
            <w:vAlign w:val="center"/>
          </w:tcPr>
          <w:p>
            <w:pPr>
              <w:spacing w:after="0"/>
            </w:pPr>
            <w:r/>
            <w:r>
              <w:rPr>
                <w:rFonts w:ascii="Aptos" w:hAnsi="Aptos"/>
                <w:b w:val="0"/>
                <w:sz w:val="15"/>
              </w:rPr>
              <w:t>Need not have unrestricted ability to alter operational or accounting records.</w:t>
            </w:r>
          </w:p>
        </w:tc>
      </w:tr>
      <w:tr>
        <w:tc>
          <w:tcPr>
            <w:tcW w:type="dxa" w:w="3389"/>
            <w:vAlign w:val="center"/>
          </w:tcPr>
          <w:p>
            <w:pPr>
              <w:spacing w:after="0"/>
            </w:pPr>
            <w:r/>
            <w:r>
              <w:rPr>
                <w:rFonts w:ascii="Aptos" w:hAnsi="Aptos"/>
                <w:b w:val="0"/>
                <w:sz w:val="15"/>
              </w:rPr>
              <w:t>System administrator</w:t>
            </w:r>
          </w:p>
        </w:tc>
        <w:tc>
          <w:tcPr>
            <w:tcW w:type="dxa" w:w="3389"/>
            <w:vAlign w:val="center"/>
          </w:tcPr>
          <w:p>
            <w:pPr>
              <w:spacing w:after="0"/>
            </w:pPr>
            <w:r/>
            <w:r>
              <w:rPr>
                <w:rFonts w:ascii="Aptos" w:hAnsi="Aptos"/>
                <w:b w:val="0"/>
                <w:sz w:val="15"/>
              </w:rPr>
              <w:t>Manage users, roles, configuration, mappings and integration health.</w:t>
            </w:r>
          </w:p>
        </w:tc>
        <w:tc>
          <w:tcPr>
            <w:tcW w:type="dxa" w:w="3389"/>
            <w:vAlign w:val="center"/>
          </w:tcPr>
          <w:p>
            <w:pPr>
              <w:spacing w:after="0"/>
            </w:pPr>
            <w:r/>
            <w:r>
              <w:rPr>
                <w:rFonts w:ascii="Aptos" w:hAnsi="Aptos"/>
                <w:b w:val="0"/>
                <w:sz w:val="15"/>
              </w:rPr>
              <w:t>Approve business transactions solely because they administer the system.</w:t>
            </w:r>
          </w:p>
        </w:tc>
      </w:tr>
      <w:tr>
        <w:tc>
          <w:tcPr>
            <w:tcW w:type="dxa" w:w="3389"/>
            <w:vAlign w:val="center"/>
          </w:tcPr>
          <w:p>
            <w:pPr>
              <w:spacing w:after="0"/>
            </w:pPr>
            <w:r/>
            <w:r>
              <w:rPr>
                <w:rFonts w:ascii="Aptos" w:hAnsi="Aptos"/>
                <w:b w:val="0"/>
                <w:sz w:val="15"/>
              </w:rPr>
              <w:t>Auditor/read-only reviewer</w:t>
            </w:r>
          </w:p>
        </w:tc>
        <w:tc>
          <w:tcPr>
            <w:tcW w:type="dxa" w:w="3389"/>
            <w:vAlign w:val="center"/>
          </w:tcPr>
          <w:p>
            <w:pPr>
              <w:spacing w:after="0"/>
            </w:pPr>
            <w:r/>
            <w:r>
              <w:rPr>
                <w:rFonts w:ascii="Aptos" w:hAnsi="Aptos"/>
                <w:b w:val="0"/>
                <w:sz w:val="15"/>
              </w:rPr>
              <w:t>View permitted records, evidence, approvals and audit history.</w:t>
            </w:r>
          </w:p>
        </w:tc>
        <w:tc>
          <w:tcPr>
            <w:tcW w:type="dxa" w:w="3389"/>
            <w:vAlign w:val="center"/>
          </w:tcPr>
          <w:p>
            <w:pPr>
              <w:spacing w:after="0"/>
            </w:pPr>
            <w:r/>
            <w:r>
              <w:rPr>
                <w:rFonts w:ascii="Aptos" w:hAnsi="Aptos"/>
                <w:b w:val="0"/>
                <w:sz w:val="15"/>
              </w:rPr>
              <w:t>Edit records.</w:t>
            </w:r>
          </w:p>
        </w:tc>
      </w:tr>
    </w:tbl>
    <w:p/>
    <w:p>
      <w:r>
        <w:t>The final role matrix and maker-checker controls must be approved by management. A user may hold more than one role only where policy allows; conflicts must be detected and controlled.</w:t>
      </w:r>
    </w:p>
    <w:p>
      <w:pPr>
        <w:pStyle w:val="Heading1"/>
      </w:pPr>
      <w:r>
        <w:t>7. Screen-by-screen requirements</w:t>
      </w:r>
    </w:p>
    <w:p>
      <w:pPr>
        <w:pStyle w:val="Heading2"/>
      </w:pPr>
      <w:r>
        <w:t>7.1 MD Command Centre</w:t>
      </w:r>
    </w:p>
    <w:p>
      <w:pPr>
        <w:pStyle w:val="ListBullet"/>
        <w:spacing w:after="30"/>
      </w:pPr>
      <w:r>
        <w:t>Show cards for trucks on site, waiting time, unloading/QC queue, GRNs awaiting completion, digital packets not acknowledged, physical bundles in transit, bills awaiting matching/approval, bills posted but payment due, production versus target, downtime, stock alerts, receivables/payables and cash/bank where reliable data exists.</w:t>
      </w:r>
    </w:p>
    <w:p>
      <w:pPr>
        <w:pStyle w:val="ListBullet"/>
        <w:spacing w:after="30"/>
      </w:pPr>
      <w:r>
        <w:t>Every KPI shows value, period, source system, last successful refresh, data completeness and whether actual/imported/manual/estimated.</w:t>
      </w:r>
    </w:p>
    <w:p>
      <w:pPr>
        <w:pStyle w:val="ListBullet"/>
        <w:spacing w:after="30"/>
      </w:pPr>
      <w:r>
        <w:t>Clicking a card opens the filtered underlying records, not a static decorative page.</w:t>
      </w:r>
    </w:p>
    <w:p>
      <w:pPr>
        <w:pStyle w:val="ListBullet"/>
        <w:spacing w:after="30"/>
      </w:pPr>
      <w:r>
        <w:t>Show top exceptions ranked by severity, age, financial/operational impact and owner.</w:t>
      </w:r>
    </w:p>
    <w:p>
      <w:pPr>
        <w:pStyle w:val="ListBullet"/>
        <w:spacing w:after="30"/>
      </w:pPr>
      <w:r>
        <w:t>Allow filters for date, factory, material grade, supplier, department, machine and status as applicable.</w:t>
      </w:r>
    </w:p>
    <w:p>
      <w:pPr>
        <w:pStyle w:val="ListBullet"/>
        <w:spacing w:after="30"/>
      </w:pPr>
      <w:r>
        <w:t>Show trends and comparisons only when periods and definitions are consistent.</w:t>
      </w:r>
    </w:p>
    <w:p>
      <w:pPr>
        <w:pStyle w:val="ListBullet"/>
        <w:spacing w:after="30"/>
      </w:pPr>
      <w:r>
        <w:t>Do not display fabricated live values. Demo data must be clearly marked and excluded from production analytics.</w:t>
      </w:r>
    </w:p>
    <w:p>
      <w:pPr>
        <w:pStyle w:val="Heading2"/>
      </w:pPr>
      <w:r>
        <w:t>7.2 Gate/inward screen</w:t>
      </w:r>
    </w:p>
    <w:p>
      <w:pPr>
        <w:pStyle w:val="ListBullet"/>
        <w:spacing w:after="30"/>
      </w:pPr>
      <w:r>
        <w:t>Fast mobile-friendly form with inward ID generated by server; timestamp; vehicle; supplier; PO/challan/invoice/e-way bill references; material; expected quantity; current stage; document capture.</w:t>
      </w:r>
    </w:p>
    <w:p>
      <w:pPr>
        <w:pStyle w:val="ListBullet"/>
        <w:spacing w:after="30"/>
      </w:pPr>
      <w:r>
        <w:t>Duplicate warnings with drill-down to possible matches.</w:t>
      </w:r>
    </w:p>
    <w:p>
      <w:pPr>
        <w:pStyle w:val="ListBullet"/>
        <w:spacing w:after="30"/>
      </w:pPr>
      <w:r>
        <w:t>Queue board with arrival time, time waiting, assigned next step and SLA status.</w:t>
      </w:r>
    </w:p>
    <w:p>
      <w:pPr>
        <w:pStyle w:val="ListBullet"/>
        <w:spacing w:after="30"/>
      </w:pPr>
      <w:r>
        <w:t>Support authorised correction with reason; show full event history.</w:t>
      </w:r>
    </w:p>
    <w:p>
      <w:pPr>
        <w:pStyle w:val="Heading2"/>
      </w:pPr>
      <w:r>
        <w:t>7.3 Weighbridge screen</w:t>
      </w:r>
    </w:p>
    <w:p>
      <w:pPr>
        <w:pStyle w:val="ListBullet"/>
        <w:spacing w:after="30"/>
      </w:pPr>
      <w:r>
        <w:t>Select/scan inward ID; capture gross/tare/net; unit; scale ID; reading source; operator; time; slip attachment.</w:t>
      </w:r>
    </w:p>
    <w:p>
      <w:pPr>
        <w:pStyle w:val="ListBullet"/>
        <w:spacing w:after="30"/>
      </w:pPr>
      <w:r>
        <w:t>Validate sequencing and calculation; clearly show pending tare/net.</w:t>
      </w:r>
    </w:p>
    <w:p>
      <w:pPr>
        <w:pStyle w:val="ListBullet"/>
        <w:spacing w:after="30"/>
      </w:pPr>
      <w:r>
        <w:t>Manual override requires role, reason and audit entry.</w:t>
      </w:r>
    </w:p>
    <w:p>
      <w:pPr>
        <w:pStyle w:val="Heading2"/>
      </w:pPr>
      <w:r>
        <w:t>7.4 QC mobile screen</w:t>
      </w:r>
    </w:p>
    <w:p>
      <w:pPr>
        <w:pStyle w:val="ListBullet"/>
        <w:spacing w:after="30"/>
      </w:pPr>
      <w:r>
        <w:t>Material-grade-specific configurable checklist; no hardcoded unverified Kaygaon thresholds.</w:t>
      </w:r>
    </w:p>
    <w:p>
      <w:pPr>
        <w:pStyle w:val="ListBullet"/>
        <w:spacing w:after="30"/>
      </w:pPr>
      <w:r>
        <w:t>Capture measurements, comments, images, sample IDs, inspector and timestamps.</w:t>
      </w:r>
    </w:p>
    <w:p>
      <w:pPr>
        <w:pStyle w:val="ListBullet"/>
        <w:spacing w:after="30"/>
      </w:pPr>
      <w:r>
        <w:t>Buttons for draft, submit, accepted, partial, hold, rejected only according to configured transitions and permissions.</w:t>
      </w:r>
    </w:p>
    <w:p>
      <w:pPr>
        <w:pStyle w:val="ListBullet"/>
        <w:spacing w:after="30"/>
      </w:pPr>
      <w:r>
        <w:t>Show accepted/rejected/held quantity reconciliation and required approver.</w:t>
      </w:r>
    </w:p>
    <w:p>
      <w:pPr>
        <w:pStyle w:val="Heading2"/>
      </w:pPr>
      <w:r>
        <w:t>7.5 GRN and document packet screen</w:t>
      </w:r>
    </w:p>
    <w:p>
      <w:pPr>
        <w:pStyle w:val="ListBullet"/>
        <w:spacing w:after="30"/>
      </w:pPr>
      <w:r>
        <w:t>GRN number/reference, supplier, PO, material, received/accepted quantity, QC and weighbridge references.</w:t>
      </w:r>
    </w:p>
    <w:p>
      <w:pPr>
        <w:pStyle w:val="ListBullet"/>
        <w:spacing w:after="30"/>
      </w:pPr>
      <w:r>
        <w:t>Document checklist with required/optional/not-applicable, uploaded/missing, original/copy and verification status.</w:t>
      </w:r>
    </w:p>
    <w:p>
      <w:pPr>
        <w:pStyle w:val="ListBullet"/>
        <w:spacing w:after="30"/>
      </w:pPr>
      <w:r>
        <w:t>Upload multiple pages; rotate/crop preview; detect unreadable files; retain original image and derived OCR text.</w:t>
      </w:r>
    </w:p>
    <w:p>
      <w:pPr>
        <w:pStyle w:val="ListBullet"/>
        <w:spacing w:after="30"/>
      </w:pPr>
      <w:r>
        <w:t>Generate a packet manifest and secure link for authorised corporate users.</w:t>
      </w:r>
    </w:p>
    <w:p>
      <w:pPr>
        <w:pStyle w:val="ListBullet"/>
        <w:spacing w:after="30"/>
      </w:pPr>
      <w:r>
        <w:t>Show packet publication time, viewed/acknowledged status and physical-original status.</w:t>
      </w:r>
    </w:p>
    <w:p>
      <w:pPr>
        <w:pStyle w:val="Heading2"/>
      </w:pPr>
      <w:r>
        <w:t>7.6 Physical-document tracking</w:t>
      </w:r>
    </w:p>
    <w:p>
      <w:pPr>
        <w:pStyle w:val="ListBullet"/>
        <w:spacing w:after="30"/>
      </w:pPr>
      <w:r>
        <w:t>Bundle ID, related inward/GRN/bill, document inventory, sender, dispatch method, dispatch time, expected recipient, acknowledgement time and archive location.</w:t>
      </w:r>
    </w:p>
    <w:p>
      <w:pPr>
        <w:pStyle w:val="ListBullet"/>
        <w:spacing w:after="30"/>
      </w:pPr>
      <w:r>
        <w:t>States: preparing, ready, dispatched, received, discrepancy, archived; configured alternatives require admin change history.</w:t>
      </w:r>
    </w:p>
    <w:p>
      <w:pPr>
        <w:pStyle w:val="ListBullet"/>
        <w:spacing w:after="30"/>
      </w:pPr>
      <w:r>
        <w:t>Overdue transit queue and escalation; do not infer a lost document solely from an overdue threshold.</w:t>
      </w:r>
    </w:p>
    <w:p>
      <w:pPr>
        <w:pStyle w:val="Heading2"/>
      </w:pPr>
      <w:r>
        <w:t>7.7 Corporate bill workbench</w:t>
      </w:r>
    </w:p>
    <w:p>
      <w:pPr>
        <w:pStyle w:val="ListBullet"/>
        <w:spacing w:after="30"/>
      </w:pPr>
      <w:r>
        <w:t>Invoice details, uploaded document preview, PO/GRN references, imported DataMan fields, match results, tax/amount calculation, exceptions and comments.</w:t>
      </w:r>
    </w:p>
    <w:p>
      <w:pPr>
        <w:pStyle w:val="ListBullet"/>
        <w:spacing w:after="30"/>
      </w:pPr>
      <w:r>
        <w:t>Three-way comparison of PO, accepted receipt and invoice. Show absolute and percentage differences with units and source values.</w:t>
      </w:r>
    </w:p>
    <w:p>
      <w:pPr>
        <w:pStyle w:val="ListBullet"/>
        <w:spacing w:after="30"/>
      </w:pPr>
      <w:r>
        <w:t>No silent auto-approval; tolerance-based pass requires an approved, versioned policy.</w:t>
      </w:r>
    </w:p>
    <w:p>
      <w:pPr>
        <w:pStyle w:val="ListBullet"/>
        <w:spacing w:after="30"/>
      </w:pPr>
      <w:r>
        <w:t>Assign exception owner, due date and resolution reason; preserve original mismatch.</w:t>
      </w:r>
    </w:p>
    <w:p>
      <w:pPr>
        <w:pStyle w:val="ListBullet"/>
        <w:spacing w:after="30"/>
      </w:pPr>
      <w:r>
        <w:t>Record bill-passing decision separately from official DataMan posting confirmation.</w:t>
      </w:r>
    </w:p>
    <w:p>
      <w:pPr>
        <w:pStyle w:val="ListBullet"/>
        <w:spacing w:after="30"/>
      </w:pPr>
      <w:r>
        <w:t>Show DataMan voucher ID and source import batch once confirmed.</w:t>
      </w:r>
    </w:p>
    <w:p>
      <w:pPr>
        <w:pStyle w:val="Heading2"/>
      </w:pPr>
      <w:r>
        <w:t>7.8 Excel import centre</w:t>
      </w:r>
    </w:p>
    <w:p>
      <w:pPr>
        <w:pStyle w:val="ListBullet"/>
        <w:spacing w:after="30"/>
      </w:pPr>
      <w:r>
        <w:t>Report type, upload area, source filename, export/report period, uploader and import timestamp.</w:t>
      </w:r>
    </w:p>
    <w:p>
      <w:pPr>
        <w:pStyle w:val="ListBullet"/>
        <w:spacing w:after="30"/>
      </w:pPr>
      <w:r>
        <w:t>Column mapping preview and schema version; accepted/rejected/duplicate counts; row-level error list.</w:t>
      </w:r>
    </w:p>
    <w:p>
      <w:pPr>
        <w:pStyle w:val="ListBullet"/>
        <w:spacing w:after="30"/>
      </w:pPr>
      <w:r>
        <w:t>Dry-run validation before commit; idempotent re-import; import history and downloadable error report.</w:t>
      </w:r>
    </w:p>
    <w:p>
      <w:pPr>
        <w:pStyle w:val="ListBullet"/>
        <w:spacing w:after="30"/>
      </w:pPr>
      <w:r>
        <w:t>Totals/count reconciliation; stale dataset alerts; manual re-run with permission.</w:t>
      </w:r>
    </w:p>
    <w:p>
      <w:pPr>
        <w:pStyle w:val="ListBullet"/>
        <w:spacing w:after="30"/>
      </w:pPr>
      <w:r>
        <w:t>Never execute macros from uploaded workbooks. Validate file types and scan uploads.</w:t>
      </w:r>
    </w:p>
    <w:p>
      <w:pPr>
        <w:pStyle w:val="Heading2"/>
      </w:pPr>
      <w:r>
        <w:t>7.9 Inventory</w:t>
      </w:r>
    </w:p>
    <w:p>
      <w:pPr>
        <w:pStyle w:val="ListBullet"/>
        <w:spacing w:after="30"/>
      </w:pPr>
      <w:r>
        <w:t>Material master snapshot, on-hand/available/held/reserved stock, location, units, stock movement timeline and count variance.</w:t>
      </w:r>
    </w:p>
    <w:p>
      <w:pPr>
        <w:pStyle w:val="ListBullet"/>
        <w:spacing w:after="30"/>
      </w:pPr>
      <w:r>
        <w:t>Clearly distinguish DataMan-reported balance from new-platform operational movements.</w:t>
      </w:r>
    </w:p>
    <w:p>
      <w:pPr>
        <w:pStyle w:val="ListBullet"/>
        <w:spacing w:after="30"/>
      </w:pPr>
      <w:r>
        <w:t>Search by material code, grade, supplier, receipt, batch/reel where available.</w:t>
      </w:r>
    </w:p>
    <w:p>
      <w:pPr>
        <w:pStyle w:val="ListBullet"/>
        <w:spacing w:after="30"/>
      </w:pPr>
      <w:r>
        <w:t>Stock adjustments require evidence, reason, approver and audit history.</w:t>
      </w:r>
    </w:p>
    <w:p>
      <w:pPr>
        <w:pStyle w:val="Heading2"/>
      </w:pPr>
      <w:r>
        <w:t>7.10 Production</w:t>
      </w:r>
    </w:p>
    <w:p>
      <w:pPr>
        <w:pStyle w:val="ListBullet"/>
        <w:spacing w:after="30"/>
      </w:pPr>
      <w:r>
        <w:t>Shift plan/actual, machine/grade, good output, waste/broke, downtime, consumption, quality hold and source freshness.</w:t>
      </w:r>
    </w:p>
    <w:p>
      <w:pPr>
        <w:pStyle w:val="ListBullet"/>
        <w:spacing w:after="30"/>
      </w:pPr>
      <w:r>
        <w:t>Trend by shift, day, grade and machine; drill to the underlying production records.</w:t>
      </w:r>
    </w:p>
    <w:p>
      <w:pPr>
        <w:pStyle w:val="ListBullet"/>
        <w:spacing w:after="30"/>
      </w:pPr>
      <w:r>
        <w:t>Do not calculate yield/cost until units, inclusions/exclusions and source reconciliation are agreed.</w:t>
      </w:r>
    </w:p>
    <w:p>
      <w:pPr>
        <w:pStyle w:val="Heading2"/>
      </w:pPr>
      <w:r>
        <w:t>7.11 Maintenance</w:t>
      </w:r>
    </w:p>
    <w:p>
      <w:pPr>
        <w:pStyle w:val="ListBullet"/>
        <w:spacing w:after="30"/>
      </w:pPr>
      <w:r>
        <w:t>Asset register, work request, severity, owner, due date, downtime, spares, completion notes and verification.</w:t>
      </w:r>
    </w:p>
    <w:p>
      <w:pPr>
        <w:pStyle w:val="ListBullet"/>
        <w:spacing w:after="30"/>
      </w:pPr>
      <w:r>
        <w:t>Preventive-maintenance calendar and overdue/repeat-breakdown queue.</w:t>
      </w:r>
    </w:p>
    <w:p>
      <w:pPr>
        <w:pStyle w:val="ListBullet"/>
        <w:spacing w:after="30"/>
      </w:pPr>
      <w:r>
        <w:t>Spare consumption should link to stock movement and purchase references where available.</w:t>
      </w:r>
    </w:p>
    <w:p>
      <w:pPr>
        <w:pStyle w:val="Heading2"/>
      </w:pPr>
      <w:r>
        <w:t>7.12 Sales/dispatch</w:t>
      </w:r>
    </w:p>
    <w:p>
      <w:pPr>
        <w:pStyle w:val="ListBullet"/>
        <w:spacing w:after="30"/>
      </w:pPr>
      <w:r>
        <w:t>Order/dispatch reference, customer, product/grade, planned/actual quantity, vehicle, document checklist, gate-out, delivery status and source invoice reference.</w:t>
      </w:r>
    </w:p>
    <w:p>
      <w:pPr>
        <w:pStyle w:val="ListBullet"/>
        <w:spacing w:after="30"/>
      </w:pPr>
      <w:r>
        <w:t>Customer balances and overdue status are imported from DataMan or the approved source; never infer payment from dispatch completion.</w:t>
      </w:r>
    </w:p>
    <w:p>
      <w:pPr>
        <w:pStyle w:val="ListBullet"/>
        <w:spacing w:after="30"/>
      </w:pPr>
      <w:r>
        <w:t>Customer returns and credit notes must be linked to the original transaction.</w:t>
      </w:r>
    </w:p>
    <w:p>
      <w:pPr>
        <w:pStyle w:val="Heading2"/>
      </w:pPr>
      <w:r>
        <w:t>7.13 Administration and audit</w:t>
      </w:r>
    </w:p>
    <w:p>
      <w:pPr>
        <w:pStyle w:val="ListBullet"/>
        <w:spacing w:after="30"/>
      </w:pPr>
      <w:r>
        <w:t>User/role management, approval matrix, document checklist configuration, SLA configuration, import mapping versioning, material/vendor mapping, notification rules and system health.</w:t>
      </w:r>
    </w:p>
    <w:p>
      <w:pPr>
        <w:pStyle w:val="ListBullet"/>
        <w:spacing w:after="30"/>
      </w:pPr>
      <w:r>
        <w:t>Searchable audit trail with actor, action, entity, timestamp, before/after values where appropriate, reason, source device/session and correlation ID.</w:t>
      </w:r>
    </w:p>
    <w:p>
      <w:pPr>
        <w:pStyle w:val="ListBullet"/>
        <w:spacing w:after="30"/>
      </w:pPr>
      <w:r>
        <w:t>Audit records are append-only for application users; privileged maintenance procedures are restricted and monitored.</w:t>
      </w:r>
    </w:p>
    <w:p>
      <w:pPr>
        <w:pStyle w:val="Heading1"/>
      </w:pPr>
      <w:r>
        <w:t>8. Data model and entity relationships</w:t>
      </w:r>
    </w:p>
    <w:p>
      <w:r>
        <w:t>Use a relational model with immutable identifiers. Names/codes imported from DataMan are source references, not assumed globally unique keys. Each import and each source row must be traceable.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Entity</w:t>
            </w:r>
          </w:p>
        </w:tc>
        <w:tc>
          <w:tcPr>
            <w:tcW w:type="dxa" w:w="3389"/>
            <w:vAlign w:val="center"/>
            <w:shd w:fill="17324D"/>
          </w:tcPr>
          <w:p>
            <w:pPr>
              <w:spacing w:after="0"/>
            </w:pPr>
            <w:r/>
            <w:r>
              <w:rPr>
                <w:rFonts w:ascii="Aptos" w:hAnsi="Aptos"/>
                <w:b/>
                <w:color w:val="FFFFFF"/>
                <w:sz w:val="16"/>
              </w:rPr>
              <w:t>Key fields</w:t>
            </w:r>
          </w:p>
        </w:tc>
        <w:tc>
          <w:tcPr>
            <w:tcW w:type="dxa" w:w="3389"/>
            <w:vAlign w:val="center"/>
            <w:shd w:fill="17324D"/>
          </w:tcPr>
          <w:p>
            <w:pPr>
              <w:spacing w:after="0"/>
            </w:pPr>
            <w:r/>
            <w:r>
              <w:rPr>
                <w:rFonts w:ascii="Aptos" w:hAnsi="Aptos"/>
                <w:b/>
                <w:color w:val="FFFFFF"/>
                <w:sz w:val="16"/>
              </w:rPr>
              <w:t>Purpose / relationships</w:t>
            </w:r>
          </w:p>
        </w:tc>
      </w:tr>
      <w:tr>
        <w:tc>
          <w:tcPr>
            <w:tcW w:type="dxa" w:w="3389"/>
            <w:vAlign w:val="center"/>
          </w:tcPr>
          <w:p>
            <w:pPr>
              <w:spacing w:after="0"/>
            </w:pPr>
            <w:r/>
            <w:r>
              <w:rPr>
                <w:rFonts w:ascii="Aptos" w:hAnsi="Aptos"/>
                <w:b w:val="0"/>
                <w:sz w:val="15"/>
              </w:rPr>
              <w:t>User</w:t>
            </w:r>
          </w:p>
        </w:tc>
        <w:tc>
          <w:tcPr>
            <w:tcW w:type="dxa" w:w="3389"/>
            <w:vAlign w:val="center"/>
          </w:tcPr>
          <w:p>
            <w:pPr>
              <w:spacing w:after="0"/>
            </w:pPr>
            <w:r/>
            <w:r>
              <w:rPr>
                <w:rFonts w:ascii="Aptos" w:hAnsi="Aptos"/>
                <w:b w:val="0"/>
                <w:sz w:val="15"/>
              </w:rPr>
              <w:t>user_id, username, status, identity_provider_id</w:t>
            </w:r>
          </w:p>
        </w:tc>
        <w:tc>
          <w:tcPr>
            <w:tcW w:type="dxa" w:w="3389"/>
            <w:vAlign w:val="center"/>
          </w:tcPr>
          <w:p>
            <w:pPr>
              <w:spacing w:after="0"/>
            </w:pPr>
            <w:r/>
            <w:r>
              <w:rPr>
                <w:rFonts w:ascii="Aptos" w:hAnsi="Aptos"/>
                <w:b w:val="0"/>
                <w:sz w:val="15"/>
              </w:rPr>
              <w:t>Identity and accountability.</w:t>
            </w:r>
          </w:p>
        </w:tc>
      </w:tr>
      <w:tr>
        <w:tc>
          <w:tcPr>
            <w:tcW w:type="dxa" w:w="3389"/>
            <w:vAlign w:val="center"/>
          </w:tcPr>
          <w:p>
            <w:pPr>
              <w:spacing w:after="0"/>
            </w:pPr>
            <w:r/>
            <w:r>
              <w:rPr>
                <w:rFonts w:ascii="Aptos" w:hAnsi="Aptos"/>
                <w:b w:val="0"/>
                <w:sz w:val="15"/>
              </w:rPr>
              <w:t>Role / Permission</w:t>
            </w:r>
          </w:p>
        </w:tc>
        <w:tc>
          <w:tcPr>
            <w:tcW w:type="dxa" w:w="3389"/>
            <w:vAlign w:val="center"/>
          </w:tcPr>
          <w:p>
            <w:pPr>
              <w:spacing w:after="0"/>
            </w:pPr>
            <w:r/>
            <w:r>
              <w:rPr>
                <w:rFonts w:ascii="Aptos" w:hAnsi="Aptos"/>
                <w:b w:val="0"/>
                <w:sz w:val="15"/>
              </w:rPr>
              <w:t>role_id, permission_code, scope</w:t>
            </w:r>
          </w:p>
        </w:tc>
        <w:tc>
          <w:tcPr>
            <w:tcW w:type="dxa" w:w="3389"/>
            <w:vAlign w:val="center"/>
          </w:tcPr>
          <w:p>
            <w:pPr>
              <w:spacing w:after="0"/>
            </w:pPr>
            <w:r/>
            <w:r>
              <w:rPr>
                <w:rFonts w:ascii="Aptos" w:hAnsi="Aptos"/>
                <w:b w:val="0"/>
                <w:sz w:val="15"/>
              </w:rPr>
              <w:t>Access and segregation.</w:t>
            </w:r>
          </w:p>
        </w:tc>
      </w:tr>
      <w:tr>
        <w:tc>
          <w:tcPr>
            <w:tcW w:type="dxa" w:w="3389"/>
            <w:vAlign w:val="center"/>
          </w:tcPr>
          <w:p>
            <w:pPr>
              <w:spacing w:after="0"/>
            </w:pPr>
            <w:r/>
            <w:r>
              <w:rPr>
                <w:rFonts w:ascii="Aptos" w:hAnsi="Aptos"/>
                <w:b w:val="0"/>
                <w:sz w:val="15"/>
              </w:rPr>
              <w:t>SupplierSnapshot</w:t>
            </w:r>
          </w:p>
        </w:tc>
        <w:tc>
          <w:tcPr>
            <w:tcW w:type="dxa" w:w="3389"/>
            <w:vAlign w:val="center"/>
          </w:tcPr>
          <w:p>
            <w:pPr>
              <w:spacing w:after="0"/>
            </w:pPr>
            <w:r/>
            <w:r>
              <w:rPr>
                <w:rFonts w:ascii="Aptos" w:hAnsi="Aptos"/>
                <w:b w:val="0"/>
                <w:sz w:val="15"/>
              </w:rPr>
              <w:t>supplier_snapshot_id, source_code, name, GSTIN if present, import_batch_id</w:t>
            </w:r>
          </w:p>
        </w:tc>
        <w:tc>
          <w:tcPr>
            <w:tcW w:type="dxa" w:w="3389"/>
            <w:vAlign w:val="center"/>
          </w:tcPr>
          <w:p>
            <w:pPr>
              <w:spacing w:after="0"/>
            </w:pPr>
            <w:r/>
            <w:r>
              <w:rPr>
                <w:rFonts w:ascii="Aptos" w:hAnsi="Aptos"/>
                <w:b w:val="0"/>
                <w:sz w:val="15"/>
              </w:rPr>
              <w:t>Versioned vendor data imported from DataMan.</w:t>
            </w:r>
          </w:p>
        </w:tc>
      </w:tr>
      <w:tr>
        <w:tc>
          <w:tcPr>
            <w:tcW w:type="dxa" w:w="3389"/>
            <w:vAlign w:val="center"/>
          </w:tcPr>
          <w:p>
            <w:pPr>
              <w:spacing w:after="0"/>
            </w:pPr>
            <w:r/>
            <w:r>
              <w:rPr>
                <w:rFonts w:ascii="Aptos" w:hAnsi="Aptos"/>
                <w:b w:val="0"/>
                <w:sz w:val="15"/>
              </w:rPr>
              <w:t>MaterialSnapshot</w:t>
            </w:r>
          </w:p>
        </w:tc>
        <w:tc>
          <w:tcPr>
            <w:tcW w:type="dxa" w:w="3389"/>
            <w:vAlign w:val="center"/>
          </w:tcPr>
          <w:p>
            <w:pPr>
              <w:spacing w:after="0"/>
            </w:pPr>
            <w:r/>
            <w:r>
              <w:rPr>
                <w:rFonts w:ascii="Aptos" w:hAnsi="Aptos"/>
                <w:b w:val="0"/>
                <w:sz w:val="15"/>
              </w:rPr>
              <w:t>material_snapshot_id, source_code, description, unit, grade, import_batch_id</w:t>
            </w:r>
          </w:p>
        </w:tc>
        <w:tc>
          <w:tcPr>
            <w:tcW w:type="dxa" w:w="3389"/>
            <w:vAlign w:val="center"/>
          </w:tcPr>
          <w:p>
            <w:pPr>
              <w:spacing w:after="0"/>
            </w:pPr>
            <w:r/>
            <w:r>
              <w:rPr>
                <w:rFonts w:ascii="Aptos" w:hAnsi="Aptos"/>
                <w:b w:val="0"/>
                <w:sz w:val="15"/>
              </w:rPr>
              <w:t>Versioned material master.</w:t>
            </w:r>
          </w:p>
        </w:tc>
      </w:tr>
      <w:tr>
        <w:tc>
          <w:tcPr>
            <w:tcW w:type="dxa" w:w="3389"/>
            <w:vAlign w:val="center"/>
          </w:tcPr>
          <w:p>
            <w:pPr>
              <w:spacing w:after="0"/>
            </w:pPr>
            <w:r/>
            <w:r>
              <w:rPr>
                <w:rFonts w:ascii="Aptos" w:hAnsi="Aptos"/>
                <w:b w:val="0"/>
                <w:sz w:val="15"/>
              </w:rPr>
              <w:t>PurchaseOrderSnapshot</w:t>
            </w:r>
          </w:p>
        </w:tc>
        <w:tc>
          <w:tcPr>
            <w:tcW w:type="dxa" w:w="3389"/>
            <w:vAlign w:val="center"/>
          </w:tcPr>
          <w:p>
            <w:pPr>
              <w:spacing w:after="0"/>
            </w:pPr>
            <w:r/>
            <w:r>
              <w:rPr>
                <w:rFonts w:ascii="Aptos" w:hAnsi="Aptos"/>
                <w:b w:val="0"/>
                <w:sz w:val="15"/>
              </w:rPr>
              <w:t>source_po_key, supplier_code, item_code, quantity, rate, currency, dates, status, import_batch_id</w:t>
            </w:r>
          </w:p>
        </w:tc>
        <w:tc>
          <w:tcPr>
            <w:tcW w:type="dxa" w:w="3389"/>
            <w:vAlign w:val="center"/>
          </w:tcPr>
          <w:p>
            <w:pPr>
              <w:spacing w:after="0"/>
            </w:pPr>
            <w:r/>
            <w:r>
              <w:rPr>
                <w:rFonts w:ascii="Aptos" w:hAnsi="Aptos"/>
                <w:b w:val="0"/>
                <w:sz w:val="15"/>
              </w:rPr>
              <w:t>Imported PO reference and line data.</w:t>
            </w:r>
          </w:p>
        </w:tc>
      </w:tr>
      <w:tr>
        <w:tc>
          <w:tcPr>
            <w:tcW w:type="dxa" w:w="3389"/>
            <w:vAlign w:val="center"/>
          </w:tcPr>
          <w:p>
            <w:pPr>
              <w:spacing w:after="0"/>
            </w:pPr>
            <w:r/>
            <w:r>
              <w:rPr>
                <w:rFonts w:ascii="Aptos" w:hAnsi="Aptos"/>
                <w:b w:val="0"/>
                <w:sz w:val="15"/>
              </w:rPr>
              <w:t>Inward</w:t>
            </w:r>
          </w:p>
        </w:tc>
        <w:tc>
          <w:tcPr>
            <w:tcW w:type="dxa" w:w="3389"/>
            <w:vAlign w:val="center"/>
          </w:tcPr>
          <w:p>
            <w:pPr>
              <w:spacing w:after="0"/>
            </w:pPr>
            <w:r/>
            <w:r>
              <w:rPr>
                <w:rFonts w:ascii="Aptos" w:hAnsi="Aptos"/>
                <w:b w:val="0"/>
                <w:sz w:val="15"/>
              </w:rPr>
              <w:t>inward_id, vehicle, supplier reference, PO reference, arrival_at, state, created_by</w:t>
            </w:r>
          </w:p>
        </w:tc>
        <w:tc>
          <w:tcPr>
            <w:tcW w:type="dxa" w:w="3389"/>
            <w:vAlign w:val="center"/>
          </w:tcPr>
          <w:p>
            <w:pPr>
              <w:spacing w:after="0"/>
            </w:pPr>
            <w:r/>
            <w:r>
              <w:rPr>
                <w:rFonts w:ascii="Aptos" w:hAnsi="Aptos"/>
                <w:b w:val="0"/>
                <w:sz w:val="15"/>
              </w:rPr>
              <w:t>Operational truck transaction.</w:t>
            </w:r>
          </w:p>
        </w:tc>
      </w:tr>
      <w:tr>
        <w:tc>
          <w:tcPr>
            <w:tcW w:type="dxa" w:w="3389"/>
            <w:vAlign w:val="center"/>
          </w:tcPr>
          <w:p>
            <w:pPr>
              <w:spacing w:after="0"/>
            </w:pPr>
            <w:r/>
            <w:r>
              <w:rPr>
                <w:rFonts w:ascii="Aptos" w:hAnsi="Aptos"/>
                <w:b w:val="0"/>
                <w:sz w:val="15"/>
              </w:rPr>
              <w:t>Weighment</w:t>
            </w:r>
          </w:p>
        </w:tc>
        <w:tc>
          <w:tcPr>
            <w:tcW w:type="dxa" w:w="3389"/>
            <w:vAlign w:val="center"/>
          </w:tcPr>
          <w:p>
            <w:pPr>
              <w:spacing w:after="0"/>
            </w:pPr>
            <w:r/>
            <w:r>
              <w:rPr>
                <w:rFonts w:ascii="Aptos" w:hAnsi="Aptos"/>
                <w:b w:val="0"/>
                <w:sz w:val="15"/>
              </w:rPr>
              <w:t>weighment_id, inward_id, type, weight, unit, measured_at, source, slip_document_id, correction_of_id</w:t>
            </w:r>
          </w:p>
        </w:tc>
        <w:tc>
          <w:tcPr>
            <w:tcW w:type="dxa" w:w="3389"/>
            <w:vAlign w:val="center"/>
          </w:tcPr>
          <w:p>
            <w:pPr>
              <w:spacing w:after="0"/>
            </w:pPr>
            <w:r/>
            <w:r>
              <w:rPr>
                <w:rFonts w:ascii="Aptos" w:hAnsi="Aptos"/>
                <w:b w:val="0"/>
                <w:sz w:val="15"/>
              </w:rPr>
              <w:t>Gross/tare readings and controlled corrections.</w:t>
            </w:r>
          </w:p>
        </w:tc>
      </w:tr>
      <w:tr>
        <w:tc>
          <w:tcPr>
            <w:tcW w:type="dxa" w:w="3389"/>
            <w:vAlign w:val="center"/>
          </w:tcPr>
          <w:p>
            <w:pPr>
              <w:spacing w:after="0"/>
            </w:pPr>
            <w:r/>
            <w:r>
              <w:rPr>
                <w:rFonts w:ascii="Aptos" w:hAnsi="Aptos"/>
                <w:b w:val="0"/>
                <w:sz w:val="15"/>
              </w:rPr>
              <w:t>QCInspection</w:t>
            </w:r>
          </w:p>
        </w:tc>
        <w:tc>
          <w:tcPr>
            <w:tcW w:type="dxa" w:w="3389"/>
            <w:vAlign w:val="center"/>
          </w:tcPr>
          <w:p>
            <w:pPr>
              <w:spacing w:after="0"/>
            </w:pPr>
            <w:r/>
            <w:r>
              <w:rPr>
                <w:rFonts w:ascii="Aptos" w:hAnsi="Aptos"/>
                <w:b w:val="0"/>
                <w:sz w:val="15"/>
              </w:rPr>
              <w:t>qc_id, inward_id, inspector_id, started_at, completed_at, result, spec_version, decision_reason</w:t>
            </w:r>
          </w:p>
        </w:tc>
        <w:tc>
          <w:tcPr>
            <w:tcW w:type="dxa" w:w="3389"/>
            <w:vAlign w:val="center"/>
          </w:tcPr>
          <w:p>
            <w:pPr>
              <w:spacing w:after="0"/>
            </w:pPr>
            <w:r/>
            <w:r>
              <w:rPr>
                <w:rFonts w:ascii="Aptos" w:hAnsi="Aptos"/>
                <w:b w:val="0"/>
                <w:sz w:val="15"/>
              </w:rPr>
              <w:t>QC during unloading.</w:t>
            </w:r>
          </w:p>
        </w:tc>
      </w:tr>
      <w:tr>
        <w:tc>
          <w:tcPr>
            <w:tcW w:type="dxa" w:w="3389"/>
            <w:vAlign w:val="center"/>
          </w:tcPr>
          <w:p>
            <w:pPr>
              <w:spacing w:after="0"/>
            </w:pPr>
            <w:r/>
            <w:r>
              <w:rPr>
                <w:rFonts w:ascii="Aptos" w:hAnsi="Aptos"/>
                <w:b w:val="0"/>
                <w:sz w:val="15"/>
              </w:rPr>
              <w:t>QCMeasurement</w:t>
            </w:r>
          </w:p>
        </w:tc>
        <w:tc>
          <w:tcPr>
            <w:tcW w:type="dxa" w:w="3389"/>
            <w:vAlign w:val="center"/>
          </w:tcPr>
          <w:p>
            <w:pPr>
              <w:spacing w:after="0"/>
            </w:pPr>
            <w:r/>
            <w:r>
              <w:rPr>
                <w:rFonts w:ascii="Aptos" w:hAnsi="Aptos"/>
                <w:b w:val="0"/>
                <w:sz w:val="15"/>
              </w:rPr>
              <w:t>measurement_id, qc_id, parameter_code, value, unit, method, sample_ref</w:t>
            </w:r>
          </w:p>
        </w:tc>
        <w:tc>
          <w:tcPr>
            <w:tcW w:type="dxa" w:w="3389"/>
            <w:vAlign w:val="center"/>
          </w:tcPr>
          <w:p>
            <w:pPr>
              <w:spacing w:after="0"/>
            </w:pPr>
            <w:r/>
            <w:r>
              <w:rPr>
                <w:rFonts w:ascii="Aptos" w:hAnsi="Aptos"/>
                <w:b w:val="0"/>
                <w:sz w:val="15"/>
              </w:rPr>
              <w:t>Individual readings/evidence.</w:t>
            </w:r>
          </w:p>
        </w:tc>
      </w:tr>
      <w:tr>
        <w:tc>
          <w:tcPr>
            <w:tcW w:type="dxa" w:w="3389"/>
            <w:vAlign w:val="center"/>
          </w:tcPr>
          <w:p>
            <w:pPr>
              <w:spacing w:after="0"/>
            </w:pPr>
            <w:r/>
            <w:r>
              <w:rPr>
                <w:rFonts w:ascii="Aptos" w:hAnsi="Aptos"/>
                <w:b w:val="0"/>
                <w:sz w:val="15"/>
              </w:rPr>
              <w:t>ReceiptReference</w:t>
            </w:r>
          </w:p>
        </w:tc>
        <w:tc>
          <w:tcPr>
            <w:tcW w:type="dxa" w:w="3389"/>
            <w:vAlign w:val="center"/>
          </w:tcPr>
          <w:p>
            <w:pPr>
              <w:spacing w:after="0"/>
            </w:pPr>
            <w:r/>
            <w:r>
              <w:rPr>
                <w:rFonts w:ascii="Aptos" w:hAnsi="Aptos"/>
                <w:b w:val="0"/>
                <w:sz w:val="15"/>
              </w:rPr>
              <w:t>receipt_id, inward_id, official_grn_number, grn_date, accepted_qty, unit, source_system</w:t>
            </w:r>
          </w:p>
        </w:tc>
        <w:tc>
          <w:tcPr>
            <w:tcW w:type="dxa" w:w="3389"/>
            <w:vAlign w:val="center"/>
          </w:tcPr>
          <w:p>
            <w:pPr>
              <w:spacing w:after="0"/>
            </w:pPr>
            <w:r/>
            <w:r>
              <w:rPr>
                <w:rFonts w:ascii="Aptos" w:hAnsi="Aptos"/>
                <w:b w:val="0"/>
                <w:sz w:val="15"/>
              </w:rPr>
              <w:t>Link to official GRN; authority must be confirmed.</w:t>
            </w:r>
          </w:p>
        </w:tc>
      </w:tr>
      <w:tr>
        <w:tc>
          <w:tcPr>
            <w:tcW w:type="dxa" w:w="3389"/>
            <w:vAlign w:val="center"/>
          </w:tcPr>
          <w:p>
            <w:pPr>
              <w:spacing w:after="0"/>
            </w:pPr>
            <w:r/>
            <w:r>
              <w:rPr>
                <w:rFonts w:ascii="Aptos" w:hAnsi="Aptos"/>
                <w:b w:val="0"/>
                <w:sz w:val="15"/>
              </w:rPr>
              <w:t>Document</w:t>
            </w:r>
          </w:p>
        </w:tc>
        <w:tc>
          <w:tcPr>
            <w:tcW w:type="dxa" w:w="3389"/>
            <w:vAlign w:val="center"/>
          </w:tcPr>
          <w:p>
            <w:pPr>
              <w:spacing w:after="0"/>
            </w:pPr>
            <w:r/>
            <w:r>
              <w:rPr>
                <w:rFonts w:ascii="Aptos" w:hAnsi="Aptos"/>
                <w:b w:val="0"/>
                <w:sz w:val="15"/>
              </w:rPr>
              <w:t>document_id, document_type, storage_key, checksum, mime_type, size, uploaded_by, uploaded_at, version, sensitivity</w:t>
            </w:r>
          </w:p>
        </w:tc>
        <w:tc>
          <w:tcPr>
            <w:tcW w:type="dxa" w:w="3389"/>
            <w:vAlign w:val="center"/>
          </w:tcPr>
          <w:p>
            <w:pPr>
              <w:spacing w:after="0"/>
            </w:pPr>
            <w:r/>
            <w:r>
              <w:rPr>
                <w:rFonts w:ascii="Aptos" w:hAnsi="Aptos"/>
                <w:b w:val="0"/>
                <w:sz w:val="15"/>
              </w:rPr>
              <w:t>Secure evidence storage.</w:t>
            </w:r>
          </w:p>
        </w:tc>
      </w:tr>
      <w:tr>
        <w:tc>
          <w:tcPr>
            <w:tcW w:type="dxa" w:w="3389"/>
            <w:vAlign w:val="center"/>
          </w:tcPr>
          <w:p>
            <w:pPr>
              <w:spacing w:after="0"/>
            </w:pPr>
            <w:r/>
            <w:r>
              <w:rPr>
                <w:rFonts w:ascii="Aptos" w:hAnsi="Aptos"/>
                <w:b w:val="0"/>
                <w:sz w:val="15"/>
              </w:rPr>
              <w:t>DocumentLink</w:t>
            </w:r>
          </w:p>
        </w:tc>
        <w:tc>
          <w:tcPr>
            <w:tcW w:type="dxa" w:w="3389"/>
            <w:vAlign w:val="center"/>
          </w:tcPr>
          <w:p>
            <w:pPr>
              <w:spacing w:after="0"/>
            </w:pPr>
            <w:r/>
            <w:r>
              <w:rPr>
                <w:rFonts w:ascii="Aptos" w:hAnsi="Aptos"/>
                <w:b w:val="0"/>
                <w:sz w:val="15"/>
              </w:rPr>
              <w:t>document_id, entity_type, entity_id, relation_type</w:t>
            </w:r>
          </w:p>
        </w:tc>
        <w:tc>
          <w:tcPr>
            <w:tcW w:type="dxa" w:w="3389"/>
            <w:vAlign w:val="center"/>
          </w:tcPr>
          <w:p>
            <w:pPr>
              <w:spacing w:after="0"/>
            </w:pPr>
            <w:r/>
            <w:r>
              <w:rPr>
                <w:rFonts w:ascii="Aptos" w:hAnsi="Aptos"/>
                <w:b w:val="0"/>
                <w:sz w:val="15"/>
              </w:rPr>
              <w:t>Link one document to multiple permitted business entities.</w:t>
            </w:r>
          </w:p>
        </w:tc>
      </w:tr>
      <w:tr>
        <w:tc>
          <w:tcPr>
            <w:tcW w:type="dxa" w:w="3389"/>
            <w:vAlign w:val="center"/>
          </w:tcPr>
          <w:p>
            <w:pPr>
              <w:spacing w:after="0"/>
            </w:pPr>
            <w:r/>
            <w:r>
              <w:rPr>
                <w:rFonts w:ascii="Aptos" w:hAnsi="Aptos"/>
                <w:b w:val="0"/>
                <w:sz w:val="15"/>
              </w:rPr>
              <w:t>DocumentPacket</w:t>
            </w:r>
          </w:p>
        </w:tc>
        <w:tc>
          <w:tcPr>
            <w:tcW w:type="dxa" w:w="3389"/>
            <w:vAlign w:val="center"/>
          </w:tcPr>
          <w:p>
            <w:pPr>
              <w:spacing w:after="0"/>
            </w:pPr>
            <w:r/>
            <w:r>
              <w:rPr>
                <w:rFonts w:ascii="Aptos" w:hAnsi="Aptos"/>
                <w:b w:val="0"/>
                <w:sz w:val="15"/>
              </w:rPr>
              <w:t>packet_id, inward_id, receipt_id, completeness_status, published_at, manifest_version</w:t>
            </w:r>
          </w:p>
        </w:tc>
        <w:tc>
          <w:tcPr>
            <w:tcW w:type="dxa" w:w="3389"/>
            <w:vAlign w:val="center"/>
          </w:tcPr>
          <w:p>
            <w:pPr>
              <w:spacing w:after="0"/>
            </w:pPr>
            <w:r/>
            <w:r>
              <w:rPr>
                <w:rFonts w:ascii="Aptos" w:hAnsi="Aptos"/>
                <w:b w:val="0"/>
                <w:sz w:val="15"/>
              </w:rPr>
              <w:t>Digital packet and its lifecycle.</w:t>
            </w:r>
          </w:p>
        </w:tc>
      </w:tr>
      <w:tr>
        <w:tc>
          <w:tcPr>
            <w:tcW w:type="dxa" w:w="3389"/>
            <w:vAlign w:val="center"/>
          </w:tcPr>
          <w:p>
            <w:pPr>
              <w:spacing w:after="0"/>
            </w:pPr>
            <w:r/>
            <w:r>
              <w:rPr>
                <w:rFonts w:ascii="Aptos" w:hAnsi="Aptos"/>
                <w:b w:val="0"/>
                <w:sz w:val="15"/>
              </w:rPr>
              <w:t>PhysicalBundle</w:t>
            </w:r>
          </w:p>
        </w:tc>
        <w:tc>
          <w:tcPr>
            <w:tcW w:type="dxa" w:w="3389"/>
            <w:vAlign w:val="center"/>
          </w:tcPr>
          <w:p>
            <w:pPr>
              <w:spacing w:after="0"/>
            </w:pPr>
            <w:r/>
            <w:r>
              <w:rPr>
                <w:rFonts w:ascii="Aptos" w:hAnsi="Aptos"/>
                <w:b w:val="0"/>
                <w:sz w:val="15"/>
              </w:rPr>
              <w:t>bundle_id, packet_id, bundle_manifest, dispatched_at, received_at, archive_location, status</w:t>
            </w:r>
          </w:p>
        </w:tc>
        <w:tc>
          <w:tcPr>
            <w:tcW w:type="dxa" w:w="3389"/>
            <w:vAlign w:val="center"/>
          </w:tcPr>
          <w:p>
            <w:pPr>
              <w:spacing w:after="0"/>
            </w:pPr>
            <w:r/>
            <w:r>
              <w:rPr>
                <w:rFonts w:ascii="Aptos" w:hAnsi="Aptos"/>
                <w:b w:val="0"/>
                <w:sz w:val="15"/>
              </w:rPr>
              <w:t>Track original hard-copy movement.</w:t>
            </w:r>
          </w:p>
        </w:tc>
      </w:tr>
      <w:tr>
        <w:tc>
          <w:tcPr>
            <w:tcW w:type="dxa" w:w="3389"/>
            <w:vAlign w:val="center"/>
          </w:tcPr>
          <w:p>
            <w:pPr>
              <w:spacing w:after="0"/>
            </w:pPr>
            <w:r/>
            <w:r>
              <w:rPr>
                <w:rFonts w:ascii="Aptos" w:hAnsi="Aptos"/>
                <w:b w:val="0"/>
                <w:sz w:val="15"/>
              </w:rPr>
              <w:t>InvoiceTracking</w:t>
            </w:r>
          </w:p>
        </w:tc>
        <w:tc>
          <w:tcPr>
            <w:tcW w:type="dxa" w:w="3389"/>
            <w:vAlign w:val="center"/>
          </w:tcPr>
          <w:p>
            <w:pPr>
              <w:spacing w:after="0"/>
            </w:pPr>
            <w:r/>
            <w:r>
              <w:rPr>
                <w:rFonts w:ascii="Aptos" w:hAnsi="Aptos"/>
                <w:b w:val="0"/>
                <w:sz w:val="15"/>
              </w:rPr>
              <w:t>invoice_tracking_id, supplier_code, invoice_number_normalised, invoice_date, amounts, PO/GRN references, status</w:t>
            </w:r>
          </w:p>
        </w:tc>
        <w:tc>
          <w:tcPr>
            <w:tcW w:type="dxa" w:w="3389"/>
            <w:vAlign w:val="center"/>
          </w:tcPr>
          <w:p>
            <w:pPr>
              <w:spacing w:after="0"/>
            </w:pPr>
            <w:r/>
            <w:r>
              <w:rPr>
                <w:rFonts w:ascii="Aptos" w:hAnsi="Aptos"/>
                <w:b w:val="0"/>
                <w:sz w:val="15"/>
              </w:rPr>
              <w:t>Operational bill tracking; not a duplicate ledger.</w:t>
            </w:r>
          </w:p>
        </w:tc>
      </w:tr>
      <w:tr>
        <w:tc>
          <w:tcPr>
            <w:tcW w:type="dxa" w:w="3389"/>
            <w:vAlign w:val="center"/>
          </w:tcPr>
          <w:p>
            <w:pPr>
              <w:spacing w:after="0"/>
            </w:pPr>
            <w:r/>
            <w:r>
              <w:rPr>
                <w:rFonts w:ascii="Aptos" w:hAnsi="Aptos"/>
                <w:b w:val="0"/>
                <w:sz w:val="15"/>
              </w:rPr>
              <w:t>BillMatch</w:t>
            </w:r>
          </w:p>
        </w:tc>
        <w:tc>
          <w:tcPr>
            <w:tcW w:type="dxa" w:w="3389"/>
            <w:vAlign w:val="center"/>
          </w:tcPr>
          <w:p>
            <w:pPr>
              <w:spacing w:after="0"/>
            </w:pPr>
            <w:r/>
            <w:r>
              <w:rPr>
                <w:rFonts w:ascii="Aptos" w:hAnsi="Aptos"/>
                <w:b w:val="0"/>
                <w:sz w:val="15"/>
              </w:rPr>
              <w:t>match_id, invoice_tracking_id, source_po_key, receipt_id, field, source_values, variance, rule_version, result</w:t>
            </w:r>
          </w:p>
        </w:tc>
        <w:tc>
          <w:tcPr>
            <w:tcW w:type="dxa" w:w="3389"/>
            <w:vAlign w:val="center"/>
          </w:tcPr>
          <w:p>
            <w:pPr>
              <w:spacing w:after="0"/>
            </w:pPr>
            <w:r/>
            <w:r>
              <w:rPr>
                <w:rFonts w:ascii="Aptos" w:hAnsi="Aptos"/>
                <w:b w:val="0"/>
                <w:sz w:val="15"/>
              </w:rPr>
              <w:t>Three-way matching evidence.</w:t>
            </w:r>
          </w:p>
        </w:tc>
      </w:tr>
      <w:tr>
        <w:tc>
          <w:tcPr>
            <w:tcW w:type="dxa" w:w="3389"/>
            <w:vAlign w:val="center"/>
          </w:tcPr>
          <w:p>
            <w:pPr>
              <w:spacing w:after="0"/>
            </w:pPr>
            <w:r/>
            <w:r>
              <w:rPr>
                <w:rFonts w:ascii="Aptos" w:hAnsi="Aptos"/>
                <w:b w:val="0"/>
                <w:sz w:val="15"/>
              </w:rPr>
              <w:t>Exception</w:t>
            </w:r>
          </w:p>
        </w:tc>
        <w:tc>
          <w:tcPr>
            <w:tcW w:type="dxa" w:w="3389"/>
            <w:vAlign w:val="center"/>
          </w:tcPr>
          <w:p>
            <w:pPr>
              <w:spacing w:after="0"/>
            </w:pPr>
            <w:r/>
            <w:r>
              <w:rPr>
                <w:rFonts w:ascii="Aptos" w:hAnsi="Aptos"/>
                <w:b w:val="0"/>
                <w:sz w:val="15"/>
              </w:rPr>
              <w:t>exception_id, entity_ref, category, severity, owner_id, opened_at, due_at, status, resolution</w:t>
            </w:r>
          </w:p>
        </w:tc>
        <w:tc>
          <w:tcPr>
            <w:tcW w:type="dxa" w:w="3389"/>
            <w:vAlign w:val="center"/>
          </w:tcPr>
          <w:p>
            <w:pPr>
              <w:spacing w:after="0"/>
            </w:pPr>
            <w:r/>
            <w:r>
              <w:rPr>
                <w:rFonts w:ascii="Aptos" w:hAnsi="Aptos"/>
                <w:b w:val="0"/>
                <w:sz w:val="15"/>
              </w:rPr>
              <w:t>Manage discrepancies and escalations.</w:t>
            </w:r>
          </w:p>
        </w:tc>
      </w:tr>
      <w:tr>
        <w:tc>
          <w:tcPr>
            <w:tcW w:type="dxa" w:w="3389"/>
            <w:vAlign w:val="center"/>
          </w:tcPr>
          <w:p>
            <w:pPr>
              <w:spacing w:after="0"/>
            </w:pPr>
            <w:r/>
            <w:r>
              <w:rPr>
                <w:rFonts w:ascii="Aptos" w:hAnsi="Aptos"/>
                <w:b w:val="0"/>
                <w:sz w:val="15"/>
              </w:rPr>
              <w:t>Approval</w:t>
            </w:r>
          </w:p>
        </w:tc>
        <w:tc>
          <w:tcPr>
            <w:tcW w:type="dxa" w:w="3389"/>
            <w:vAlign w:val="center"/>
          </w:tcPr>
          <w:p>
            <w:pPr>
              <w:spacing w:after="0"/>
            </w:pPr>
            <w:r/>
            <w:r>
              <w:rPr>
                <w:rFonts w:ascii="Aptos" w:hAnsi="Aptos"/>
                <w:b w:val="0"/>
                <w:sz w:val="15"/>
              </w:rPr>
              <w:t>approval_id, entity_ref, stage, approver_id, decision, decided_at, reason, policy_version</w:t>
            </w:r>
          </w:p>
        </w:tc>
        <w:tc>
          <w:tcPr>
            <w:tcW w:type="dxa" w:w="3389"/>
            <w:vAlign w:val="center"/>
          </w:tcPr>
          <w:p>
            <w:pPr>
              <w:spacing w:after="0"/>
            </w:pPr>
            <w:r/>
            <w:r>
              <w:rPr>
                <w:rFonts w:ascii="Aptos" w:hAnsi="Aptos"/>
                <w:b w:val="0"/>
                <w:sz w:val="15"/>
              </w:rPr>
              <w:t>Business authorisation history.</w:t>
            </w:r>
          </w:p>
        </w:tc>
      </w:tr>
      <w:tr>
        <w:tc>
          <w:tcPr>
            <w:tcW w:type="dxa" w:w="3389"/>
            <w:vAlign w:val="center"/>
          </w:tcPr>
          <w:p>
            <w:pPr>
              <w:spacing w:after="0"/>
            </w:pPr>
            <w:r/>
            <w:r>
              <w:rPr>
                <w:rFonts w:ascii="Aptos" w:hAnsi="Aptos"/>
                <w:b w:val="0"/>
                <w:sz w:val="15"/>
              </w:rPr>
              <w:t>DataManImportBatch</w:t>
            </w:r>
          </w:p>
        </w:tc>
        <w:tc>
          <w:tcPr>
            <w:tcW w:type="dxa" w:w="3389"/>
            <w:vAlign w:val="center"/>
          </w:tcPr>
          <w:p>
            <w:pPr>
              <w:spacing w:after="0"/>
            </w:pPr>
            <w:r/>
            <w:r>
              <w:rPr>
                <w:rFonts w:ascii="Aptos" w:hAnsi="Aptos"/>
                <w:b w:val="0"/>
                <w:sz w:val="15"/>
              </w:rPr>
              <w:t>import_batch_id, report_type, source_file_hash, filename, report_period, exported_at, imported_at, schema_version, status</w:t>
            </w:r>
          </w:p>
        </w:tc>
        <w:tc>
          <w:tcPr>
            <w:tcW w:type="dxa" w:w="3389"/>
            <w:vAlign w:val="center"/>
          </w:tcPr>
          <w:p>
            <w:pPr>
              <w:spacing w:after="0"/>
            </w:pPr>
            <w:r/>
            <w:r>
              <w:rPr>
                <w:rFonts w:ascii="Aptos" w:hAnsi="Aptos"/>
                <w:b w:val="0"/>
                <w:sz w:val="15"/>
              </w:rPr>
              <w:t>Reproducible Excel import lineage.</w:t>
            </w:r>
          </w:p>
        </w:tc>
      </w:tr>
      <w:tr>
        <w:tc>
          <w:tcPr>
            <w:tcW w:type="dxa" w:w="3389"/>
            <w:vAlign w:val="center"/>
          </w:tcPr>
          <w:p>
            <w:pPr>
              <w:spacing w:after="0"/>
            </w:pPr>
            <w:r/>
            <w:r>
              <w:rPr>
                <w:rFonts w:ascii="Aptos" w:hAnsi="Aptos"/>
                <w:b w:val="0"/>
                <w:sz w:val="15"/>
              </w:rPr>
              <w:t>ImportedRow</w:t>
            </w:r>
          </w:p>
        </w:tc>
        <w:tc>
          <w:tcPr>
            <w:tcW w:type="dxa" w:w="3389"/>
            <w:vAlign w:val="center"/>
          </w:tcPr>
          <w:p>
            <w:pPr>
              <w:spacing w:after="0"/>
            </w:pPr>
            <w:r/>
            <w:r>
              <w:rPr>
                <w:rFonts w:ascii="Aptos" w:hAnsi="Aptos"/>
                <w:b w:val="0"/>
                <w:sz w:val="15"/>
              </w:rPr>
              <w:t>imported_row_id, import_batch_id, source_row_number, source_key, row_hash, validation_status, error_details</w:t>
            </w:r>
          </w:p>
        </w:tc>
        <w:tc>
          <w:tcPr>
            <w:tcW w:type="dxa" w:w="3389"/>
            <w:vAlign w:val="center"/>
          </w:tcPr>
          <w:p>
            <w:pPr>
              <w:spacing w:after="0"/>
            </w:pPr>
            <w:r/>
            <w:r>
              <w:rPr>
                <w:rFonts w:ascii="Aptos" w:hAnsi="Aptos"/>
                <w:b w:val="0"/>
                <w:sz w:val="15"/>
              </w:rPr>
              <w:t>Row-level lineage and rejection reasons.</w:t>
            </w:r>
          </w:p>
        </w:tc>
      </w:tr>
      <w:tr>
        <w:tc>
          <w:tcPr>
            <w:tcW w:type="dxa" w:w="3389"/>
            <w:vAlign w:val="center"/>
          </w:tcPr>
          <w:p>
            <w:pPr>
              <w:spacing w:after="0"/>
            </w:pPr>
            <w:r/>
            <w:r>
              <w:rPr>
                <w:rFonts w:ascii="Aptos" w:hAnsi="Aptos"/>
                <w:b w:val="0"/>
                <w:sz w:val="15"/>
              </w:rPr>
              <w:t>VoucherSnapshot</w:t>
            </w:r>
          </w:p>
        </w:tc>
        <w:tc>
          <w:tcPr>
            <w:tcW w:type="dxa" w:w="3389"/>
            <w:vAlign w:val="center"/>
          </w:tcPr>
          <w:p>
            <w:pPr>
              <w:spacing w:after="0"/>
            </w:pPr>
            <w:r/>
            <w:r>
              <w:rPr>
                <w:rFonts w:ascii="Aptos" w:hAnsi="Aptos"/>
                <w:b w:val="0"/>
                <w:sz w:val="15"/>
              </w:rPr>
              <w:t>source_voucher_key, supplier_code, invoice_ref, voucher_number, posting_date, amount, import_batch_id</w:t>
            </w:r>
          </w:p>
        </w:tc>
        <w:tc>
          <w:tcPr>
            <w:tcW w:type="dxa" w:w="3389"/>
            <w:vAlign w:val="center"/>
          </w:tcPr>
          <w:p>
            <w:pPr>
              <w:spacing w:after="0"/>
            </w:pPr>
            <w:r/>
            <w:r>
              <w:rPr>
                <w:rFonts w:ascii="Aptos" w:hAnsi="Aptos"/>
                <w:b w:val="0"/>
                <w:sz w:val="15"/>
              </w:rPr>
              <w:t>Imported evidence of official posting.</w:t>
            </w:r>
          </w:p>
        </w:tc>
      </w:tr>
      <w:tr>
        <w:tc>
          <w:tcPr>
            <w:tcW w:type="dxa" w:w="3389"/>
            <w:vAlign w:val="center"/>
          </w:tcPr>
          <w:p>
            <w:pPr>
              <w:spacing w:after="0"/>
            </w:pPr>
            <w:r/>
            <w:r>
              <w:rPr>
                <w:rFonts w:ascii="Aptos" w:hAnsi="Aptos"/>
                <w:b w:val="0"/>
                <w:sz w:val="15"/>
              </w:rPr>
              <w:t>PaymentSnapshot</w:t>
            </w:r>
          </w:p>
        </w:tc>
        <w:tc>
          <w:tcPr>
            <w:tcW w:type="dxa" w:w="3389"/>
            <w:vAlign w:val="center"/>
          </w:tcPr>
          <w:p>
            <w:pPr>
              <w:spacing w:after="0"/>
            </w:pPr>
            <w:r/>
            <w:r>
              <w:rPr>
                <w:rFonts w:ascii="Aptos" w:hAnsi="Aptos"/>
                <w:b w:val="0"/>
                <w:sz w:val="15"/>
              </w:rPr>
              <w:t>source_payment_key, supplier_code, voucher_ref, amount, payment_date, reference, import_batch_id</w:t>
            </w:r>
          </w:p>
        </w:tc>
        <w:tc>
          <w:tcPr>
            <w:tcW w:type="dxa" w:w="3389"/>
            <w:vAlign w:val="center"/>
          </w:tcPr>
          <w:p>
            <w:pPr>
              <w:spacing w:after="0"/>
            </w:pPr>
            <w:r/>
            <w:r>
              <w:rPr>
                <w:rFonts w:ascii="Aptos" w:hAnsi="Aptos"/>
                <w:b w:val="0"/>
                <w:sz w:val="15"/>
              </w:rPr>
              <w:t>Imported payment status.</w:t>
            </w:r>
          </w:p>
        </w:tc>
      </w:tr>
      <w:tr>
        <w:tc>
          <w:tcPr>
            <w:tcW w:type="dxa" w:w="3389"/>
            <w:vAlign w:val="center"/>
          </w:tcPr>
          <w:p>
            <w:pPr>
              <w:spacing w:after="0"/>
            </w:pPr>
            <w:r/>
            <w:r>
              <w:rPr>
                <w:rFonts w:ascii="Aptos" w:hAnsi="Aptos"/>
                <w:b w:val="0"/>
                <w:sz w:val="15"/>
              </w:rPr>
              <w:t>StockMovement</w:t>
            </w:r>
          </w:p>
        </w:tc>
        <w:tc>
          <w:tcPr>
            <w:tcW w:type="dxa" w:w="3389"/>
            <w:vAlign w:val="center"/>
          </w:tcPr>
          <w:p>
            <w:pPr>
              <w:spacing w:after="0"/>
            </w:pPr>
            <w:r/>
            <w:r>
              <w:rPr>
                <w:rFonts w:ascii="Aptos" w:hAnsi="Aptos"/>
                <w:b w:val="0"/>
                <w:sz w:val="15"/>
              </w:rPr>
              <w:t>movement_id, material_code, location, movement_type, quantity, unit, reason, source_ref, occurred_at</w:t>
            </w:r>
          </w:p>
        </w:tc>
        <w:tc>
          <w:tcPr>
            <w:tcW w:type="dxa" w:w="3389"/>
            <w:vAlign w:val="center"/>
          </w:tcPr>
          <w:p>
            <w:pPr>
              <w:spacing w:after="0"/>
            </w:pPr>
            <w:r/>
            <w:r>
              <w:rPr>
                <w:rFonts w:ascii="Aptos" w:hAnsi="Aptos"/>
                <w:b w:val="0"/>
                <w:sz w:val="15"/>
              </w:rPr>
              <w:t>Operational movement; must be distinguished from DataMan stock ledger.</w:t>
            </w:r>
          </w:p>
        </w:tc>
      </w:tr>
      <w:tr>
        <w:tc>
          <w:tcPr>
            <w:tcW w:type="dxa" w:w="3389"/>
            <w:vAlign w:val="center"/>
          </w:tcPr>
          <w:p>
            <w:pPr>
              <w:spacing w:after="0"/>
            </w:pPr>
            <w:r/>
            <w:r>
              <w:rPr>
                <w:rFonts w:ascii="Aptos" w:hAnsi="Aptos"/>
                <w:b w:val="0"/>
                <w:sz w:val="15"/>
              </w:rPr>
              <w:t>ProductionRecord</w:t>
            </w:r>
          </w:p>
        </w:tc>
        <w:tc>
          <w:tcPr>
            <w:tcW w:type="dxa" w:w="3389"/>
            <w:vAlign w:val="center"/>
          </w:tcPr>
          <w:p>
            <w:pPr>
              <w:spacing w:after="0"/>
            </w:pPr>
            <w:r/>
            <w:r>
              <w:rPr>
                <w:rFonts w:ascii="Aptos" w:hAnsi="Aptos"/>
                <w:b w:val="0"/>
                <w:sz w:val="15"/>
              </w:rPr>
              <w:t>production_id, machine_id, shift, grade, start/end, good_qty, waste_qty, unit, source</w:t>
            </w:r>
          </w:p>
        </w:tc>
        <w:tc>
          <w:tcPr>
            <w:tcW w:type="dxa" w:w="3389"/>
            <w:vAlign w:val="center"/>
          </w:tcPr>
          <w:p>
            <w:pPr>
              <w:spacing w:after="0"/>
            </w:pPr>
            <w:r/>
            <w:r>
              <w:rPr>
                <w:rFonts w:ascii="Aptos" w:hAnsi="Aptos"/>
                <w:b w:val="0"/>
                <w:sz w:val="15"/>
              </w:rPr>
              <w:t>Shift output and production evidence.</w:t>
            </w:r>
          </w:p>
        </w:tc>
      </w:tr>
      <w:tr>
        <w:tc>
          <w:tcPr>
            <w:tcW w:type="dxa" w:w="3389"/>
            <w:vAlign w:val="center"/>
          </w:tcPr>
          <w:p>
            <w:pPr>
              <w:spacing w:after="0"/>
            </w:pPr>
            <w:r/>
            <w:r>
              <w:rPr>
                <w:rFonts w:ascii="Aptos" w:hAnsi="Aptos"/>
                <w:b w:val="0"/>
                <w:sz w:val="15"/>
              </w:rPr>
              <w:t>DowntimeEvent</w:t>
            </w:r>
          </w:p>
        </w:tc>
        <w:tc>
          <w:tcPr>
            <w:tcW w:type="dxa" w:w="3389"/>
            <w:vAlign w:val="center"/>
          </w:tcPr>
          <w:p>
            <w:pPr>
              <w:spacing w:after="0"/>
            </w:pPr>
            <w:r/>
            <w:r>
              <w:rPr>
                <w:rFonts w:ascii="Aptos" w:hAnsi="Aptos"/>
                <w:b w:val="0"/>
                <w:sz w:val="15"/>
              </w:rPr>
              <w:t>downtime_id, asset_id, start/end, reason_code, production_ref</w:t>
            </w:r>
          </w:p>
        </w:tc>
        <w:tc>
          <w:tcPr>
            <w:tcW w:type="dxa" w:w="3389"/>
            <w:vAlign w:val="center"/>
          </w:tcPr>
          <w:p>
            <w:pPr>
              <w:spacing w:after="0"/>
            </w:pPr>
            <w:r/>
            <w:r>
              <w:rPr>
                <w:rFonts w:ascii="Aptos" w:hAnsi="Aptos"/>
                <w:b w:val="0"/>
                <w:sz w:val="15"/>
              </w:rPr>
              <w:t>Machine downtime.</w:t>
            </w:r>
          </w:p>
        </w:tc>
      </w:tr>
      <w:tr>
        <w:tc>
          <w:tcPr>
            <w:tcW w:type="dxa" w:w="3389"/>
            <w:vAlign w:val="center"/>
          </w:tcPr>
          <w:p>
            <w:pPr>
              <w:spacing w:after="0"/>
            </w:pPr>
            <w:r/>
            <w:r>
              <w:rPr>
                <w:rFonts w:ascii="Aptos" w:hAnsi="Aptos"/>
                <w:b w:val="0"/>
                <w:sz w:val="15"/>
              </w:rPr>
              <w:t>MaintenanceWorkOrder</w:t>
            </w:r>
          </w:p>
        </w:tc>
        <w:tc>
          <w:tcPr>
            <w:tcW w:type="dxa" w:w="3389"/>
            <w:vAlign w:val="center"/>
          </w:tcPr>
          <w:p>
            <w:pPr>
              <w:spacing w:after="0"/>
            </w:pPr>
            <w:r/>
            <w:r>
              <w:rPr>
                <w:rFonts w:ascii="Aptos" w:hAnsi="Aptos"/>
                <w:b w:val="0"/>
                <w:sz w:val="15"/>
              </w:rPr>
              <w:t>work_order_id, asset_id, priority, owner, status, due_at, completed_at, cause, action</w:t>
            </w:r>
          </w:p>
        </w:tc>
        <w:tc>
          <w:tcPr>
            <w:tcW w:type="dxa" w:w="3389"/>
            <w:vAlign w:val="center"/>
          </w:tcPr>
          <w:p>
            <w:pPr>
              <w:spacing w:after="0"/>
            </w:pPr>
            <w:r/>
            <w:r>
              <w:rPr>
                <w:rFonts w:ascii="Aptos" w:hAnsi="Aptos"/>
                <w:b w:val="0"/>
                <w:sz w:val="15"/>
              </w:rPr>
              <w:t>Maintenance lifecycle.</w:t>
            </w:r>
          </w:p>
        </w:tc>
      </w:tr>
      <w:tr>
        <w:tc>
          <w:tcPr>
            <w:tcW w:type="dxa" w:w="3389"/>
            <w:vAlign w:val="center"/>
          </w:tcPr>
          <w:p>
            <w:pPr>
              <w:spacing w:after="0"/>
            </w:pPr>
            <w:r/>
            <w:r>
              <w:rPr>
                <w:rFonts w:ascii="Aptos" w:hAnsi="Aptos"/>
                <w:b w:val="0"/>
                <w:sz w:val="15"/>
              </w:rPr>
              <w:t>Dispatch</w:t>
            </w:r>
          </w:p>
        </w:tc>
        <w:tc>
          <w:tcPr>
            <w:tcW w:type="dxa" w:w="3389"/>
            <w:vAlign w:val="center"/>
          </w:tcPr>
          <w:p>
            <w:pPr>
              <w:spacing w:after="0"/>
            </w:pPr>
            <w:r/>
            <w:r>
              <w:rPr>
                <w:rFonts w:ascii="Aptos" w:hAnsi="Aptos"/>
                <w:b w:val="0"/>
                <w:sz w:val="15"/>
              </w:rPr>
              <w:t>dispatch_id, customer_ref, order_ref, vehicle, quantity, gate_out_at, invoice_ref, status</w:t>
            </w:r>
          </w:p>
        </w:tc>
        <w:tc>
          <w:tcPr>
            <w:tcW w:type="dxa" w:w="3389"/>
            <w:vAlign w:val="center"/>
          </w:tcPr>
          <w:p>
            <w:pPr>
              <w:spacing w:after="0"/>
            </w:pPr>
            <w:r/>
            <w:r>
              <w:rPr>
                <w:rFonts w:ascii="Aptos" w:hAnsi="Aptos"/>
                <w:b w:val="0"/>
                <w:sz w:val="15"/>
              </w:rPr>
              <w:t>Outbound material movement.</w:t>
            </w:r>
          </w:p>
        </w:tc>
      </w:tr>
      <w:tr>
        <w:tc>
          <w:tcPr>
            <w:tcW w:type="dxa" w:w="3389"/>
            <w:vAlign w:val="center"/>
          </w:tcPr>
          <w:p>
            <w:pPr>
              <w:spacing w:after="0"/>
            </w:pPr>
            <w:r/>
            <w:r>
              <w:rPr>
                <w:rFonts w:ascii="Aptos" w:hAnsi="Aptos"/>
                <w:b w:val="0"/>
                <w:sz w:val="15"/>
              </w:rPr>
              <w:t>KPISnapshot</w:t>
            </w:r>
          </w:p>
        </w:tc>
        <w:tc>
          <w:tcPr>
            <w:tcW w:type="dxa" w:w="3389"/>
            <w:vAlign w:val="center"/>
          </w:tcPr>
          <w:p>
            <w:pPr>
              <w:spacing w:after="0"/>
            </w:pPr>
            <w:r/>
            <w:r>
              <w:rPr>
                <w:rFonts w:ascii="Aptos" w:hAnsi="Aptos"/>
                <w:b w:val="0"/>
                <w:sz w:val="15"/>
              </w:rPr>
              <w:t>kpi_id, period, value, unit, definition_version, source_refs, computed_at, freshness_state</w:t>
            </w:r>
          </w:p>
        </w:tc>
        <w:tc>
          <w:tcPr>
            <w:tcW w:type="dxa" w:w="3389"/>
            <w:vAlign w:val="center"/>
          </w:tcPr>
          <w:p>
            <w:pPr>
              <w:spacing w:after="0"/>
            </w:pPr>
            <w:r/>
            <w:r>
              <w:rPr>
                <w:rFonts w:ascii="Aptos" w:hAnsi="Aptos"/>
                <w:b w:val="0"/>
                <w:sz w:val="15"/>
              </w:rPr>
              <w:t>Reproducible analytics.</w:t>
            </w:r>
          </w:p>
        </w:tc>
      </w:tr>
      <w:tr>
        <w:tc>
          <w:tcPr>
            <w:tcW w:type="dxa" w:w="3389"/>
            <w:vAlign w:val="center"/>
          </w:tcPr>
          <w:p>
            <w:pPr>
              <w:spacing w:after="0"/>
            </w:pPr>
            <w:r/>
            <w:r>
              <w:rPr>
                <w:rFonts w:ascii="Aptos" w:hAnsi="Aptos"/>
                <w:b w:val="0"/>
                <w:sz w:val="15"/>
              </w:rPr>
              <w:t>AuditEvent</w:t>
            </w:r>
          </w:p>
        </w:tc>
        <w:tc>
          <w:tcPr>
            <w:tcW w:type="dxa" w:w="3389"/>
            <w:vAlign w:val="center"/>
          </w:tcPr>
          <w:p>
            <w:pPr>
              <w:spacing w:after="0"/>
            </w:pPr>
            <w:r/>
            <w:r>
              <w:rPr>
                <w:rFonts w:ascii="Aptos" w:hAnsi="Aptos"/>
                <w:b w:val="0"/>
                <w:sz w:val="15"/>
              </w:rPr>
              <w:t>audit_id, actor, action, entity_type, entity_id, timestamp, before_after, reason, correlation_id</w:t>
            </w:r>
          </w:p>
        </w:tc>
        <w:tc>
          <w:tcPr>
            <w:tcW w:type="dxa" w:w="3389"/>
            <w:vAlign w:val="center"/>
          </w:tcPr>
          <w:p>
            <w:pPr>
              <w:spacing w:after="0"/>
            </w:pPr>
            <w:r/>
            <w:r>
              <w:rPr>
                <w:rFonts w:ascii="Aptos" w:hAnsi="Aptos"/>
                <w:b w:val="0"/>
                <w:sz w:val="15"/>
              </w:rPr>
              <w:t>Tamper-evident application history.</w:t>
            </w:r>
          </w:p>
        </w:tc>
      </w:tr>
    </w:tbl>
    <w:p/>
    <w:p>
      <w:pPr>
        <w:pStyle w:val="Heading2"/>
      </w:pPr>
      <w:r>
        <w:t>Relationship rules</w:t>
      </w:r>
    </w:p>
    <w:p>
      <w:pPr>
        <w:pStyle w:val="ListBullet"/>
        <w:spacing w:after="30"/>
      </w:pPr>
      <w:r>
        <w:t>One inward can have multiple weighment events, QC inspections, documents and exception records.</w:t>
      </w:r>
    </w:p>
    <w:p>
      <w:pPr>
        <w:pStyle w:val="ListBullet"/>
        <w:spacing w:after="30"/>
      </w:pPr>
      <w:r>
        <w:t>One GRN can have multiple invoice/line relationships if the actual business process allows it; do not hardcode one-to-one without validating policy.</w:t>
      </w:r>
    </w:p>
    <w:p>
      <w:pPr>
        <w:pStyle w:val="ListBullet"/>
        <w:spacing w:after="30"/>
      </w:pPr>
      <w:r>
        <w:t>One supplier invoice can reference multiple receipt lines where supported; matching must be line-level when data allows.</w:t>
      </w:r>
    </w:p>
    <w:p>
      <w:pPr>
        <w:pStyle w:val="ListBullet"/>
        <w:spacing w:after="30"/>
      </w:pPr>
      <w:r>
        <w:t>One physical bundle can contain documents for one or more receipts only if the company process explicitly permits it; otherwise enforce one bundle per receipt.</w:t>
      </w:r>
    </w:p>
    <w:p>
      <w:pPr>
        <w:pStyle w:val="ListBullet"/>
        <w:spacing w:after="30"/>
      </w:pPr>
      <w:r>
        <w:t>Imported snapshots are versioned and never silently overwrite prior import history.</w:t>
      </w:r>
    </w:p>
    <w:p>
      <w:pPr>
        <w:pStyle w:val="ListBullet"/>
        <w:spacing w:after="30"/>
      </w:pPr>
      <w:r>
        <w:t>Document storage keys are private; users access files through authenticated, authorised download routes or short-lived links.</w:t>
      </w:r>
    </w:p>
    <w:p>
      <w:pPr>
        <w:pStyle w:val="ListBullet"/>
        <w:spacing w:after="30"/>
      </w:pPr>
      <w:r>
        <w:t>Use UTC for stored timestamps and render local time consistently for the factory/corporate timezone (likely Asia/Kolkata, to be confirmed in configuration).</w:t>
      </w:r>
    </w:p>
    <w:p>
      <w:pPr>
        <w:pStyle w:val="Heading1"/>
      </w:pPr>
      <w:r>
        <w:t>9. Excel integration specification</w:t>
      </w:r>
    </w:p>
    <w:p>
      <w:pPr>
        <w:pStyle w:val="Heading2"/>
      </w:pPr>
      <w:r>
        <w:t>Import contract</w:t>
      </w:r>
    </w:p>
    <w:p>
      <w:r>
        <w:t>Every report type must have a versioned import mapping. Column names below are canonical target fields; actual DataMan headers must be mapped after inspecting real exports. Never claim that these are the exact headers in Kaygaon's files.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Report type</w:t>
            </w:r>
          </w:p>
        </w:tc>
        <w:tc>
          <w:tcPr>
            <w:tcW w:type="dxa" w:w="3389"/>
            <w:vAlign w:val="center"/>
            <w:shd w:fill="17324D"/>
          </w:tcPr>
          <w:p>
            <w:pPr>
              <w:spacing w:after="0"/>
            </w:pPr>
            <w:r/>
            <w:r>
              <w:rPr>
                <w:rFonts w:ascii="Aptos" w:hAnsi="Aptos"/>
                <w:b/>
                <w:color w:val="FFFFFF"/>
                <w:sz w:val="16"/>
              </w:rPr>
              <w:t>Canonical minimum fields</w:t>
            </w:r>
          </w:p>
        </w:tc>
        <w:tc>
          <w:tcPr>
            <w:tcW w:type="dxa" w:w="3389"/>
            <w:vAlign w:val="center"/>
            <w:shd w:fill="17324D"/>
          </w:tcPr>
          <w:p>
            <w:pPr>
              <w:spacing w:after="0"/>
            </w:pPr>
            <w:r/>
            <w:r>
              <w:rPr>
                <w:rFonts w:ascii="Aptos" w:hAnsi="Aptos"/>
                <w:b/>
                <w:color w:val="FFFFFF"/>
                <w:sz w:val="16"/>
              </w:rPr>
              <w:t>Required validation</w:t>
            </w:r>
          </w:p>
        </w:tc>
      </w:tr>
      <w:tr>
        <w:tc>
          <w:tcPr>
            <w:tcW w:type="dxa" w:w="3389"/>
            <w:vAlign w:val="center"/>
          </w:tcPr>
          <w:p>
            <w:pPr>
              <w:spacing w:after="0"/>
            </w:pPr>
            <w:r/>
            <w:r>
              <w:rPr>
                <w:rFonts w:ascii="Aptos" w:hAnsi="Aptos"/>
                <w:b w:val="0"/>
                <w:sz w:val="15"/>
              </w:rPr>
              <w:t>PO register</w:t>
            </w:r>
          </w:p>
        </w:tc>
        <w:tc>
          <w:tcPr>
            <w:tcW w:type="dxa" w:w="3389"/>
            <w:vAlign w:val="center"/>
          </w:tcPr>
          <w:p>
            <w:pPr>
              <w:spacing w:after="0"/>
            </w:pPr>
            <w:r/>
            <w:r>
              <w:rPr>
                <w:rFonts w:ascii="Aptos" w:hAnsi="Aptos"/>
                <w:b w:val="0"/>
                <w:sz w:val="15"/>
              </w:rPr>
              <w:t>po_number, po_line_no if available, supplier_code, item_code, description, ordered_qty, unit, rate, currency, order_date, status</w:t>
            </w:r>
          </w:p>
        </w:tc>
        <w:tc>
          <w:tcPr>
            <w:tcW w:type="dxa" w:w="3389"/>
            <w:vAlign w:val="center"/>
          </w:tcPr>
          <w:p>
            <w:pPr>
              <w:spacing w:after="0"/>
            </w:pPr>
            <w:r/>
            <w:r>
              <w:rPr>
                <w:rFonts w:ascii="Aptos" w:hAnsi="Aptos"/>
                <w:b w:val="0"/>
                <w:sz w:val="15"/>
              </w:rPr>
              <w:t>PO key, supplier/item references, numeric quantity/rate, valid dates and consistent units.</w:t>
            </w:r>
          </w:p>
        </w:tc>
      </w:tr>
      <w:tr>
        <w:tc>
          <w:tcPr>
            <w:tcW w:type="dxa" w:w="3389"/>
            <w:vAlign w:val="center"/>
          </w:tcPr>
          <w:p>
            <w:pPr>
              <w:spacing w:after="0"/>
            </w:pPr>
            <w:r/>
            <w:r>
              <w:rPr>
                <w:rFonts w:ascii="Aptos" w:hAnsi="Aptos"/>
                <w:b w:val="0"/>
                <w:sz w:val="15"/>
              </w:rPr>
              <w:t>GRN register</w:t>
            </w:r>
          </w:p>
        </w:tc>
        <w:tc>
          <w:tcPr>
            <w:tcW w:type="dxa" w:w="3389"/>
            <w:vAlign w:val="center"/>
          </w:tcPr>
          <w:p>
            <w:pPr>
              <w:spacing w:after="0"/>
            </w:pPr>
            <w:r/>
            <w:r>
              <w:rPr>
                <w:rFonts w:ascii="Aptos" w:hAnsi="Aptos"/>
                <w:b w:val="0"/>
                <w:sz w:val="15"/>
              </w:rPr>
              <w:t>grn_number, grn_date, supplier_code, po_number, item_code, received_qty, accepted_qty if available, unit, status</w:t>
            </w:r>
          </w:p>
        </w:tc>
        <w:tc>
          <w:tcPr>
            <w:tcW w:type="dxa" w:w="3389"/>
            <w:vAlign w:val="center"/>
          </w:tcPr>
          <w:p>
            <w:pPr>
              <w:spacing w:after="0"/>
            </w:pPr>
            <w:r/>
            <w:r>
              <w:rPr>
                <w:rFonts w:ascii="Aptos" w:hAnsi="Aptos"/>
                <w:b w:val="0"/>
                <w:sz w:val="15"/>
              </w:rPr>
              <w:t>GRN key, valid quantity/unit, linked PO where expected, duplicate detection.</w:t>
            </w:r>
          </w:p>
        </w:tc>
      </w:tr>
      <w:tr>
        <w:tc>
          <w:tcPr>
            <w:tcW w:type="dxa" w:w="3389"/>
            <w:vAlign w:val="center"/>
          </w:tcPr>
          <w:p>
            <w:pPr>
              <w:spacing w:after="0"/>
            </w:pPr>
            <w:r/>
            <w:r>
              <w:rPr>
                <w:rFonts w:ascii="Aptos" w:hAnsi="Aptos"/>
                <w:b w:val="0"/>
                <w:sz w:val="15"/>
              </w:rPr>
              <w:t>Supplier bill register</w:t>
            </w:r>
          </w:p>
        </w:tc>
        <w:tc>
          <w:tcPr>
            <w:tcW w:type="dxa" w:w="3389"/>
            <w:vAlign w:val="center"/>
          </w:tcPr>
          <w:p>
            <w:pPr>
              <w:spacing w:after="0"/>
            </w:pPr>
            <w:r/>
            <w:r>
              <w:rPr>
                <w:rFonts w:ascii="Aptos" w:hAnsi="Aptos"/>
                <w:b w:val="0"/>
                <w:sz w:val="15"/>
              </w:rPr>
              <w:t>supplier_code, invoice_number, invoice_date, taxable_value, tax components if present, total_amount, currency, PO/GRN references if present</w:t>
            </w:r>
          </w:p>
        </w:tc>
        <w:tc>
          <w:tcPr>
            <w:tcW w:type="dxa" w:w="3389"/>
            <w:vAlign w:val="center"/>
          </w:tcPr>
          <w:p>
            <w:pPr>
              <w:spacing w:after="0"/>
            </w:pPr>
            <w:r/>
            <w:r>
              <w:rPr>
                <w:rFonts w:ascii="Aptos" w:hAnsi="Aptos"/>
                <w:b w:val="0"/>
                <w:sz w:val="15"/>
              </w:rPr>
              <w:t>Normalised invoice key, numeric amounts, total arithmetic, duplicate check.</w:t>
            </w:r>
          </w:p>
        </w:tc>
      </w:tr>
      <w:tr>
        <w:tc>
          <w:tcPr>
            <w:tcW w:type="dxa" w:w="3389"/>
            <w:vAlign w:val="center"/>
          </w:tcPr>
          <w:p>
            <w:pPr>
              <w:spacing w:after="0"/>
            </w:pPr>
            <w:r/>
            <w:r>
              <w:rPr>
                <w:rFonts w:ascii="Aptos" w:hAnsi="Aptos"/>
                <w:b w:val="0"/>
                <w:sz w:val="15"/>
              </w:rPr>
              <w:t>Purchase voucher register</w:t>
            </w:r>
          </w:p>
        </w:tc>
        <w:tc>
          <w:tcPr>
            <w:tcW w:type="dxa" w:w="3389"/>
            <w:vAlign w:val="center"/>
          </w:tcPr>
          <w:p>
            <w:pPr>
              <w:spacing w:after="0"/>
            </w:pPr>
            <w:r/>
            <w:r>
              <w:rPr>
                <w:rFonts w:ascii="Aptos" w:hAnsi="Aptos"/>
                <w:b w:val="0"/>
                <w:sz w:val="15"/>
              </w:rPr>
              <w:t>voucher_number, voucher_date, supplier_code, invoice_number/reference, debit/credit or amount fields, posting_status if present</w:t>
            </w:r>
          </w:p>
        </w:tc>
        <w:tc>
          <w:tcPr>
            <w:tcW w:type="dxa" w:w="3389"/>
            <w:vAlign w:val="center"/>
          </w:tcPr>
          <w:p>
            <w:pPr>
              <w:spacing w:after="0"/>
            </w:pPr>
            <w:r/>
            <w:r>
              <w:rPr>
                <w:rFonts w:ascii="Aptos" w:hAnsi="Aptos"/>
                <w:b w:val="0"/>
                <w:sz w:val="15"/>
              </w:rPr>
              <w:t>Reliable voucher key, valid date/amount, link to invoice where available.</w:t>
            </w:r>
          </w:p>
        </w:tc>
      </w:tr>
      <w:tr>
        <w:tc>
          <w:tcPr>
            <w:tcW w:type="dxa" w:w="3389"/>
            <w:vAlign w:val="center"/>
          </w:tcPr>
          <w:p>
            <w:pPr>
              <w:spacing w:after="0"/>
            </w:pPr>
            <w:r/>
            <w:r>
              <w:rPr>
                <w:rFonts w:ascii="Aptos" w:hAnsi="Aptos"/>
                <w:b w:val="0"/>
                <w:sz w:val="15"/>
              </w:rPr>
              <w:t>Outstanding/payables</w:t>
            </w:r>
          </w:p>
        </w:tc>
        <w:tc>
          <w:tcPr>
            <w:tcW w:type="dxa" w:w="3389"/>
            <w:vAlign w:val="center"/>
          </w:tcPr>
          <w:p>
            <w:pPr>
              <w:spacing w:after="0"/>
            </w:pPr>
            <w:r/>
            <w:r>
              <w:rPr>
                <w:rFonts w:ascii="Aptos" w:hAnsi="Aptos"/>
                <w:b w:val="0"/>
                <w:sz w:val="15"/>
              </w:rPr>
              <w:t>supplier_code, invoice/voucher reference, invoice_date, due_date if present, outstanding_amount, currency</w:t>
            </w:r>
          </w:p>
        </w:tc>
        <w:tc>
          <w:tcPr>
            <w:tcW w:type="dxa" w:w="3389"/>
            <w:vAlign w:val="center"/>
          </w:tcPr>
          <w:p>
            <w:pPr>
              <w:spacing w:after="0"/>
            </w:pPr>
            <w:r/>
            <w:r>
              <w:rPr>
                <w:rFonts w:ascii="Aptos" w:hAnsi="Aptos"/>
                <w:b w:val="0"/>
                <w:sz w:val="15"/>
              </w:rPr>
              <w:t>Source period, numeric balances, duplicate rows, totals reconciled.</w:t>
            </w:r>
          </w:p>
        </w:tc>
      </w:tr>
      <w:tr>
        <w:tc>
          <w:tcPr>
            <w:tcW w:type="dxa" w:w="3389"/>
            <w:vAlign w:val="center"/>
          </w:tcPr>
          <w:p>
            <w:pPr>
              <w:spacing w:after="0"/>
            </w:pPr>
            <w:r/>
            <w:r>
              <w:rPr>
                <w:rFonts w:ascii="Aptos" w:hAnsi="Aptos"/>
                <w:b w:val="0"/>
                <w:sz w:val="15"/>
              </w:rPr>
              <w:t>Vendor master</w:t>
            </w:r>
          </w:p>
        </w:tc>
        <w:tc>
          <w:tcPr>
            <w:tcW w:type="dxa" w:w="3389"/>
            <w:vAlign w:val="center"/>
          </w:tcPr>
          <w:p>
            <w:pPr>
              <w:spacing w:after="0"/>
            </w:pPr>
            <w:r/>
            <w:r>
              <w:rPr>
                <w:rFonts w:ascii="Aptos" w:hAnsi="Aptos"/>
                <w:b w:val="0"/>
                <w:sz w:val="15"/>
              </w:rPr>
              <w:t>supplier_code, supplier_name, GSTIN if present, active_status if present</w:t>
            </w:r>
          </w:p>
        </w:tc>
        <w:tc>
          <w:tcPr>
            <w:tcW w:type="dxa" w:w="3389"/>
            <w:vAlign w:val="center"/>
          </w:tcPr>
          <w:p>
            <w:pPr>
              <w:spacing w:after="0"/>
            </w:pPr>
            <w:r/>
            <w:r>
              <w:rPr>
                <w:rFonts w:ascii="Aptos" w:hAnsi="Aptos"/>
                <w:b w:val="0"/>
                <w:sz w:val="15"/>
              </w:rPr>
              <w:t>Unique source code, required fields, valid identifier format where applicable.</w:t>
            </w:r>
          </w:p>
        </w:tc>
      </w:tr>
      <w:tr>
        <w:tc>
          <w:tcPr>
            <w:tcW w:type="dxa" w:w="3389"/>
            <w:vAlign w:val="center"/>
          </w:tcPr>
          <w:p>
            <w:pPr>
              <w:spacing w:after="0"/>
            </w:pPr>
            <w:r/>
            <w:r>
              <w:rPr>
                <w:rFonts w:ascii="Aptos" w:hAnsi="Aptos"/>
                <w:b w:val="0"/>
                <w:sz w:val="15"/>
              </w:rPr>
              <w:t>Material master</w:t>
            </w:r>
          </w:p>
        </w:tc>
        <w:tc>
          <w:tcPr>
            <w:tcW w:type="dxa" w:w="3389"/>
            <w:vAlign w:val="center"/>
          </w:tcPr>
          <w:p>
            <w:pPr>
              <w:spacing w:after="0"/>
            </w:pPr>
            <w:r/>
            <w:r>
              <w:rPr>
                <w:rFonts w:ascii="Aptos" w:hAnsi="Aptos"/>
                <w:b w:val="0"/>
                <w:sz w:val="15"/>
              </w:rPr>
              <w:t>item_code, description, unit, grade/category if present, active_status if present</w:t>
            </w:r>
          </w:p>
        </w:tc>
        <w:tc>
          <w:tcPr>
            <w:tcW w:type="dxa" w:w="3389"/>
            <w:vAlign w:val="center"/>
          </w:tcPr>
          <w:p>
            <w:pPr>
              <w:spacing w:after="0"/>
            </w:pPr>
            <w:r/>
            <w:r>
              <w:rPr>
                <w:rFonts w:ascii="Aptos" w:hAnsi="Aptos"/>
                <w:b w:val="0"/>
                <w:sz w:val="15"/>
              </w:rPr>
              <w:t>Unique source code, unit mapping, no silent code collision.</w:t>
            </w:r>
          </w:p>
        </w:tc>
      </w:tr>
      <w:tr>
        <w:tc>
          <w:tcPr>
            <w:tcW w:type="dxa" w:w="3389"/>
            <w:vAlign w:val="center"/>
          </w:tcPr>
          <w:p>
            <w:pPr>
              <w:spacing w:after="0"/>
            </w:pPr>
            <w:r/>
            <w:r>
              <w:rPr>
                <w:rFonts w:ascii="Aptos" w:hAnsi="Aptos"/>
                <w:b w:val="0"/>
                <w:sz w:val="15"/>
              </w:rPr>
              <w:t>Payment register</w:t>
            </w:r>
          </w:p>
        </w:tc>
        <w:tc>
          <w:tcPr>
            <w:tcW w:type="dxa" w:w="3389"/>
            <w:vAlign w:val="center"/>
          </w:tcPr>
          <w:p>
            <w:pPr>
              <w:spacing w:after="0"/>
            </w:pPr>
            <w:r/>
            <w:r>
              <w:rPr>
                <w:rFonts w:ascii="Aptos" w:hAnsi="Aptos"/>
                <w:b w:val="0"/>
                <w:sz w:val="15"/>
              </w:rPr>
              <w:t>payment_reference, payment_date, supplier_code, voucher/invoice reference, amount, mode if present</w:t>
            </w:r>
          </w:p>
        </w:tc>
        <w:tc>
          <w:tcPr>
            <w:tcW w:type="dxa" w:w="3389"/>
            <w:vAlign w:val="center"/>
          </w:tcPr>
          <w:p>
            <w:pPr>
              <w:spacing w:after="0"/>
            </w:pPr>
            <w:r/>
            <w:r>
              <w:rPr>
                <w:rFonts w:ascii="Aptos" w:hAnsi="Aptos"/>
                <w:b w:val="0"/>
                <w:sz w:val="15"/>
              </w:rPr>
              <w:t>Payment key, valid date/amount, reconciliation to source totals.</w:t>
            </w:r>
          </w:p>
        </w:tc>
      </w:tr>
      <w:tr>
        <w:tc>
          <w:tcPr>
            <w:tcW w:type="dxa" w:w="3389"/>
            <w:vAlign w:val="center"/>
          </w:tcPr>
          <w:p>
            <w:pPr>
              <w:spacing w:after="0"/>
            </w:pPr>
            <w:r/>
            <w:r>
              <w:rPr>
                <w:rFonts w:ascii="Aptos" w:hAnsi="Aptos"/>
                <w:b w:val="0"/>
                <w:sz w:val="15"/>
              </w:rPr>
              <w:t>Stock report</w:t>
            </w:r>
          </w:p>
        </w:tc>
        <w:tc>
          <w:tcPr>
            <w:tcW w:type="dxa" w:w="3389"/>
            <w:vAlign w:val="center"/>
          </w:tcPr>
          <w:p>
            <w:pPr>
              <w:spacing w:after="0"/>
            </w:pPr>
            <w:r/>
            <w:r>
              <w:rPr>
                <w:rFonts w:ascii="Aptos" w:hAnsi="Aptos"/>
                <w:b w:val="0"/>
                <w:sz w:val="15"/>
              </w:rPr>
              <w:t>item_code, location if present, as_of_date, quantity, unit, value if present</w:t>
            </w:r>
          </w:p>
        </w:tc>
        <w:tc>
          <w:tcPr>
            <w:tcW w:type="dxa" w:w="3389"/>
            <w:vAlign w:val="center"/>
          </w:tcPr>
          <w:p>
            <w:pPr>
              <w:spacing w:after="0"/>
            </w:pPr>
            <w:r/>
            <w:r>
              <w:rPr>
                <w:rFonts w:ascii="Aptos" w:hAnsi="Aptos"/>
                <w:b w:val="0"/>
                <w:sz w:val="15"/>
              </w:rPr>
              <w:t>As-of date, units, totals and clear distinction between snapshot and movements.</w:t>
            </w:r>
          </w:p>
        </w:tc>
      </w:tr>
      <w:tr>
        <w:tc>
          <w:tcPr>
            <w:tcW w:type="dxa" w:w="3389"/>
            <w:vAlign w:val="center"/>
          </w:tcPr>
          <w:p>
            <w:pPr>
              <w:spacing w:after="0"/>
            </w:pPr>
            <w:r/>
            <w:r>
              <w:rPr>
                <w:rFonts w:ascii="Aptos" w:hAnsi="Aptos"/>
                <w:b w:val="0"/>
                <w:sz w:val="15"/>
              </w:rPr>
              <w:t>Production report</w:t>
            </w:r>
          </w:p>
        </w:tc>
        <w:tc>
          <w:tcPr>
            <w:tcW w:type="dxa" w:w="3389"/>
            <w:vAlign w:val="center"/>
          </w:tcPr>
          <w:p>
            <w:pPr>
              <w:spacing w:after="0"/>
            </w:pPr>
            <w:r/>
            <w:r>
              <w:rPr>
                <w:rFonts w:ascii="Aptos" w:hAnsi="Aptos"/>
                <w:b w:val="0"/>
                <w:sz w:val="15"/>
              </w:rPr>
              <w:t>production date/shift, machine, grade, output quantity, unit, waste/downtime if present</w:t>
            </w:r>
          </w:p>
        </w:tc>
        <w:tc>
          <w:tcPr>
            <w:tcW w:type="dxa" w:w="3389"/>
            <w:vAlign w:val="center"/>
          </w:tcPr>
          <w:p>
            <w:pPr>
              <w:spacing w:after="0"/>
            </w:pPr>
            <w:r/>
            <w:r>
              <w:rPr>
                <w:rFonts w:ascii="Aptos" w:hAnsi="Aptos"/>
                <w:b w:val="0"/>
                <w:sz w:val="15"/>
              </w:rPr>
              <w:t>Period, unit, duplicates, totals and source ownership.</w:t>
            </w:r>
          </w:p>
        </w:tc>
      </w:tr>
    </w:tbl>
    <w:p/>
    <w:p>
      <w:pPr>
        <w:pStyle w:val="Heading2"/>
      </w:pPr>
      <w:r>
        <w:t>Idempotency and update policy</w:t>
      </w:r>
    </w:p>
    <w:p>
      <w:pPr>
        <w:pStyle w:val="ListBullet"/>
        <w:spacing w:after="30"/>
      </w:pPr>
      <w:r>
        <w:t>A file hash detects exact re-uploads but does not replace row-level duplicate detection.</w:t>
      </w:r>
    </w:p>
    <w:p>
      <w:pPr>
        <w:pStyle w:val="ListBullet"/>
        <w:spacing w:after="30"/>
      </w:pPr>
      <w:r>
        <w:t>Use source business keys plus row hashes. If a row with the same key changes, retain a new snapshot/version and show what changed.</w:t>
      </w:r>
    </w:p>
    <w:p>
      <w:pPr>
        <w:pStyle w:val="ListBullet"/>
        <w:spacing w:after="30"/>
      </w:pPr>
      <w:r>
        <w:t>Never add imported snapshot values cumulatively when the report is a balance snapshot. Replace the current read model for that source period while preserving history.</w:t>
      </w:r>
    </w:p>
    <w:p>
      <w:pPr>
        <w:pStyle w:val="ListBullet"/>
        <w:spacing w:after="30"/>
      </w:pPr>
      <w:r>
        <w:t>For transaction reports, upsert by validated source key only when the report's semantics are understood; keep prior values and import lineage.</w:t>
      </w:r>
    </w:p>
    <w:p>
      <w:pPr>
        <w:pStyle w:val="ListBullet"/>
        <w:spacing w:after="30"/>
      </w:pPr>
      <w:r>
        <w:t>If no stable source key exists, stop automatic merging and request a mapping/key decision.</w:t>
      </w:r>
    </w:p>
    <w:p>
      <w:pPr>
        <w:pStyle w:val="ListBullet"/>
        <w:spacing w:after="30"/>
      </w:pPr>
      <w:r>
        <w:t>Treat blank values carefully: a blank in a later export must not automatically erase a prior nonblank value unless report semantics explicitly say blank means cleared.</w:t>
      </w:r>
    </w:p>
    <w:p>
      <w:pPr>
        <w:pStyle w:val="ListBullet"/>
        <w:spacing w:after="30"/>
      </w:pPr>
      <w:r>
        <w:t>Detect schema changes (missing/renamed columns, unexpected sheets, type changes) and stop or quarantine the import instead of guessing.</w:t>
      </w:r>
    </w:p>
    <w:p>
      <w:pPr>
        <w:pStyle w:val="Heading2"/>
      </w:pPr>
      <w:r>
        <w:t>Import frequency and freshness</w:t>
      </w:r>
    </w:p>
    <w:p>
      <w:pPr>
        <w:pStyle w:val="ListBullet"/>
        <w:spacing w:after="30"/>
      </w:pPr>
      <w:r>
        <w:t>Set cadence only after learning how frequently each report can be exported and who owns it.</w:t>
      </w:r>
    </w:p>
    <w:p>
      <w:pPr>
        <w:pStyle w:val="ListBullet"/>
        <w:spacing w:after="30"/>
      </w:pPr>
      <w:r>
        <w:t>Show exported_at if present, uploaded_at, imported_at and last successful import for each dataset.</w:t>
      </w:r>
    </w:p>
    <w:p>
      <w:pPr>
        <w:pStyle w:val="ListBullet"/>
        <w:spacing w:after="30"/>
      </w:pPr>
      <w:r>
        <w:t>Define stale thresholds per dataset with management; do not assume all datasets have the same SLA.</w:t>
      </w:r>
    </w:p>
    <w:p>
      <w:pPr>
        <w:pStyle w:val="ListBullet"/>
        <w:spacing w:after="30"/>
      </w:pPr>
      <w:r>
        <w:t>If a report is late, display 'stale' and the last known data time. Never label stale imports as live.</w:t>
      </w:r>
    </w:p>
    <w:p>
      <w:pPr>
        <w:pStyle w:val="ListBullet"/>
        <w:spacing w:after="30"/>
      </w:pPr>
      <w:r>
        <w:t>Allow a manual import with an audit trail and an automated scheduled intake only when the source export location/process is approved.</w:t>
      </w:r>
    </w:p>
    <w:p>
      <w:pPr>
        <w:pStyle w:val="Heading2"/>
      </w:pPr>
      <w:r>
        <w:t>Excel security</w:t>
      </w:r>
    </w:p>
    <w:p>
      <w:pPr>
        <w:pStyle w:val="ListBullet"/>
        <w:spacing w:after="30"/>
      </w:pPr>
      <w:r>
        <w:t>Accept only approved file formats and enforce size limits.</w:t>
      </w:r>
    </w:p>
    <w:p>
      <w:pPr>
        <w:pStyle w:val="ListBullet"/>
        <w:spacing w:after="30"/>
      </w:pPr>
      <w:r>
        <w:t>Do not run macros, embedded scripts or external links. Treat uploaded workbook content as untrusted input.</w:t>
      </w:r>
    </w:p>
    <w:p>
      <w:pPr>
        <w:pStyle w:val="ListBullet"/>
        <w:spacing w:after="30"/>
      </w:pPr>
      <w:r>
        <w:t>Store the original file in private storage with hash and access controls.</w:t>
      </w:r>
    </w:p>
    <w:p>
      <w:pPr>
        <w:pStyle w:val="ListBullet"/>
        <w:spacing w:after="30"/>
      </w:pPr>
      <w:r>
        <w:t>Sanitise formula-like values when generating downloadable CSVs to prevent spreadsheet formula injection.</w:t>
      </w:r>
    </w:p>
    <w:p>
      <w:pPr>
        <w:pStyle w:val="ListBullet"/>
        <w:spacing w:after="30"/>
      </w:pPr>
      <w:r>
        <w:t>Scan files for malware if approved tooling is available; quarantine suspicious files.</w:t>
      </w:r>
    </w:p>
    <w:p>
      <w:pPr>
        <w:pStyle w:val="ListBullet"/>
        <w:spacing w:after="30"/>
      </w:pPr>
      <w:r>
        <w:t>Restrict export/import rights; log downloads of sensitive finance data.</w:t>
      </w:r>
    </w:p>
    <w:p>
      <w:pPr>
        <w:pStyle w:val="Heading1"/>
      </w:pPr>
      <w:r>
        <w:t>10. Matching, reconciliation and exception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Rule</w:t>
            </w:r>
          </w:p>
        </w:tc>
        <w:tc>
          <w:tcPr>
            <w:tcW w:type="dxa" w:w="3389"/>
            <w:vAlign w:val="center"/>
            <w:shd w:fill="17324D"/>
          </w:tcPr>
          <w:p>
            <w:pPr>
              <w:spacing w:after="0"/>
            </w:pPr>
            <w:r/>
            <w:r>
              <w:rPr>
                <w:rFonts w:ascii="Aptos" w:hAnsi="Aptos"/>
                <w:b/>
                <w:color w:val="FFFFFF"/>
                <w:sz w:val="16"/>
              </w:rPr>
              <w:t>Match/validation</w:t>
            </w:r>
          </w:p>
        </w:tc>
        <w:tc>
          <w:tcPr>
            <w:tcW w:type="dxa" w:w="3389"/>
            <w:vAlign w:val="center"/>
            <w:shd w:fill="17324D"/>
          </w:tcPr>
          <w:p>
            <w:pPr>
              <w:spacing w:after="0"/>
            </w:pPr>
            <w:r/>
            <w:r>
              <w:rPr>
                <w:rFonts w:ascii="Aptos" w:hAnsi="Aptos"/>
                <w:b/>
                <w:color w:val="FFFFFF"/>
                <w:sz w:val="16"/>
              </w:rPr>
              <w:t>On failure</w:t>
            </w:r>
          </w:p>
        </w:tc>
      </w:tr>
      <w:tr>
        <w:tc>
          <w:tcPr>
            <w:tcW w:type="dxa" w:w="3389"/>
            <w:vAlign w:val="center"/>
          </w:tcPr>
          <w:p>
            <w:pPr>
              <w:spacing w:after="0"/>
            </w:pPr>
            <w:r/>
            <w:r>
              <w:rPr>
                <w:rFonts w:ascii="Aptos" w:hAnsi="Aptos"/>
                <w:b w:val="0"/>
                <w:sz w:val="15"/>
              </w:rPr>
              <w:t>M-01</w:t>
            </w:r>
          </w:p>
        </w:tc>
        <w:tc>
          <w:tcPr>
            <w:tcW w:type="dxa" w:w="3389"/>
            <w:vAlign w:val="center"/>
          </w:tcPr>
          <w:p>
            <w:pPr>
              <w:spacing w:after="0"/>
            </w:pPr>
            <w:r/>
            <w:r>
              <w:rPr>
                <w:rFonts w:ascii="Aptos" w:hAnsi="Aptos"/>
                <w:b w:val="0"/>
                <w:sz w:val="15"/>
              </w:rPr>
              <w:t>Supplier source code maps to one active supplier snapshot.</w:t>
            </w:r>
          </w:p>
        </w:tc>
        <w:tc>
          <w:tcPr>
            <w:tcW w:type="dxa" w:w="3389"/>
            <w:vAlign w:val="center"/>
          </w:tcPr>
          <w:p>
            <w:pPr>
              <w:spacing w:after="0"/>
            </w:pPr>
            <w:r/>
            <w:r>
              <w:rPr>
                <w:rFonts w:ascii="Aptos" w:hAnsi="Aptos"/>
                <w:b w:val="0"/>
                <w:sz w:val="15"/>
              </w:rPr>
              <w:t>Quarantine row; require authorised mapping.</w:t>
            </w:r>
          </w:p>
        </w:tc>
      </w:tr>
      <w:tr>
        <w:tc>
          <w:tcPr>
            <w:tcW w:type="dxa" w:w="3389"/>
            <w:vAlign w:val="center"/>
          </w:tcPr>
          <w:p>
            <w:pPr>
              <w:spacing w:after="0"/>
            </w:pPr>
            <w:r/>
            <w:r>
              <w:rPr>
                <w:rFonts w:ascii="Aptos" w:hAnsi="Aptos"/>
                <w:b w:val="0"/>
                <w:sz w:val="15"/>
              </w:rPr>
              <w:t>M-02</w:t>
            </w:r>
          </w:p>
        </w:tc>
        <w:tc>
          <w:tcPr>
            <w:tcW w:type="dxa" w:w="3389"/>
            <w:vAlign w:val="center"/>
          </w:tcPr>
          <w:p>
            <w:pPr>
              <w:spacing w:after="0"/>
            </w:pPr>
            <w:r/>
            <w:r>
              <w:rPr>
                <w:rFonts w:ascii="Aptos" w:hAnsi="Aptos"/>
                <w:b w:val="0"/>
                <w:sz w:val="15"/>
              </w:rPr>
              <w:t>Invoice duplicate check: supplier identity + normalised invoice number + fiscal period, with fuzzy warning on similar records.</w:t>
            </w:r>
          </w:p>
        </w:tc>
        <w:tc>
          <w:tcPr>
            <w:tcW w:type="dxa" w:w="3389"/>
            <w:vAlign w:val="center"/>
          </w:tcPr>
          <w:p>
            <w:pPr>
              <w:spacing w:after="0"/>
            </w:pPr>
            <w:r/>
            <w:r>
              <w:rPr>
                <w:rFonts w:ascii="Aptos" w:hAnsi="Aptos"/>
                <w:b w:val="0"/>
                <w:sz w:val="15"/>
              </w:rPr>
              <w:t>Block automatic approval; send to AP review.</w:t>
            </w:r>
          </w:p>
        </w:tc>
      </w:tr>
      <w:tr>
        <w:tc>
          <w:tcPr>
            <w:tcW w:type="dxa" w:w="3389"/>
            <w:vAlign w:val="center"/>
          </w:tcPr>
          <w:p>
            <w:pPr>
              <w:spacing w:after="0"/>
            </w:pPr>
            <w:r/>
            <w:r>
              <w:rPr>
                <w:rFonts w:ascii="Aptos" w:hAnsi="Aptos"/>
                <w:b w:val="0"/>
                <w:sz w:val="15"/>
              </w:rPr>
              <w:t>M-03</w:t>
            </w:r>
          </w:p>
        </w:tc>
        <w:tc>
          <w:tcPr>
            <w:tcW w:type="dxa" w:w="3389"/>
            <w:vAlign w:val="center"/>
          </w:tcPr>
          <w:p>
            <w:pPr>
              <w:spacing w:after="0"/>
            </w:pPr>
            <w:r/>
            <w:r>
              <w:rPr>
                <w:rFonts w:ascii="Aptos" w:hAnsi="Aptos"/>
                <w:b w:val="0"/>
                <w:sz w:val="15"/>
              </w:rPr>
              <w:t>PO and GRN references resolve to imported/recorded records.</w:t>
            </w:r>
          </w:p>
        </w:tc>
        <w:tc>
          <w:tcPr>
            <w:tcW w:type="dxa" w:w="3389"/>
            <w:vAlign w:val="center"/>
          </w:tcPr>
          <w:p>
            <w:pPr>
              <w:spacing w:after="0"/>
            </w:pPr>
            <w:r/>
            <w:r>
              <w:rPr>
                <w:rFonts w:ascii="Aptos" w:hAnsi="Aptos"/>
                <w:b w:val="0"/>
                <w:sz w:val="15"/>
              </w:rPr>
              <w:t>Mark reference unresolved; assign owner.</w:t>
            </w:r>
          </w:p>
        </w:tc>
      </w:tr>
      <w:tr>
        <w:tc>
          <w:tcPr>
            <w:tcW w:type="dxa" w:w="3389"/>
            <w:vAlign w:val="center"/>
          </w:tcPr>
          <w:p>
            <w:pPr>
              <w:spacing w:after="0"/>
            </w:pPr>
            <w:r/>
            <w:r>
              <w:rPr>
                <w:rFonts w:ascii="Aptos" w:hAnsi="Aptos"/>
                <w:b w:val="0"/>
                <w:sz w:val="15"/>
              </w:rPr>
              <w:t>M-04</w:t>
            </w:r>
          </w:p>
        </w:tc>
        <w:tc>
          <w:tcPr>
            <w:tcW w:type="dxa" w:w="3389"/>
            <w:vAlign w:val="center"/>
          </w:tcPr>
          <w:p>
            <w:pPr>
              <w:spacing w:after="0"/>
            </w:pPr>
            <w:r/>
            <w:r>
              <w:rPr>
                <w:rFonts w:ascii="Aptos" w:hAnsi="Aptos"/>
                <w:b w:val="0"/>
                <w:sz w:val="15"/>
              </w:rPr>
              <w:t>PO item/grade/unit aligns with receipt and invoice line.</w:t>
            </w:r>
          </w:p>
        </w:tc>
        <w:tc>
          <w:tcPr>
            <w:tcW w:type="dxa" w:w="3389"/>
            <w:vAlign w:val="center"/>
          </w:tcPr>
          <w:p>
            <w:pPr>
              <w:spacing w:after="0"/>
            </w:pPr>
            <w:r/>
            <w:r>
              <w:rPr>
                <w:rFonts w:ascii="Aptos" w:hAnsi="Aptos"/>
                <w:b w:val="0"/>
                <w:sz w:val="15"/>
              </w:rPr>
              <w:t>Flag mismatch; do not auto-match on description alone.</w:t>
            </w:r>
          </w:p>
        </w:tc>
      </w:tr>
      <w:tr>
        <w:tc>
          <w:tcPr>
            <w:tcW w:type="dxa" w:w="3389"/>
            <w:vAlign w:val="center"/>
          </w:tcPr>
          <w:p>
            <w:pPr>
              <w:spacing w:after="0"/>
            </w:pPr>
            <w:r/>
            <w:r>
              <w:rPr>
                <w:rFonts w:ascii="Aptos" w:hAnsi="Aptos"/>
                <w:b w:val="0"/>
                <w:sz w:val="15"/>
              </w:rPr>
              <w:t>M-05</w:t>
            </w:r>
          </w:p>
        </w:tc>
        <w:tc>
          <w:tcPr>
            <w:tcW w:type="dxa" w:w="3389"/>
            <w:vAlign w:val="center"/>
          </w:tcPr>
          <w:p>
            <w:pPr>
              <w:spacing w:after="0"/>
            </w:pPr>
            <w:r/>
            <w:r>
              <w:rPr>
                <w:rFonts w:ascii="Aptos" w:hAnsi="Aptos"/>
                <w:b w:val="0"/>
                <w:sz w:val="15"/>
              </w:rPr>
              <w:t>Accepted receipt quantity is compared with invoiced quantity using the approved basis/unit conversion.</w:t>
            </w:r>
          </w:p>
        </w:tc>
        <w:tc>
          <w:tcPr>
            <w:tcW w:type="dxa" w:w="3389"/>
            <w:vAlign w:val="center"/>
          </w:tcPr>
          <w:p>
            <w:pPr>
              <w:spacing w:after="0"/>
            </w:pPr>
            <w:r/>
            <w:r>
              <w:rPr>
                <w:rFonts w:ascii="Aptos" w:hAnsi="Aptos"/>
                <w:b w:val="0"/>
                <w:sz w:val="15"/>
              </w:rPr>
              <w:t>Flag variance; route to QC/stores/purchase.</w:t>
            </w:r>
          </w:p>
        </w:tc>
      </w:tr>
      <w:tr>
        <w:tc>
          <w:tcPr>
            <w:tcW w:type="dxa" w:w="3389"/>
            <w:vAlign w:val="center"/>
          </w:tcPr>
          <w:p>
            <w:pPr>
              <w:spacing w:after="0"/>
            </w:pPr>
            <w:r/>
            <w:r>
              <w:rPr>
                <w:rFonts w:ascii="Aptos" w:hAnsi="Aptos"/>
                <w:b w:val="0"/>
                <w:sz w:val="15"/>
              </w:rPr>
              <w:t>M-06</w:t>
            </w:r>
          </w:p>
        </w:tc>
        <w:tc>
          <w:tcPr>
            <w:tcW w:type="dxa" w:w="3389"/>
            <w:vAlign w:val="center"/>
          </w:tcPr>
          <w:p>
            <w:pPr>
              <w:spacing w:after="0"/>
            </w:pPr>
            <w:r/>
            <w:r>
              <w:rPr>
                <w:rFonts w:ascii="Aptos" w:hAnsi="Aptos"/>
                <w:b w:val="0"/>
                <w:sz w:val="15"/>
              </w:rPr>
              <w:t>Invoice rate/charges compared with approved PO terms.</w:t>
            </w:r>
          </w:p>
        </w:tc>
        <w:tc>
          <w:tcPr>
            <w:tcW w:type="dxa" w:w="3389"/>
            <w:vAlign w:val="center"/>
          </w:tcPr>
          <w:p>
            <w:pPr>
              <w:spacing w:after="0"/>
            </w:pPr>
            <w:r/>
            <w:r>
              <w:rPr>
                <w:rFonts w:ascii="Aptos" w:hAnsi="Aptos"/>
                <w:b w:val="0"/>
                <w:sz w:val="15"/>
              </w:rPr>
              <w:t>Flag rate/charge variance; require authorised decision.</w:t>
            </w:r>
          </w:p>
        </w:tc>
      </w:tr>
      <w:tr>
        <w:tc>
          <w:tcPr>
            <w:tcW w:type="dxa" w:w="3389"/>
            <w:vAlign w:val="center"/>
          </w:tcPr>
          <w:p>
            <w:pPr>
              <w:spacing w:after="0"/>
            </w:pPr>
            <w:r/>
            <w:r>
              <w:rPr>
                <w:rFonts w:ascii="Aptos" w:hAnsi="Aptos"/>
                <w:b w:val="0"/>
                <w:sz w:val="15"/>
              </w:rPr>
              <w:t>M-07</w:t>
            </w:r>
          </w:p>
        </w:tc>
        <w:tc>
          <w:tcPr>
            <w:tcW w:type="dxa" w:w="3389"/>
            <w:vAlign w:val="center"/>
          </w:tcPr>
          <w:p>
            <w:pPr>
              <w:spacing w:after="0"/>
            </w:pPr>
            <w:r/>
            <w:r>
              <w:rPr>
                <w:rFonts w:ascii="Aptos" w:hAnsi="Aptos"/>
                <w:b w:val="0"/>
                <w:sz w:val="15"/>
              </w:rPr>
              <w:t>Invoice arithmetic and tax fields are internally consistent within approved rounding rules.</w:t>
            </w:r>
          </w:p>
        </w:tc>
        <w:tc>
          <w:tcPr>
            <w:tcW w:type="dxa" w:w="3389"/>
            <w:vAlign w:val="center"/>
          </w:tcPr>
          <w:p>
            <w:pPr>
              <w:spacing w:after="0"/>
            </w:pPr>
            <w:r/>
            <w:r>
              <w:rPr>
                <w:rFonts w:ascii="Aptos" w:hAnsi="Aptos"/>
                <w:b w:val="0"/>
                <w:sz w:val="15"/>
              </w:rPr>
              <w:t>Flag for accounts/tax review.</w:t>
            </w:r>
          </w:p>
        </w:tc>
      </w:tr>
      <w:tr>
        <w:tc>
          <w:tcPr>
            <w:tcW w:type="dxa" w:w="3389"/>
            <w:vAlign w:val="center"/>
          </w:tcPr>
          <w:p>
            <w:pPr>
              <w:spacing w:after="0"/>
            </w:pPr>
            <w:r/>
            <w:r>
              <w:rPr>
                <w:rFonts w:ascii="Aptos" w:hAnsi="Aptos"/>
                <w:b w:val="0"/>
                <w:sz w:val="15"/>
              </w:rPr>
              <w:t>M-08</w:t>
            </w:r>
          </w:p>
        </w:tc>
        <w:tc>
          <w:tcPr>
            <w:tcW w:type="dxa" w:w="3389"/>
            <w:vAlign w:val="center"/>
          </w:tcPr>
          <w:p>
            <w:pPr>
              <w:spacing w:after="0"/>
            </w:pPr>
            <w:r/>
            <w:r>
              <w:rPr>
                <w:rFonts w:ascii="Aptos" w:hAnsi="Aptos"/>
                <w:b w:val="0"/>
                <w:sz w:val="15"/>
              </w:rPr>
              <w:t>Official posting is matched to a voucher register or other authorised evidence.</w:t>
            </w:r>
          </w:p>
        </w:tc>
        <w:tc>
          <w:tcPr>
            <w:tcW w:type="dxa" w:w="3389"/>
            <w:vAlign w:val="center"/>
          </w:tcPr>
          <w:p>
            <w:pPr>
              <w:spacing w:after="0"/>
            </w:pPr>
            <w:r/>
            <w:r>
              <w:rPr>
                <w:rFonts w:ascii="Aptos" w:hAnsi="Aptos"/>
                <w:b w:val="0"/>
                <w:sz w:val="15"/>
              </w:rPr>
              <w:t>Status remains 'posting not confirmed' until evidence exists.</w:t>
            </w:r>
          </w:p>
        </w:tc>
      </w:tr>
      <w:tr>
        <w:tc>
          <w:tcPr>
            <w:tcW w:type="dxa" w:w="3389"/>
            <w:vAlign w:val="center"/>
          </w:tcPr>
          <w:p>
            <w:pPr>
              <w:spacing w:after="0"/>
            </w:pPr>
            <w:r/>
            <w:r>
              <w:rPr>
                <w:rFonts w:ascii="Aptos" w:hAnsi="Aptos"/>
                <w:b w:val="0"/>
                <w:sz w:val="15"/>
              </w:rPr>
              <w:t>M-09</w:t>
            </w:r>
          </w:p>
        </w:tc>
        <w:tc>
          <w:tcPr>
            <w:tcW w:type="dxa" w:w="3389"/>
            <w:vAlign w:val="center"/>
          </w:tcPr>
          <w:p>
            <w:pPr>
              <w:spacing w:after="0"/>
            </w:pPr>
            <w:r/>
            <w:r>
              <w:rPr>
                <w:rFonts w:ascii="Aptos" w:hAnsi="Aptos"/>
                <w:b w:val="0"/>
                <w:sz w:val="15"/>
              </w:rPr>
              <w:t>Payment status is reconciled to an authoritative payment/outstanding export.</w:t>
            </w:r>
          </w:p>
        </w:tc>
        <w:tc>
          <w:tcPr>
            <w:tcW w:type="dxa" w:w="3389"/>
            <w:vAlign w:val="center"/>
          </w:tcPr>
          <w:p>
            <w:pPr>
              <w:spacing w:after="0"/>
            </w:pPr>
            <w:r/>
            <w:r>
              <w:rPr>
                <w:rFonts w:ascii="Aptos" w:hAnsi="Aptos"/>
                <w:b w:val="0"/>
                <w:sz w:val="15"/>
              </w:rPr>
              <w:t>Show last-known status and refresh time; do not infer paid/unpaid from absence alone.</w:t>
            </w:r>
          </w:p>
        </w:tc>
      </w:tr>
      <w:tr>
        <w:tc>
          <w:tcPr>
            <w:tcW w:type="dxa" w:w="3389"/>
            <w:vAlign w:val="center"/>
          </w:tcPr>
          <w:p>
            <w:pPr>
              <w:spacing w:after="0"/>
            </w:pPr>
            <w:r/>
            <w:r>
              <w:rPr>
                <w:rFonts w:ascii="Aptos" w:hAnsi="Aptos"/>
                <w:b w:val="0"/>
                <w:sz w:val="15"/>
              </w:rPr>
              <w:t>M-10</w:t>
            </w:r>
          </w:p>
        </w:tc>
        <w:tc>
          <w:tcPr>
            <w:tcW w:type="dxa" w:w="3389"/>
            <w:vAlign w:val="center"/>
          </w:tcPr>
          <w:p>
            <w:pPr>
              <w:spacing w:after="0"/>
            </w:pPr>
            <w:r/>
            <w:r>
              <w:rPr>
                <w:rFonts w:ascii="Aptos" w:hAnsi="Aptos"/>
                <w:b w:val="0"/>
                <w:sz w:val="15"/>
              </w:rPr>
              <w:t>Imported row counts/totals reconcile with source report control totals when available.</w:t>
            </w:r>
          </w:p>
        </w:tc>
        <w:tc>
          <w:tcPr>
            <w:tcW w:type="dxa" w:w="3389"/>
            <w:vAlign w:val="center"/>
          </w:tcPr>
          <w:p>
            <w:pPr>
              <w:spacing w:after="0"/>
            </w:pPr>
            <w:r/>
            <w:r>
              <w:rPr>
                <w:rFonts w:ascii="Aptos" w:hAnsi="Aptos"/>
                <w:b w:val="0"/>
                <w:sz w:val="15"/>
              </w:rPr>
              <w:t>Import remains warning/failed until reviewed and signed off.</w:t>
            </w:r>
          </w:p>
        </w:tc>
      </w:tr>
      <w:tr>
        <w:tc>
          <w:tcPr>
            <w:tcW w:type="dxa" w:w="3389"/>
            <w:vAlign w:val="center"/>
          </w:tcPr>
          <w:p>
            <w:pPr>
              <w:spacing w:after="0"/>
            </w:pPr>
            <w:r/>
            <w:r>
              <w:rPr>
                <w:rFonts w:ascii="Aptos" w:hAnsi="Aptos"/>
                <w:b w:val="0"/>
                <w:sz w:val="15"/>
              </w:rPr>
              <w:t>M-11</w:t>
            </w:r>
          </w:p>
        </w:tc>
        <w:tc>
          <w:tcPr>
            <w:tcW w:type="dxa" w:w="3389"/>
            <w:vAlign w:val="center"/>
          </w:tcPr>
          <w:p>
            <w:pPr>
              <w:spacing w:after="0"/>
            </w:pPr>
            <w:r/>
            <w:r>
              <w:rPr>
                <w:rFonts w:ascii="Aptos" w:hAnsi="Aptos"/>
                <w:b w:val="0"/>
                <w:sz w:val="15"/>
              </w:rPr>
              <w:t>A new export changes a previously imported row.</w:t>
            </w:r>
          </w:p>
        </w:tc>
        <w:tc>
          <w:tcPr>
            <w:tcW w:type="dxa" w:w="3389"/>
            <w:vAlign w:val="center"/>
          </w:tcPr>
          <w:p>
            <w:pPr>
              <w:spacing w:after="0"/>
            </w:pPr>
            <w:r/>
            <w:r>
              <w:rPr>
                <w:rFonts w:ascii="Aptos" w:hAnsi="Aptos"/>
                <w:b w:val="0"/>
                <w:sz w:val="15"/>
              </w:rPr>
              <w:t>Keep version history and create change event; do not silently erase history.</w:t>
            </w:r>
          </w:p>
        </w:tc>
      </w:tr>
      <w:tr>
        <w:tc>
          <w:tcPr>
            <w:tcW w:type="dxa" w:w="3389"/>
            <w:vAlign w:val="center"/>
          </w:tcPr>
          <w:p>
            <w:pPr>
              <w:spacing w:after="0"/>
            </w:pPr>
            <w:r/>
            <w:r>
              <w:rPr>
                <w:rFonts w:ascii="Aptos" w:hAnsi="Aptos"/>
                <w:b w:val="0"/>
                <w:sz w:val="15"/>
              </w:rPr>
              <w:t>M-12</w:t>
            </w:r>
          </w:p>
        </w:tc>
        <w:tc>
          <w:tcPr>
            <w:tcW w:type="dxa" w:w="3389"/>
            <w:vAlign w:val="center"/>
          </w:tcPr>
          <w:p>
            <w:pPr>
              <w:spacing w:after="0"/>
            </w:pPr>
            <w:r/>
            <w:r>
              <w:rPr>
                <w:rFonts w:ascii="Aptos" w:hAnsi="Aptos"/>
                <w:b w:val="0"/>
                <w:sz w:val="15"/>
              </w:rPr>
              <w:t>QC acceptance, deduction and rejection are supported by the configured specification/policy.</w:t>
            </w:r>
          </w:p>
        </w:tc>
        <w:tc>
          <w:tcPr>
            <w:tcW w:type="dxa" w:w="3389"/>
            <w:vAlign w:val="center"/>
          </w:tcPr>
          <w:p>
            <w:pPr>
              <w:spacing w:after="0"/>
            </w:pPr>
            <w:r/>
            <w:r>
              <w:rPr>
                <w:rFonts w:ascii="Aptos" w:hAnsi="Aptos"/>
                <w:b w:val="0"/>
                <w:sz w:val="15"/>
              </w:rPr>
              <w:t>Hold for authorised review; never invent a threshold.</w:t>
            </w:r>
          </w:p>
        </w:tc>
      </w:tr>
    </w:tbl>
    <w:p/>
    <w:p>
      <w:pPr>
        <w:pStyle w:val="Heading2"/>
      </w:pPr>
      <w:r>
        <w:t>Exception record minimum fields</w:t>
      </w:r>
    </w:p>
    <w:p>
      <w:pPr>
        <w:pStyle w:val="ListBullet"/>
        <w:spacing w:after="30"/>
      </w:pPr>
      <w:r>
        <w:t>Unique exception ID, category, severity, related inward/GRN/invoice/voucher, description and evidence.</w:t>
      </w:r>
    </w:p>
    <w:p>
      <w:pPr>
        <w:pStyle w:val="ListBullet"/>
        <w:spacing w:after="30"/>
      </w:pPr>
      <w:r>
        <w:t>Detected timestamp, detection rule/version, owner, due time, escalation chain and current status.</w:t>
      </w:r>
    </w:p>
    <w:p>
      <w:pPr>
        <w:pStyle w:val="ListBullet"/>
        <w:spacing w:after="30"/>
      </w:pPr>
      <w:r>
        <w:t>Source values and compared values, not just a generic 'mismatch' message.</w:t>
      </w:r>
    </w:p>
    <w:p>
      <w:pPr>
        <w:pStyle w:val="ListBullet"/>
        <w:spacing w:after="30"/>
      </w:pPr>
      <w:r>
        <w:t>Resolution outcome, reason, actor, approval reference and resolution timestamp.</w:t>
      </w:r>
    </w:p>
    <w:p>
      <w:pPr>
        <w:pStyle w:val="ListBullet"/>
        <w:spacing w:after="30"/>
      </w:pPr>
      <w:r>
        <w:t>Ageing in business/calendar time according to the approved SLA calendar.</w:t>
      </w:r>
    </w:p>
    <w:p>
      <w:pPr>
        <w:pStyle w:val="Heading1"/>
      </w:pPr>
      <w:r>
        <w:t>11. Analytics and KPI dictionary</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KPI</w:t>
            </w:r>
          </w:p>
        </w:tc>
        <w:tc>
          <w:tcPr>
            <w:tcW w:type="dxa" w:w="3389"/>
            <w:vAlign w:val="center"/>
            <w:shd w:fill="17324D"/>
          </w:tcPr>
          <w:p>
            <w:pPr>
              <w:spacing w:after="0"/>
            </w:pPr>
            <w:r/>
            <w:r>
              <w:rPr>
                <w:rFonts w:ascii="Aptos" w:hAnsi="Aptos"/>
                <w:b/>
                <w:color w:val="FFFFFF"/>
                <w:sz w:val="16"/>
              </w:rPr>
              <w:t>Definition</w:t>
            </w:r>
          </w:p>
        </w:tc>
        <w:tc>
          <w:tcPr>
            <w:tcW w:type="dxa" w:w="3389"/>
            <w:vAlign w:val="center"/>
            <w:shd w:fill="17324D"/>
          </w:tcPr>
          <w:p>
            <w:pPr>
              <w:spacing w:after="0"/>
            </w:pPr>
            <w:r/>
            <w:r>
              <w:rPr>
                <w:rFonts w:ascii="Aptos" w:hAnsi="Aptos"/>
                <w:b/>
                <w:color w:val="FFFFFF"/>
                <w:sz w:val="16"/>
              </w:rPr>
              <w:t>Source and freshness rule</w:t>
            </w:r>
          </w:p>
        </w:tc>
      </w:tr>
      <w:tr>
        <w:tc>
          <w:tcPr>
            <w:tcW w:type="dxa" w:w="3389"/>
            <w:vAlign w:val="center"/>
          </w:tcPr>
          <w:p>
            <w:pPr>
              <w:spacing w:after="0"/>
            </w:pPr>
            <w:r/>
            <w:r>
              <w:rPr>
                <w:rFonts w:ascii="Aptos" w:hAnsi="Aptos"/>
                <w:b w:val="0"/>
                <w:sz w:val="15"/>
              </w:rPr>
              <w:t>Trucks on site</w:t>
            </w:r>
          </w:p>
        </w:tc>
        <w:tc>
          <w:tcPr>
            <w:tcW w:type="dxa" w:w="3389"/>
            <w:vAlign w:val="center"/>
          </w:tcPr>
          <w:p>
            <w:pPr>
              <w:spacing w:after="0"/>
            </w:pPr>
            <w:r/>
            <w:r>
              <w:rPr>
                <w:rFonts w:ascii="Aptos" w:hAnsi="Aptos"/>
                <w:b w:val="0"/>
                <w:sz w:val="15"/>
              </w:rPr>
              <w:t>Count of inward records not yet exited/cancelled.</w:t>
            </w:r>
          </w:p>
        </w:tc>
        <w:tc>
          <w:tcPr>
            <w:tcW w:type="dxa" w:w="3389"/>
            <w:vAlign w:val="center"/>
          </w:tcPr>
          <w:p>
            <w:pPr>
              <w:spacing w:after="0"/>
            </w:pPr>
            <w:r/>
            <w:r>
              <w:rPr>
                <w:rFonts w:ascii="Aptos" w:hAnsi="Aptos"/>
                <w:b w:val="0"/>
                <w:sz w:val="15"/>
              </w:rPr>
              <w:t>Operational event stream; show last event time.</w:t>
            </w:r>
          </w:p>
        </w:tc>
      </w:tr>
      <w:tr>
        <w:tc>
          <w:tcPr>
            <w:tcW w:type="dxa" w:w="3389"/>
            <w:vAlign w:val="center"/>
          </w:tcPr>
          <w:p>
            <w:pPr>
              <w:spacing w:after="0"/>
            </w:pPr>
            <w:r/>
            <w:r>
              <w:rPr>
                <w:rFonts w:ascii="Aptos" w:hAnsi="Aptos"/>
                <w:b w:val="0"/>
                <w:sz w:val="15"/>
              </w:rPr>
              <w:t>Truck turnaround</w:t>
            </w:r>
          </w:p>
        </w:tc>
        <w:tc>
          <w:tcPr>
            <w:tcW w:type="dxa" w:w="3389"/>
            <w:vAlign w:val="center"/>
          </w:tcPr>
          <w:p>
            <w:pPr>
              <w:spacing w:after="0"/>
            </w:pPr>
            <w:r/>
            <w:r>
              <w:rPr>
                <w:rFonts w:ascii="Aptos" w:hAnsi="Aptos"/>
                <w:b w:val="0"/>
                <w:sz w:val="15"/>
              </w:rPr>
              <w:t>Exit timestamp minus gate-arrival timestamp.</w:t>
            </w:r>
          </w:p>
        </w:tc>
        <w:tc>
          <w:tcPr>
            <w:tcW w:type="dxa" w:w="3389"/>
            <w:vAlign w:val="center"/>
          </w:tcPr>
          <w:p>
            <w:pPr>
              <w:spacing w:after="0"/>
            </w:pPr>
            <w:r/>
            <w:r>
              <w:rPr>
                <w:rFonts w:ascii="Aptos" w:hAnsi="Aptos"/>
                <w:b w:val="0"/>
                <w:sz w:val="15"/>
              </w:rPr>
              <w:t>Operational events; show median, percentile and exceptions; exclude cancelled/test records.</w:t>
            </w:r>
          </w:p>
        </w:tc>
      </w:tr>
      <w:tr>
        <w:tc>
          <w:tcPr>
            <w:tcW w:type="dxa" w:w="3389"/>
            <w:vAlign w:val="center"/>
          </w:tcPr>
          <w:p>
            <w:pPr>
              <w:spacing w:after="0"/>
            </w:pPr>
            <w:r/>
            <w:r>
              <w:rPr>
                <w:rFonts w:ascii="Aptos" w:hAnsi="Aptos"/>
                <w:b w:val="0"/>
                <w:sz w:val="15"/>
              </w:rPr>
              <w:t>Unloading-to-GRN time</w:t>
            </w:r>
          </w:p>
        </w:tc>
        <w:tc>
          <w:tcPr>
            <w:tcW w:type="dxa" w:w="3389"/>
            <w:vAlign w:val="center"/>
          </w:tcPr>
          <w:p>
            <w:pPr>
              <w:spacing w:after="0"/>
            </w:pPr>
            <w:r/>
            <w:r>
              <w:rPr>
                <w:rFonts w:ascii="Aptos" w:hAnsi="Aptos"/>
                <w:b w:val="0"/>
                <w:sz w:val="15"/>
              </w:rPr>
              <w:t>Official GRN timestamp minus unloading-completion timestamp.</w:t>
            </w:r>
          </w:p>
        </w:tc>
        <w:tc>
          <w:tcPr>
            <w:tcW w:type="dxa" w:w="3389"/>
            <w:vAlign w:val="center"/>
          </w:tcPr>
          <w:p>
            <w:pPr>
              <w:spacing w:after="0"/>
            </w:pPr>
            <w:r/>
            <w:r>
              <w:rPr>
                <w:rFonts w:ascii="Aptos" w:hAnsi="Aptos"/>
                <w:b w:val="0"/>
                <w:sz w:val="15"/>
              </w:rPr>
              <w:t>Requires both trusted timestamps; otherwise show unknown.</w:t>
            </w:r>
          </w:p>
        </w:tc>
      </w:tr>
      <w:tr>
        <w:tc>
          <w:tcPr>
            <w:tcW w:type="dxa" w:w="3389"/>
            <w:vAlign w:val="center"/>
          </w:tcPr>
          <w:p>
            <w:pPr>
              <w:spacing w:after="0"/>
            </w:pPr>
            <w:r/>
            <w:r>
              <w:rPr>
                <w:rFonts w:ascii="Aptos" w:hAnsi="Aptos"/>
                <w:b w:val="0"/>
                <w:sz w:val="15"/>
              </w:rPr>
              <w:t>QC turnaround</w:t>
            </w:r>
          </w:p>
        </w:tc>
        <w:tc>
          <w:tcPr>
            <w:tcW w:type="dxa" w:w="3389"/>
            <w:vAlign w:val="center"/>
          </w:tcPr>
          <w:p>
            <w:pPr>
              <w:spacing w:after="0"/>
            </w:pPr>
            <w:r/>
            <w:r>
              <w:rPr>
                <w:rFonts w:ascii="Aptos" w:hAnsi="Aptos"/>
                <w:b w:val="0"/>
                <w:sz w:val="15"/>
              </w:rPr>
              <w:t>QC decision timestamp minus QC start timestamp.</w:t>
            </w:r>
          </w:p>
        </w:tc>
        <w:tc>
          <w:tcPr>
            <w:tcW w:type="dxa" w:w="3389"/>
            <w:vAlign w:val="center"/>
          </w:tcPr>
          <w:p>
            <w:pPr>
              <w:spacing w:after="0"/>
            </w:pPr>
            <w:r/>
            <w:r>
              <w:rPr>
                <w:rFonts w:ascii="Aptos" w:hAnsi="Aptos"/>
                <w:b w:val="0"/>
                <w:sz w:val="15"/>
              </w:rPr>
              <w:t>QC events; break down by material grade/result.</w:t>
            </w:r>
          </w:p>
        </w:tc>
      </w:tr>
      <w:tr>
        <w:tc>
          <w:tcPr>
            <w:tcW w:type="dxa" w:w="3389"/>
            <w:vAlign w:val="center"/>
          </w:tcPr>
          <w:p>
            <w:pPr>
              <w:spacing w:after="0"/>
            </w:pPr>
            <w:r/>
            <w:r>
              <w:rPr>
                <w:rFonts w:ascii="Aptos" w:hAnsi="Aptos"/>
                <w:b w:val="0"/>
                <w:sz w:val="15"/>
              </w:rPr>
              <w:t>Digital packet delay</w:t>
            </w:r>
          </w:p>
        </w:tc>
        <w:tc>
          <w:tcPr>
            <w:tcW w:type="dxa" w:w="3389"/>
            <w:vAlign w:val="center"/>
          </w:tcPr>
          <w:p>
            <w:pPr>
              <w:spacing w:after="0"/>
            </w:pPr>
            <w:r/>
            <w:r>
              <w:rPr>
                <w:rFonts w:ascii="Aptos" w:hAnsi="Aptos"/>
                <w:b w:val="0"/>
                <w:sz w:val="15"/>
              </w:rPr>
              <w:t>Packet publication timestamp minus the configured trigger timestamp.</w:t>
            </w:r>
          </w:p>
        </w:tc>
        <w:tc>
          <w:tcPr>
            <w:tcW w:type="dxa" w:w="3389"/>
            <w:vAlign w:val="center"/>
          </w:tcPr>
          <w:p>
            <w:pPr>
              <w:spacing w:after="0"/>
            </w:pPr>
            <w:r/>
            <w:r>
              <w:rPr>
                <w:rFonts w:ascii="Aptos" w:hAnsi="Aptos"/>
                <w:b w:val="0"/>
                <w:sz w:val="15"/>
              </w:rPr>
              <w:t>New application timestamps.</w:t>
            </w:r>
          </w:p>
        </w:tc>
      </w:tr>
      <w:tr>
        <w:tc>
          <w:tcPr>
            <w:tcW w:type="dxa" w:w="3389"/>
            <w:vAlign w:val="center"/>
          </w:tcPr>
          <w:p>
            <w:pPr>
              <w:spacing w:after="0"/>
            </w:pPr>
            <w:r/>
            <w:r>
              <w:rPr>
                <w:rFonts w:ascii="Aptos" w:hAnsi="Aptos"/>
                <w:b w:val="0"/>
                <w:sz w:val="15"/>
              </w:rPr>
              <w:t>Physical document transit</w:t>
            </w:r>
          </w:p>
        </w:tc>
        <w:tc>
          <w:tcPr>
            <w:tcW w:type="dxa" w:w="3389"/>
            <w:vAlign w:val="center"/>
          </w:tcPr>
          <w:p>
            <w:pPr>
              <w:spacing w:after="0"/>
            </w:pPr>
            <w:r/>
            <w:r>
              <w:rPr>
                <w:rFonts w:ascii="Aptos" w:hAnsi="Aptos"/>
                <w:b w:val="0"/>
                <w:sz w:val="15"/>
              </w:rPr>
              <w:t>Corporate acknowledgement timestamp minus factory dispatch timestamp.</w:t>
            </w:r>
          </w:p>
        </w:tc>
        <w:tc>
          <w:tcPr>
            <w:tcW w:type="dxa" w:w="3389"/>
            <w:vAlign w:val="center"/>
          </w:tcPr>
          <w:p>
            <w:pPr>
              <w:spacing w:after="0"/>
            </w:pPr>
            <w:r/>
            <w:r>
              <w:rPr>
                <w:rFonts w:ascii="Aptos" w:hAnsi="Aptos"/>
                <w:b w:val="0"/>
                <w:sz w:val="15"/>
              </w:rPr>
              <w:t>Physical bundle events.</w:t>
            </w:r>
          </w:p>
        </w:tc>
      </w:tr>
      <w:tr>
        <w:tc>
          <w:tcPr>
            <w:tcW w:type="dxa" w:w="3389"/>
            <w:vAlign w:val="center"/>
          </w:tcPr>
          <w:p>
            <w:pPr>
              <w:spacing w:after="0"/>
            </w:pPr>
            <w:r/>
            <w:r>
              <w:rPr>
                <w:rFonts w:ascii="Aptos" w:hAnsi="Aptos"/>
                <w:b w:val="0"/>
                <w:sz w:val="15"/>
              </w:rPr>
              <w:t>Corporate bill cycle</w:t>
            </w:r>
          </w:p>
        </w:tc>
        <w:tc>
          <w:tcPr>
            <w:tcW w:type="dxa" w:w="3389"/>
            <w:vAlign w:val="center"/>
          </w:tcPr>
          <w:p>
            <w:pPr>
              <w:spacing w:after="0"/>
            </w:pPr>
            <w:r/>
            <w:r>
              <w:rPr>
                <w:rFonts w:ascii="Aptos" w:hAnsi="Aptos"/>
                <w:b w:val="0"/>
                <w:sz w:val="15"/>
              </w:rPr>
              <w:t>Official posting timestamp minus corporate invoice-receipt timestamp.</w:t>
            </w:r>
          </w:p>
        </w:tc>
        <w:tc>
          <w:tcPr>
            <w:tcW w:type="dxa" w:w="3389"/>
            <w:vAlign w:val="center"/>
          </w:tcPr>
          <w:p>
            <w:pPr>
              <w:spacing w:after="0"/>
            </w:pPr>
            <w:r/>
            <w:r>
              <w:rPr>
                <w:rFonts w:ascii="Aptos" w:hAnsi="Aptos"/>
                <w:b w:val="0"/>
                <w:sz w:val="15"/>
              </w:rPr>
              <w:t>Corporate event plus DataMan voucher export; never use packet upload as a substitute for invoice receipt.</w:t>
            </w:r>
          </w:p>
        </w:tc>
      </w:tr>
      <w:tr>
        <w:tc>
          <w:tcPr>
            <w:tcW w:type="dxa" w:w="3389"/>
            <w:vAlign w:val="center"/>
          </w:tcPr>
          <w:p>
            <w:pPr>
              <w:spacing w:after="0"/>
            </w:pPr>
            <w:r/>
            <w:r>
              <w:rPr>
                <w:rFonts w:ascii="Aptos" w:hAnsi="Aptos"/>
                <w:b w:val="0"/>
                <w:sz w:val="15"/>
              </w:rPr>
              <w:t>Bills awaiting action</w:t>
            </w:r>
          </w:p>
        </w:tc>
        <w:tc>
          <w:tcPr>
            <w:tcW w:type="dxa" w:w="3389"/>
            <w:vAlign w:val="center"/>
          </w:tcPr>
          <w:p>
            <w:pPr>
              <w:spacing w:after="0"/>
            </w:pPr>
            <w:r/>
            <w:r>
              <w:rPr>
                <w:rFonts w:ascii="Aptos" w:hAnsi="Aptos"/>
                <w:b w:val="0"/>
                <w:sz w:val="15"/>
              </w:rPr>
              <w:t>Count and value of bill-tracking records in open workflow states.</w:t>
            </w:r>
          </w:p>
        </w:tc>
        <w:tc>
          <w:tcPr>
            <w:tcW w:type="dxa" w:w="3389"/>
            <w:vAlign w:val="center"/>
          </w:tcPr>
          <w:p>
            <w:pPr>
              <w:spacing w:after="0"/>
            </w:pPr>
            <w:r/>
            <w:r>
              <w:rPr>
                <w:rFonts w:ascii="Aptos" w:hAnsi="Aptos"/>
                <w:b w:val="0"/>
                <w:sz w:val="15"/>
              </w:rPr>
              <w:t>New workflow plus imported bill values; clearly identify value source.</w:t>
            </w:r>
          </w:p>
        </w:tc>
      </w:tr>
      <w:tr>
        <w:tc>
          <w:tcPr>
            <w:tcW w:type="dxa" w:w="3389"/>
            <w:vAlign w:val="center"/>
          </w:tcPr>
          <w:p>
            <w:pPr>
              <w:spacing w:after="0"/>
            </w:pPr>
            <w:r/>
            <w:r>
              <w:rPr>
                <w:rFonts w:ascii="Aptos" w:hAnsi="Aptos"/>
                <w:b w:val="0"/>
                <w:sz w:val="15"/>
              </w:rPr>
              <w:t>Unmatched invoice value</w:t>
            </w:r>
          </w:p>
        </w:tc>
        <w:tc>
          <w:tcPr>
            <w:tcW w:type="dxa" w:w="3389"/>
            <w:vAlign w:val="center"/>
          </w:tcPr>
          <w:p>
            <w:pPr>
              <w:spacing w:after="0"/>
            </w:pPr>
            <w:r/>
            <w:r>
              <w:rPr>
                <w:rFonts w:ascii="Aptos" w:hAnsi="Aptos"/>
                <w:b w:val="0"/>
                <w:sz w:val="15"/>
              </w:rPr>
              <w:t>Sum of imported invoice values with unresolved matching exceptions.</w:t>
            </w:r>
          </w:p>
        </w:tc>
        <w:tc>
          <w:tcPr>
            <w:tcW w:type="dxa" w:w="3389"/>
            <w:vAlign w:val="center"/>
          </w:tcPr>
          <w:p>
            <w:pPr>
              <w:spacing w:after="0"/>
            </w:pPr>
            <w:r/>
            <w:r>
              <w:rPr>
                <w:rFonts w:ascii="Aptos" w:hAnsi="Aptos"/>
                <w:b w:val="0"/>
                <w:sz w:val="15"/>
              </w:rPr>
              <w:t>Must prevent duplicate aggregation and show currency/period.</w:t>
            </w:r>
          </w:p>
        </w:tc>
      </w:tr>
      <w:tr>
        <w:tc>
          <w:tcPr>
            <w:tcW w:type="dxa" w:w="3389"/>
            <w:vAlign w:val="center"/>
          </w:tcPr>
          <w:p>
            <w:pPr>
              <w:spacing w:after="0"/>
            </w:pPr>
            <w:r/>
            <w:r>
              <w:rPr>
                <w:rFonts w:ascii="Aptos" w:hAnsi="Aptos"/>
                <w:b w:val="0"/>
                <w:sz w:val="15"/>
              </w:rPr>
              <w:t>Posted but unpaid / due</w:t>
            </w:r>
          </w:p>
        </w:tc>
        <w:tc>
          <w:tcPr>
            <w:tcW w:type="dxa" w:w="3389"/>
            <w:vAlign w:val="center"/>
          </w:tcPr>
          <w:p>
            <w:pPr>
              <w:spacing w:after="0"/>
            </w:pPr>
            <w:r/>
            <w:r>
              <w:rPr>
                <w:rFonts w:ascii="Aptos" w:hAnsi="Aptos"/>
                <w:b w:val="0"/>
                <w:sz w:val="15"/>
              </w:rPr>
              <w:t>Posted bills with outstanding balance and due date from authoritative export.</w:t>
            </w:r>
          </w:p>
        </w:tc>
        <w:tc>
          <w:tcPr>
            <w:tcW w:type="dxa" w:w="3389"/>
            <w:vAlign w:val="center"/>
          </w:tcPr>
          <w:p>
            <w:pPr>
              <w:spacing w:after="0"/>
            </w:pPr>
            <w:r/>
            <w:r>
              <w:rPr>
                <w:rFonts w:ascii="Aptos" w:hAnsi="Aptos"/>
                <w:b w:val="0"/>
                <w:sz w:val="15"/>
              </w:rPr>
              <w:t>DataMan outstanding/payment export; show export as-of time.</w:t>
            </w:r>
          </w:p>
        </w:tc>
      </w:tr>
      <w:tr>
        <w:tc>
          <w:tcPr>
            <w:tcW w:type="dxa" w:w="3389"/>
            <w:vAlign w:val="center"/>
          </w:tcPr>
          <w:p>
            <w:pPr>
              <w:spacing w:after="0"/>
            </w:pPr>
            <w:r/>
            <w:r>
              <w:rPr>
                <w:rFonts w:ascii="Aptos" w:hAnsi="Aptos"/>
                <w:b w:val="0"/>
                <w:sz w:val="15"/>
              </w:rPr>
              <w:t>PO-to-receipt variance</w:t>
            </w:r>
          </w:p>
        </w:tc>
        <w:tc>
          <w:tcPr>
            <w:tcW w:type="dxa" w:w="3389"/>
            <w:vAlign w:val="center"/>
          </w:tcPr>
          <w:p>
            <w:pPr>
              <w:spacing w:after="0"/>
            </w:pPr>
            <w:r/>
            <w:r>
              <w:rPr>
                <w:rFonts w:ascii="Aptos" w:hAnsi="Aptos"/>
                <w:b w:val="0"/>
                <w:sz w:val="15"/>
              </w:rPr>
              <w:t>Ordered quantity minus relevant received/accepted quantity under the approved basis.</w:t>
            </w:r>
          </w:p>
        </w:tc>
        <w:tc>
          <w:tcPr>
            <w:tcW w:type="dxa" w:w="3389"/>
            <w:vAlign w:val="center"/>
          </w:tcPr>
          <w:p>
            <w:pPr>
              <w:spacing w:after="0"/>
            </w:pPr>
            <w:r/>
            <w:r>
              <w:rPr>
                <w:rFonts w:ascii="Aptos" w:hAnsi="Aptos"/>
                <w:b w:val="0"/>
                <w:sz w:val="15"/>
              </w:rPr>
              <w:t>PO/GRN snapshots; compare same unit and line scope.</w:t>
            </w:r>
          </w:p>
        </w:tc>
      </w:tr>
      <w:tr>
        <w:tc>
          <w:tcPr>
            <w:tcW w:type="dxa" w:w="3389"/>
            <w:vAlign w:val="center"/>
          </w:tcPr>
          <w:p>
            <w:pPr>
              <w:spacing w:after="0"/>
            </w:pPr>
            <w:r/>
            <w:r>
              <w:rPr>
                <w:rFonts w:ascii="Aptos" w:hAnsi="Aptos"/>
                <w:b w:val="0"/>
                <w:sz w:val="15"/>
              </w:rPr>
              <w:t>QC rejection rate</w:t>
            </w:r>
          </w:p>
        </w:tc>
        <w:tc>
          <w:tcPr>
            <w:tcW w:type="dxa" w:w="3389"/>
            <w:vAlign w:val="center"/>
          </w:tcPr>
          <w:p>
            <w:pPr>
              <w:spacing w:after="0"/>
            </w:pPr>
            <w:r/>
            <w:r>
              <w:rPr>
                <w:rFonts w:ascii="Aptos" w:hAnsi="Aptos"/>
                <w:b w:val="0"/>
                <w:sz w:val="15"/>
              </w:rPr>
              <w:t>Rejected quantity divided by defined inspected/delivered quantity for a period.</w:t>
            </w:r>
          </w:p>
        </w:tc>
        <w:tc>
          <w:tcPr>
            <w:tcW w:type="dxa" w:w="3389"/>
            <w:vAlign w:val="center"/>
          </w:tcPr>
          <w:p>
            <w:pPr>
              <w:spacing w:after="0"/>
            </w:pPr>
            <w:r/>
            <w:r>
              <w:rPr>
                <w:rFonts w:ascii="Aptos" w:hAnsi="Aptos"/>
                <w:b w:val="0"/>
                <w:sz w:val="15"/>
              </w:rPr>
              <w:t>QC records; definition must specify partial/held quantities and denominator.</w:t>
            </w:r>
          </w:p>
        </w:tc>
      </w:tr>
      <w:tr>
        <w:tc>
          <w:tcPr>
            <w:tcW w:type="dxa" w:w="3389"/>
            <w:vAlign w:val="center"/>
          </w:tcPr>
          <w:p>
            <w:pPr>
              <w:spacing w:after="0"/>
            </w:pPr>
            <w:r/>
            <w:r>
              <w:rPr>
                <w:rFonts w:ascii="Aptos" w:hAnsi="Aptos"/>
                <w:b w:val="0"/>
                <w:sz w:val="15"/>
              </w:rPr>
              <w:t>Production output</w:t>
            </w:r>
          </w:p>
        </w:tc>
        <w:tc>
          <w:tcPr>
            <w:tcW w:type="dxa" w:w="3389"/>
            <w:vAlign w:val="center"/>
          </w:tcPr>
          <w:p>
            <w:pPr>
              <w:spacing w:after="0"/>
            </w:pPr>
            <w:r/>
            <w:r>
              <w:rPr>
                <w:rFonts w:ascii="Aptos" w:hAnsi="Aptos"/>
                <w:b w:val="0"/>
                <w:sz w:val="15"/>
              </w:rPr>
              <w:t>Good output by period/shift/grade/machine.</w:t>
            </w:r>
          </w:p>
        </w:tc>
        <w:tc>
          <w:tcPr>
            <w:tcW w:type="dxa" w:w="3389"/>
            <w:vAlign w:val="center"/>
          </w:tcPr>
          <w:p>
            <w:pPr>
              <w:spacing w:after="0"/>
            </w:pPr>
            <w:r/>
            <w:r>
              <w:rPr>
                <w:rFonts w:ascii="Aptos" w:hAnsi="Aptos"/>
                <w:b w:val="0"/>
                <w:sz w:val="15"/>
              </w:rPr>
              <w:t>Production source; label manual/imported/sensor-fed.</w:t>
            </w:r>
          </w:p>
        </w:tc>
      </w:tr>
      <w:tr>
        <w:tc>
          <w:tcPr>
            <w:tcW w:type="dxa" w:w="3389"/>
            <w:vAlign w:val="center"/>
          </w:tcPr>
          <w:p>
            <w:pPr>
              <w:spacing w:after="0"/>
            </w:pPr>
            <w:r/>
            <w:r>
              <w:rPr>
                <w:rFonts w:ascii="Aptos" w:hAnsi="Aptos"/>
                <w:b w:val="0"/>
                <w:sz w:val="15"/>
              </w:rPr>
              <w:t>Yield</w:t>
            </w:r>
          </w:p>
        </w:tc>
        <w:tc>
          <w:tcPr>
            <w:tcW w:type="dxa" w:w="3389"/>
            <w:vAlign w:val="center"/>
          </w:tcPr>
          <w:p>
            <w:pPr>
              <w:spacing w:after="0"/>
            </w:pPr>
            <w:r/>
            <w:r>
              <w:rPr>
                <w:rFonts w:ascii="Aptos" w:hAnsi="Aptos"/>
                <w:b w:val="0"/>
                <w:sz w:val="15"/>
              </w:rPr>
              <w:t>Defined good output divided by defined input quantity for the same scope and period.</w:t>
            </w:r>
          </w:p>
        </w:tc>
        <w:tc>
          <w:tcPr>
            <w:tcW w:type="dxa" w:w="3389"/>
            <w:vAlign w:val="center"/>
          </w:tcPr>
          <w:p>
            <w:pPr>
              <w:spacing w:after="0"/>
            </w:pPr>
            <w:r/>
            <w:r>
              <w:rPr>
                <w:rFonts w:ascii="Aptos" w:hAnsi="Aptos"/>
                <w:b w:val="0"/>
                <w:sz w:val="15"/>
              </w:rPr>
              <w:t>Only calculate when units, inventory timing and waste definitions are approved.</w:t>
            </w:r>
          </w:p>
        </w:tc>
      </w:tr>
      <w:tr>
        <w:tc>
          <w:tcPr>
            <w:tcW w:type="dxa" w:w="3389"/>
            <w:vAlign w:val="center"/>
          </w:tcPr>
          <w:p>
            <w:pPr>
              <w:spacing w:after="0"/>
            </w:pPr>
            <w:r/>
            <w:r>
              <w:rPr>
                <w:rFonts w:ascii="Aptos" w:hAnsi="Aptos"/>
                <w:b w:val="0"/>
                <w:sz w:val="15"/>
              </w:rPr>
              <w:t>Downtime</w:t>
            </w:r>
          </w:p>
        </w:tc>
        <w:tc>
          <w:tcPr>
            <w:tcW w:type="dxa" w:w="3389"/>
            <w:vAlign w:val="center"/>
          </w:tcPr>
          <w:p>
            <w:pPr>
              <w:spacing w:after="0"/>
            </w:pPr>
            <w:r/>
            <w:r>
              <w:rPr>
                <w:rFonts w:ascii="Aptos" w:hAnsi="Aptos"/>
                <w:b w:val="0"/>
                <w:sz w:val="15"/>
              </w:rPr>
              <w:t>Sum of non-overlapping downtime intervals by asset/period.</w:t>
            </w:r>
          </w:p>
        </w:tc>
        <w:tc>
          <w:tcPr>
            <w:tcW w:type="dxa" w:w="3389"/>
            <w:vAlign w:val="center"/>
          </w:tcPr>
          <w:p>
            <w:pPr>
              <w:spacing w:after="0"/>
            </w:pPr>
            <w:r/>
            <w:r>
              <w:rPr>
                <w:rFonts w:ascii="Aptos" w:hAnsi="Aptos"/>
                <w:b w:val="0"/>
                <w:sz w:val="15"/>
              </w:rPr>
              <w:t>Maintenance/production events; reconcile overlapping events.</w:t>
            </w:r>
          </w:p>
        </w:tc>
      </w:tr>
      <w:tr>
        <w:tc>
          <w:tcPr>
            <w:tcW w:type="dxa" w:w="3389"/>
            <w:vAlign w:val="center"/>
          </w:tcPr>
          <w:p>
            <w:pPr>
              <w:spacing w:after="0"/>
            </w:pPr>
            <w:r/>
            <w:r>
              <w:rPr>
                <w:rFonts w:ascii="Aptos" w:hAnsi="Aptos"/>
                <w:b w:val="0"/>
                <w:sz w:val="15"/>
              </w:rPr>
              <w:t>Energy per tonne</w:t>
            </w:r>
          </w:p>
        </w:tc>
        <w:tc>
          <w:tcPr>
            <w:tcW w:type="dxa" w:w="3389"/>
            <w:vAlign w:val="center"/>
          </w:tcPr>
          <w:p>
            <w:pPr>
              <w:spacing w:after="0"/>
            </w:pPr>
            <w:r/>
            <w:r>
              <w:rPr>
                <w:rFonts w:ascii="Aptos" w:hAnsi="Aptos"/>
                <w:b w:val="0"/>
                <w:sz w:val="15"/>
              </w:rPr>
              <w:t>Metered energy in approved unit divided by defined production output.</w:t>
            </w:r>
          </w:p>
        </w:tc>
        <w:tc>
          <w:tcPr>
            <w:tcW w:type="dxa" w:w="3389"/>
            <w:vAlign w:val="center"/>
          </w:tcPr>
          <w:p>
            <w:pPr>
              <w:spacing w:after="0"/>
            </w:pPr>
            <w:r/>
            <w:r>
              <w:rPr>
                <w:rFonts w:ascii="Aptos" w:hAnsi="Aptos"/>
                <w:b w:val="0"/>
                <w:sz w:val="15"/>
              </w:rPr>
              <w:t>Requires meter data and approved period/tonnage definitions.</w:t>
            </w:r>
          </w:p>
        </w:tc>
      </w:tr>
      <w:tr>
        <w:tc>
          <w:tcPr>
            <w:tcW w:type="dxa" w:w="3389"/>
            <w:vAlign w:val="center"/>
          </w:tcPr>
          <w:p>
            <w:pPr>
              <w:spacing w:after="0"/>
            </w:pPr>
            <w:r/>
            <w:r>
              <w:rPr>
                <w:rFonts w:ascii="Aptos" w:hAnsi="Aptos"/>
                <w:b w:val="0"/>
                <w:sz w:val="15"/>
              </w:rPr>
              <w:t>Inventory snapshot</w:t>
            </w:r>
          </w:p>
        </w:tc>
        <w:tc>
          <w:tcPr>
            <w:tcW w:type="dxa" w:w="3389"/>
            <w:vAlign w:val="center"/>
          </w:tcPr>
          <w:p>
            <w:pPr>
              <w:spacing w:after="0"/>
            </w:pPr>
            <w:r/>
            <w:r>
              <w:rPr>
                <w:rFonts w:ascii="Aptos" w:hAnsi="Aptos"/>
                <w:b w:val="0"/>
                <w:sz w:val="15"/>
              </w:rPr>
              <w:t>Quantity/value as of source report date/time.</w:t>
            </w:r>
          </w:p>
        </w:tc>
        <w:tc>
          <w:tcPr>
            <w:tcW w:type="dxa" w:w="3389"/>
            <w:vAlign w:val="center"/>
          </w:tcPr>
          <w:p>
            <w:pPr>
              <w:spacing w:after="0"/>
            </w:pPr>
            <w:r/>
            <w:r>
              <w:rPr>
                <w:rFonts w:ascii="Aptos" w:hAnsi="Aptos"/>
                <w:b w:val="0"/>
                <w:sz w:val="15"/>
              </w:rPr>
              <w:t>DataMan stock export or approved inventory source; never label as real-time without real-time source.</w:t>
            </w:r>
          </w:p>
        </w:tc>
      </w:tr>
      <w:tr>
        <w:tc>
          <w:tcPr>
            <w:tcW w:type="dxa" w:w="3389"/>
            <w:vAlign w:val="center"/>
          </w:tcPr>
          <w:p>
            <w:pPr>
              <w:spacing w:after="0"/>
            </w:pPr>
            <w:r/>
            <w:r>
              <w:rPr>
                <w:rFonts w:ascii="Aptos" w:hAnsi="Aptos"/>
                <w:b w:val="0"/>
                <w:sz w:val="15"/>
              </w:rPr>
              <w:t>Receivables ageing</w:t>
            </w:r>
          </w:p>
        </w:tc>
        <w:tc>
          <w:tcPr>
            <w:tcW w:type="dxa" w:w="3389"/>
            <w:vAlign w:val="center"/>
          </w:tcPr>
          <w:p>
            <w:pPr>
              <w:spacing w:after="0"/>
            </w:pPr>
            <w:r/>
            <w:r>
              <w:rPr>
                <w:rFonts w:ascii="Aptos" w:hAnsi="Aptos"/>
                <w:b w:val="0"/>
                <w:sz w:val="15"/>
              </w:rPr>
              <w:t>Outstanding customer balances grouped by due-date buckets.</w:t>
            </w:r>
          </w:p>
        </w:tc>
        <w:tc>
          <w:tcPr>
            <w:tcW w:type="dxa" w:w="3389"/>
            <w:vAlign w:val="center"/>
          </w:tcPr>
          <w:p>
            <w:pPr>
              <w:spacing w:after="0"/>
            </w:pPr>
            <w:r/>
            <w:r>
              <w:rPr>
                <w:rFonts w:ascii="Aptos" w:hAnsi="Aptos"/>
                <w:b w:val="0"/>
                <w:sz w:val="15"/>
              </w:rPr>
              <w:t>DataMan AR export; show as-of time.</w:t>
            </w:r>
          </w:p>
        </w:tc>
      </w:tr>
      <w:tr>
        <w:tc>
          <w:tcPr>
            <w:tcW w:type="dxa" w:w="3389"/>
            <w:vAlign w:val="center"/>
          </w:tcPr>
          <w:p>
            <w:pPr>
              <w:spacing w:after="0"/>
            </w:pPr>
            <w:r/>
            <w:r>
              <w:rPr>
                <w:rFonts w:ascii="Aptos" w:hAnsi="Aptos"/>
                <w:b w:val="0"/>
                <w:sz w:val="15"/>
              </w:rPr>
              <w:t>Payables ageing</w:t>
            </w:r>
          </w:p>
        </w:tc>
        <w:tc>
          <w:tcPr>
            <w:tcW w:type="dxa" w:w="3389"/>
            <w:vAlign w:val="center"/>
          </w:tcPr>
          <w:p>
            <w:pPr>
              <w:spacing w:after="0"/>
            </w:pPr>
            <w:r/>
            <w:r>
              <w:rPr>
                <w:rFonts w:ascii="Aptos" w:hAnsi="Aptos"/>
                <w:b w:val="0"/>
                <w:sz w:val="15"/>
              </w:rPr>
              <w:t>Outstanding supplier balances grouped by due-date buckets.</w:t>
            </w:r>
          </w:p>
        </w:tc>
        <w:tc>
          <w:tcPr>
            <w:tcW w:type="dxa" w:w="3389"/>
            <w:vAlign w:val="center"/>
          </w:tcPr>
          <w:p>
            <w:pPr>
              <w:spacing w:after="0"/>
            </w:pPr>
            <w:r/>
            <w:r>
              <w:rPr>
                <w:rFonts w:ascii="Aptos" w:hAnsi="Aptos"/>
                <w:b w:val="0"/>
                <w:sz w:val="15"/>
              </w:rPr>
              <w:t>DataMan AP export; show as-of time.</w:t>
            </w:r>
          </w:p>
        </w:tc>
      </w:tr>
      <w:tr>
        <w:tc>
          <w:tcPr>
            <w:tcW w:type="dxa" w:w="3389"/>
            <w:vAlign w:val="center"/>
          </w:tcPr>
          <w:p>
            <w:pPr>
              <w:spacing w:after="0"/>
            </w:pPr>
            <w:r/>
            <w:r>
              <w:rPr>
                <w:rFonts w:ascii="Aptos" w:hAnsi="Aptos"/>
                <w:b w:val="0"/>
                <w:sz w:val="15"/>
              </w:rPr>
              <w:t>Cash/bank position</w:t>
            </w:r>
          </w:p>
        </w:tc>
        <w:tc>
          <w:tcPr>
            <w:tcW w:type="dxa" w:w="3389"/>
            <w:vAlign w:val="center"/>
          </w:tcPr>
          <w:p>
            <w:pPr>
              <w:spacing w:after="0"/>
            </w:pPr>
            <w:r/>
            <w:r>
              <w:rPr>
                <w:rFonts w:ascii="Aptos" w:hAnsi="Aptos"/>
                <w:b w:val="0"/>
                <w:sz w:val="15"/>
              </w:rPr>
              <w:t>Balances from approved financial report.</w:t>
            </w:r>
          </w:p>
        </w:tc>
        <w:tc>
          <w:tcPr>
            <w:tcW w:type="dxa" w:w="3389"/>
            <w:vAlign w:val="center"/>
          </w:tcPr>
          <w:p>
            <w:pPr>
              <w:spacing w:after="0"/>
            </w:pPr>
            <w:r/>
            <w:r>
              <w:rPr>
                <w:rFonts w:ascii="Aptos" w:hAnsi="Aptos"/>
                <w:b w:val="0"/>
                <w:sz w:val="15"/>
              </w:rPr>
              <w:t>DataMan or approved bank source; show as-of time, not live unless genuinely live.</w:t>
            </w:r>
          </w:p>
        </w:tc>
      </w:tr>
      <w:tr>
        <w:tc>
          <w:tcPr>
            <w:tcW w:type="dxa" w:w="3389"/>
            <w:vAlign w:val="center"/>
          </w:tcPr>
          <w:p>
            <w:pPr>
              <w:spacing w:after="0"/>
            </w:pPr>
            <w:r/>
            <w:r>
              <w:rPr>
                <w:rFonts w:ascii="Aptos" w:hAnsi="Aptos"/>
                <w:b w:val="0"/>
                <w:sz w:val="15"/>
              </w:rPr>
              <w:t>Import freshness</w:t>
            </w:r>
          </w:p>
        </w:tc>
        <w:tc>
          <w:tcPr>
            <w:tcW w:type="dxa" w:w="3389"/>
            <w:vAlign w:val="center"/>
          </w:tcPr>
          <w:p>
            <w:pPr>
              <w:spacing w:after="0"/>
            </w:pPr>
            <w:r/>
            <w:r>
              <w:rPr>
                <w:rFonts w:ascii="Aptos" w:hAnsi="Aptos"/>
                <w:b w:val="0"/>
                <w:sz w:val="15"/>
              </w:rPr>
              <w:t>Current time minus last successful import/export time for a dataset.</w:t>
            </w:r>
          </w:p>
        </w:tc>
        <w:tc>
          <w:tcPr>
            <w:tcW w:type="dxa" w:w="3389"/>
            <w:vAlign w:val="center"/>
          </w:tcPr>
          <w:p>
            <w:pPr>
              <w:spacing w:after="0"/>
            </w:pPr>
            <w:r/>
            <w:r>
              <w:rPr>
                <w:rFonts w:ascii="Aptos" w:hAnsi="Aptos"/>
                <w:b w:val="0"/>
                <w:sz w:val="15"/>
              </w:rPr>
              <w:t>Integration service.</w:t>
            </w:r>
          </w:p>
        </w:tc>
      </w:tr>
      <w:tr>
        <w:tc>
          <w:tcPr>
            <w:tcW w:type="dxa" w:w="3389"/>
            <w:vAlign w:val="center"/>
          </w:tcPr>
          <w:p>
            <w:pPr>
              <w:spacing w:after="0"/>
            </w:pPr>
            <w:r/>
            <w:r>
              <w:rPr>
                <w:rFonts w:ascii="Aptos" w:hAnsi="Aptos"/>
                <w:b w:val="0"/>
                <w:sz w:val="15"/>
              </w:rPr>
              <w:t>Exception SLA attainment</w:t>
            </w:r>
          </w:p>
        </w:tc>
        <w:tc>
          <w:tcPr>
            <w:tcW w:type="dxa" w:w="3389"/>
            <w:vAlign w:val="center"/>
          </w:tcPr>
          <w:p>
            <w:pPr>
              <w:spacing w:after="0"/>
            </w:pPr>
            <w:r/>
            <w:r>
              <w:rPr>
                <w:rFonts w:ascii="Aptos" w:hAnsi="Aptos"/>
                <w:b w:val="0"/>
                <w:sz w:val="15"/>
              </w:rPr>
              <w:t>Share of closed exceptions resolved within approved SLA.</w:t>
            </w:r>
          </w:p>
        </w:tc>
        <w:tc>
          <w:tcPr>
            <w:tcW w:type="dxa" w:w="3389"/>
            <w:vAlign w:val="center"/>
          </w:tcPr>
          <w:p>
            <w:pPr>
              <w:spacing w:after="0"/>
            </w:pPr>
            <w:r/>
            <w:r>
              <w:rPr>
                <w:rFonts w:ascii="Aptos" w:hAnsi="Aptos"/>
                <w:b w:val="0"/>
                <w:sz w:val="15"/>
              </w:rPr>
              <w:t>Workflow audit data; SLA version and excluded states defined.</w:t>
            </w:r>
          </w:p>
        </w:tc>
      </w:tr>
    </w:tbl>
    <w:p/>
    <w:p>
      <w:pPr>
        <w:pStyle w:val="Heading2"/>
      </w:pPr>
      <w:r>
        <w:t>MD dashboard design rules</w:t>
      </w:r>
    </w:p>
    <w:p>
      <w:pPr>
        <w:pStyle w:val="ListBullet"/>
        <w:spacing w:after="30"/>
      </w:pPr>
      <w:r>
        <w:t>Top row: critical exceptions and operational/financial KPIs with source and freshness.</w:t>
      </w:r>
    </w:p>
    <w:p>
      <w:pPr>
        <w:pStyle w:val="ListBullet"/>
        <w:spacing w:after="30"/>
      </w:pPr>
      <w:r>
        <w:t>Second row: truck/inward pipeline, GRN/document pipeline and bill-posting pipeline.</w:t>
      </w:r>
    </w:p>
    <w:p>
      <w:pPr>
        <w:pStyle w:val="ListBullet"/>
        <w:spacing w:after="30"/>
      </w:pPr>
      <w:r>
        <w:t>Third row: production, downtime, inventory, sales, receivables/payables and cash visibility when data is available.</w:t>
      </w:r>
    </w:p>
    <w:p>
      <w:pPr>
        <w:pStyle w:val="ListBullet"/>
        <w:spacing w:after="30"/>
      </w:pPr>
      <w:r>
        <w:t>Each chart must have units, date range, source, definition and drill-down.</w:t>
      </w:r>
    </w:p>
    <w:p>
      <w:pPr>
        <w:pStyle w:val="ListBullet"/>
        <w:spacing w:after="30"/>
      </w:pPr>
      <w:r>
        <w:t>Provide role-specific views for factory manager, finance controller, procurement and production leads.</w:t>
      </w:r>
    </w:p>
    <w:p>
      <w:pPr>
        <w:pStyle w:val="ListBullet"/>
        <w:spacing w:after="30"/>
      </w:pPr>
      <w:r>
        <w:t>Allow an executive to assign an action with owner and due date; track whether it was resolved.</w:t>
      </w:r>
    </w:p>
    <w:p>
      <w:pPr>
        <w:pStyle w:val="ListBullet"/>
        <w:spacing w:after="30"/>
      </w:pPr>
      <w:r>
        <w:t>Do not overuse red alerts. Use severity based on impact and age, with configurable escalation.</w:t>
      </w:r>
    </w:p>
    <w:p>
      <w:pPr>
        <w:pStyle w:val="Heading1"/>
      </w:pPr>
      <w:r>
        <w:t>12. Notifications and escalation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Event</w:t>
            </w:r>
          </w:p>
        </w:tc>
        <w:tc>
          <w:tcPr>
            <w:tcW w:type="dxa" w:w="3389"/>
            <w:vAlign w:val="center"/>
            <w:shd w:fill="17324D"/>
          </w:tcPr>
          <w:p>
            <w:pPr>
              <w:spacing w:after="0"/>
            </w:pPr>
            <w:r/>
            <w:r>
              <w:rPr>
                <w:rFonts w:ascii="Aptos" w:hAnsi="Aptos"/>
                <w:b/>
                <w:color w:val="FFFFFF"/>
                <w:sz w:val="16"/>
              </w:rPr>
              <w:t>Initial action</w:t>
            </w:r>
          </w:p>
        </w:tc>
        <w:tc>
          <w:tcPr>
            <w:tcW w:type="dxa" w:w="3389"/>
            <w:vAlign w:val="center"/>
            <w:shd w:fill="17324D"/>
          </w:tcPr>
          <w:p>
            <w:pPr>
              <w:spacing w:after="0"/>
            </w:pPr>
            <w:r/>
            <w:r>
              <w:rPr>
                <w:rFonts w:ascii="Aptos" w:hAnsi="Aptos"/>
                <w:b/>
                <w:color w:val="FFFFFF"/>
                <w:sz w:val="16"/>
              </w:rPr>
              <w:t>Escalation design</w:t>
            </w:r>
          </w:p>
        </w:tc>
      </w:tr>
      <w:tr>
        <w:tc>
          <w:tcPr>
            <w:tcW w:type="dxa" w:w="3389"/>
            <w:vAlign w:val="center"/>
          </w:tcPr>
          <w:p>
            <w:pPr>
              <w:spacing w:after="0"/>
            </w:pPr>
            <w:r/>
            <w:r>
              <w:rPr>
                <w:rFonts w:ascii="Aptos" w:hAnsi="Aptos"/>
                <w:b w:val="0"/>
                <w:sz w:val="15"/>
              </w:rPr>
              <w:t>Truck exceeds queue target</w:t>
            </w:r>
          </w:p>
        </w:tc>
        <w:tc>
          <w:tcPr>
            <w:tcW w:type="dxa" w:w="3389"/>
            <w:vAlign w:val="center"/>
          </w:tcPr>
          <w:p>
            <w:pPr>
              <w:spacing w:after="0"/>
            </w:pPr>
            <w:r/>
            <w:r>
              <w:rPr>
                <w:rFonts w:ascii="Aptos" w:hAnsi="Aptos"/>
                <w:b w:val="0"/>
                <w:sz w:val="15"/>
              </w:rPr>
              <w:t>Notify receiving owner.</w:t>
            </w:r>
          </w:p>
        </w:tc>
        <w:tc>
          <w:tcPr>
            <w:tcW w:type="dxa" w:w="3389"/>
            <w:vAlign w:val="center"/>
          </w:tcPr>
          <w:p>
            <w:pPr>
              <w:spacing w:after="0"/>
            </w:pPr>
            <w:r/>
            <w:r>
              <w:rPr>
                <w:rFonts w:ascii="Aptos" w:hAnsi="Aptos"/>
                <w:b w:val="0"/>
                <w:sz w:val="15"/>
              </w:rPr>
              <w:t>Escalate to factory manager after approved threshold.</w:t>
            </w:r>
          </w:p>
        </w:tc>
      </w:tr>
      <w:tr>
        <w:tc>
          <w:tcPr>
            <w:tcW w:type="dxa" w:w="3389"/>
            <w:vAlign w:val="center"/>
          </w:tcPr>
          <w:p>
            <w:pPr>
              <w:spacing w:after="0"/>
            </w:pPr>
            <w:r/>
            <w:r>
              <w:rPr>
                <w:rFonts w:ascii="Aptos" w:hAnsi="Aptos"/>
                <w:b w:val="0"/>
                <w:sz w:val="15"/>
              </w:rPr>
              <w:t>QC pending/hold</w:t>
            </w:r>
          </w:p>
        </w:tc>
        <w:tc>
          <w:tcPr>
            <w:tcW w:type="dxa" w:w="3389"/>
            <w:vAlign w:val="center"/>
          </w:tcPr>
          <w:p>
            <w:pPr>
              <w:spacing w:after="0"/>
            </w:pPr>
            <w:r/>
            <w:r>
              <w:rPr>
                <w:rFonts w:ascii="Aptos" w:hAnsi="Aptos"/>
                <w:b w:val="0"/>
                <w:sz w:val="15"/>
              </w:rPr>
              <w:t>Notify QC and stores; show held quantity.</w:t>
            </w:r>
          </w:p>
        </w:tc>
        <w:tc>
          <w:tcPr>
            <w:tcW w:type="dxa" w:w="3389"/>
            <w:vAlign w:val="center"/>
          </w:tcPr>
          <w:p>
            <w:pPr>
              <w:spacing w:after="0"/>
            </w:pPr>
            <w:r/>
            <w:r>
              <w:rPr>
                <w:rFonts w:ascii="Aptos" w:hAnsi="Aptos"/>
                <w:b w:val="0"/>
                <w:sz w:val="15"/>
              </w:rPr>
              <w:t>Escalate according to material criticality and hold age.</w:t>
            </w:r>
          </w:p>
        </w:tc>
      </w:tr>
      <w:tr>
        <w:tc>
          <w:tcPr>
            <w:tcW w:type="dxa" w:w="3389"/>
            <w:vAlign w:val="center"/>
          </w:tcPr>
          <w:p>
            <w:pPr>
              <w:spacing w:after="0"/>
            </w:pPr>
            <w:r/>
            <w:r>
              <w:rPr>
                <w:rFonts w:ascii="Aptos" w:hAnsi="Aptos"/>
                <w:b w:val="0"/>
                <w:sz w:val="15"/>
              </w:rPr>
              <w:t>GRN not linked after unloading</w:t>
            </w:r>
          </w:p>
        </w:tc>
        <w:tc>
          <w:tcPr>
            <w:tcW w:type="dxa" w:w="3389"/>
            <w:vAlign w:val="center"/>
          </w:tcPr>
          <w:p>
            <w:pPr>
              <w:spacing w:after="0"/>
            </w:pPr>
            <w:r/>
            <w:r>
              <w:rPr>
                <w:rFonts w:ascii="Aptos" w:hAnsi="Aptos"/>
                <w:b w:val="0"/>
                <w:sz w:val="15"/>
              </w:rPr>
              <w:t>Create task for designated receiving owner.</w:t>
            </w:r>
          </w:p>
        </w:tc>
        <w:tc>
          <w:tcPr>
            <w:tcW w:type="dxa" w:w="3389"/>
            <w:vAlign w:val="center"/>
          </w:tcPr>
          <w:p>
            <w:pPr>
              <w:spacing w:after="0"/>
            </w:pPr>
            <w:r/>
            <w:r>
              <w:rPr>
                <w:rFonts w:ascii="Aptos" w:hAnsi="Aptos"/>
                <w:b w:val="0"/>
                <w:sz w:val="15"/>
              </w:rPr>
              <w:t>Escalate if unresolved beyond approved SLA.</w:t>
            </w:r>
          </w:p>
        </w:tc>
      </w:tr>
      <w:tr>
        <w:tc>
          <w:tcPr>
            <w:tcW w:type="dxa" w:w="3389"/>
            <w:vAlign w:val="center"/>
          </w:tcPr>
          <w:p>
            <w:pPr>
              <w:spacing w:after="0"/>
            </w:pPr>
            <w:r/>
            <w:r>
              <w:rPr>
                <w:rFonts w:ascii="Aptos" w:hAnsi="Aptos"/>
                <w:b w:val="0"/>
                <w:sz w:val="15"/>
              </w:rPr>
              <w:t>Digital packet incomplete</w:t>
            </w:r>
          </w:p>
        </w:tc>
        <w:tc>
          <w:tcPr>
            <w:tcW w:type="dxa" w:w="3389"/>
            <w:vAlign w:val="center"/>
          </w:tcPr>
          <w:p>
            <w:pPr>
              <w:spacing w:after="0"/>
            </w:pPr>
            <w:r/>
            <w:r>
              <w:rPr>
                <w:rFonts w:ascii="Aptos" w:hAnsi="Aptos"/>
                <w:b w:val="0"/>
                <w:sz w:val="15"/>
              </w:rPr>
              <w:t>Show exact missing documents and responsible role.</w:t>
            </w:r>
          </w:p>
        </w:tc>
        <w:tc>
          <w:tcPr>
            <w:tcW w:type="dxa" w:w="3389"/>
            <w:vAlign w:val="center"/>
          </w:tcPr>
          <w:p>
            <w:pPr>
              <w:spacing w:after="0"/>
            </w:pPr>
            <w:r/>
            <w:r>
              <w:rPr>
                <w:rFonts w:ascii="Aptos" w:hAnsi="Aptos"/>
                <w:b w:val="0"/>
                <w:sz w:val="15"/>
              </w:rPr>
              <w:t>Escalate only after configured SLA; avoid alert spam.</w:t>
            </w:r>
          </w:p>
        </w:tc>
      </w:tr>
      <w:tr>
        <w:tc>
          <w:tcPr>
            <w:tcW w:type="dxa" w:w="3389"/>
            <w:vAlign w:val="center"/>
          </w:tcPr>
          <w:p>
            <w:pPr>
              <w:spacing w:after="0"/>
            </w:pPr>
            <w:r/>
            <w:r>
              <w:rPr>
                <w:rFonts w:ascii="Aptos" w:hAnsi="Aptos"/>
                <w:b w:val="0"/>
                <w:sz w:val="15"/>
              </w:rPr>
              <w:t>Physical bundle not acknowledged</w:t>
            </w:r>
          </w:p>
        </w:tc>
        <w:tc>
          <w:tcPr>
            <w:tcW w:type="dxa" w:w="3389"/>
            <w:vAlign w:val="center"/>
          </w:tcPr>
          <w:p>
            <w:pPr>
              <w:spacing w:after="0"/>
            </w:pPr>
            <w:r/>
            <w:r>
              <w:rPr>
                <w:rFonts w:ascii="Aptos" w:hAnsi="Aptos"/>
                <w:b w:val="0"/>
                <w:sz w:val="15"/>
              </w:rPr>
              <w:t>Notify sender and corporate receiver.</w:t>
            </w:r>
          </w:p>
        </w:tc>
        <w:tc>
          <w:tcPr>
            <w:tcW w:type="dxa" w:w="3389"/>
            <w:vAlign w:val="center"/>
          </w:tcPr>
          <w:p>
            <w:pPr>
              <w:spacing w:after="0"/>
            </w:pPr>
            <w:r/>
            <w:r>
              <w:rPr>
                <w:rFonts w:ascii="Aptos" w:hAnsi="Aptos"/>
                <w:b w:val="0"/>
                <w:sz w:val="15"/>
              </w:rPr>
              <w:t>Escalate after transit threshold; do not auto-declare lost.</w:t>
            </w:r>
          </w:p>
        </w:tc>
      </w:tr>
      <w:tr>
        <w:tc>
          <w:tcPr>
            <w:tcW w:type="dxa" w:w="3389"/>
            <w:vAlign w:val="center"/>
          </w:tcPr>
          <w:p>
            <w:pPr>
              <w:spacing w:after="0"/>
            </w:pPr>
            <w:r/>
            <w:r>
              <w:rPr>
                <w:rFonts w:ascii="Aptos" w:hAnsi="Aptos"/>
                <w:b w:val="0"/>
                <w:sz w:val="15"/>
              </w:rPr>
              <w:t>Bill mismatch</w:t>
            </w:r>
          </w:p>
        </w:tc>
        <w:tc>
          <w:tcPr>
            <w:tcW w:type="dxa" w:w="3389"/>
            <w:vAlign w:val="center"/>
          </w:tcPr>
          <w:p>
            <w:pPr>
              <w:spacing w:after="0"/>
            </w:pPr>
            <w:r/>
            <w:r>
              <w:rPr>
                <w:rFonts w:ascii="Aptos" w:hAnsi="Aptos"/>
                <w:b w:val="0"/>
                <w:sz w:val="15"/>
              </w:rPr>
              <w:t>Create exception with compared fields.</w:t>
            </w:r>
          </w:p>
        </w:tc>
        <w:tc>
          <w:tcPr>
            <w:tcW w:type="dxa" w:w="3389"/>
            <w:vAlign w:val="center"/>
          </w:tcPr>
          <w:p>
            <w:pPr>
              <w:spacing w:after="0"/>
            </w:pPr>
            <w:r/>
            <w:r>
              <w:rPr>
                <w:rFonts w:ascii="Aptos" w:hAnsi="Aptos"/>
                <w:b w:val="0"/>
                <w:sz w:val="15"/>
              </w:rPr>
              <w:t>Route by category; escalate on age/value according to policy.</w:t>
            </w:r>
          </w:p>
        </w:tc>
      </w:tr>
      <w:tr>
        <w:tc>
          <w:tcPr>
            <w:tcW w:type="dxa" w:w="3389"/>
            <w:vAlign w:val="center"/>
          </w:tcPr>
          <w:p>
            <w:pPr>
              <w:spacing w:after="0"/>
            </w:pPr>
            <w:r/>
            <w:r>
              <w:rPr>
                <w:rFonts w:ascii="Aptos" w:hAnsi="Aptos"/>
                <w:b w:val="0"/>
                <w:sz w:val="15"/>
              </w:rPr>
              <w:t>Bill awaiting approval</w:t>
            </w:r>
          </w:p>
        </w:tc>
        <w:tc>
          <w:tcPr>
            <w:tcW w:type="dxa" w:w="3389"/>
            <w:vAlign w:val="center"/>
          </w:tcPr>
          <w:p>
            <w:pPr>
              <w:spacing w:after="0"/>
            </w:pPr>
            <w:r/>
            <w:r>
              <w:rPr>
                <w:rFonts w:ascii="Aptos" w:hAnsi="Aptos"/>
                <w:b w:val="0"/>
                <w:sz w:val="15"/>
              </w:rPr>
              <w:t>Notify assigned approver.</w:t>
            </w:r>
          </w:p>
        </w:tc>
        <w:tc>
          <w:tcPr>
            <w:tcW w:type="dxa" w:w="3389"/>
            <w:vAlign w:val="center"/>
          </w:tcPr>
          <w:p>
            <w:pPr>
              <w:spacing w:after="0"/>
            </w:pPr>
            <w:r/>
            <w:r>
              <w:rPr>
                <w:rFonts w:ascii="Aptos" w:hAnsi="Aptos"/>
                <w:b w:val="0"/>
                <w:sz w:val="15"/>
              </w:rPr>
              <w:t>Escalate per delegation matrix and SLA.</w:t>
            </w:r>
          </w:p>
        </w:tc>
      </w:tr>
      <w:tr>
        <w:tc>
          <w:tcPr>
            <w:tcW w:type="dxa" w:w="3389"/>
            <w:vAlign w:val="center"/>
          </w:tcPr>
          <w:p>
            <w:pPr>
              <w:spacing w:after="0"/>
            </w:pPr>
            <w:r/>
            <w:r>
              <w:rPr>
                <w:rFonts w:ascii="Aptos" w:hAnsi="Aptos"/>
                <w:b w:val="0"/>
                <w:sz w:val="15"/>
              </w:rPr>
              <w:t>DataMan import stale/failed</w:t>
            </w:r>
          </w:p>
        </w:tc>
        <w:tc>
          <w:tcPr>
            <w:tcW w:type="dxa" w:w="3389"/>
            <w:vAlign w:val="center"/>
          </w:tcPr>
          <w:p>
            <w:pPr>
              <w:spacing w:after="0"/>
            </w:pPr>
            <w:r/>
            <w:r>
              <w:rPr>
                <w:rFonts w:ascii="Aptos" w:hAnsi="Aptos"/>
                <w:b w:val="0"/>
                <w:sz w:val="15"/>
              </w:rPr>
              <w:t>Notify integration owner and show affected KPIs as stale.</w:t>
            </w:r>
          </w:p>
        </w:tc>
        <w:tc>
          <w:tcPr>
            <w:tcW w:type="dxa" w:w="3389"/>
            <w:vAlign w:val="center"/>
          </w:tcPr>
          <w:p>
            <w:pPr>
              <w:spacing w:after="0"/>
            </w:pPr>
            <w:r/>
            <w:r>
              <w:rPr>
                <w:rFonts w:ascii="Aptos" w:hAnsi="Aptos"/>
                <w:b w:val="0"/>
                <w:sz w:val="15"/>
              </w:rPr>
              <w:t>Escalate if critical dataset remains unavailable.</w:t>
            </w:r>
          </w:p>
        </w:tc>
      </w:tr>
      <w:tr>
        <w:tc>
          <w:tcPr>
            <w:tcW w:type="dxa" w:w="3389"/>
            <w:vAlign w:val="center"/>
          </w:tcPr>
          <w:p>
            <w:pPr>
              <w:spacing w:after="0"/>
            </w:pPr>
            <w:r/>
            <w:r>
              <w:rPr>
                <w:rFonts w:ascii="Aptos" w:hAnsi="Aptos"/>
                <w:b w:val="0"/>
                <w:sz w:val="15"/>
              </w:rPr>
              <w:t>Production below target</w:t>
            </w:r>
          </w:p>
        </w:tc>
        <w:tc>
          <w:tcPr>
            <w:tcW w:type="dxa" w:w="3389"/>
            <w:vAlign w:val="center"/>
          </w:tcPr>
          <w:p>
            <w:pPr>
              <w:spacing w:after="0"/>
            </w:pPr>
            <w:r/>
            <w:r>
              <w:rPr>
                <w:rFonts w:ascii="Aptos" w:hAnsi="Aptos"/>
                <w:b w:val="0"/>
                <w:sz w:val="15"/>
              </w:rPr>
              <w:t>Notify production owner with period/target/source.</w:t>
            </w:r>
          </w:p>
        </w:tc>
        <w:tc>
          <w:tcPr>
            <w:tcW w:type="dxa" w:w="3389"/>
            <w:vAlign w:val="center"/>
          </w:tcPr>
          <w:p>
            <w:pPr>
              <w:spacing w:after="0"/>
            </w:pPr>
            <w:r/>
            <w:r>
              <w:rPr>
                <w:rFonts w:ascii="Aptos" w:hAnsi="Aptos"/>
                <w:b w:val="0"/>
                <w:sz w:val="15"/>
              </w:rPr>
              <w:t>Escalate based on approved threshold and validated data.</w:t>
            </w:r>
          </w:p>
        </w:tc>
      </w:tr>
      <w:tr>
        <w:tc>
          <w:tcPr>
            <w:tcW w:type="dxa" w:w="3389"/>
            <w:vAlign w:val="center"/>
          </w:tcPr>
          <w:p>
            <w:pPr>
              <w:spacing w:after="0"/>
            </w:pPr>
            <w:r/>
            <w:r>
              <w:rPr>
                <w:rFonts w:ascii="Aptos" w:hAnsi="Aptos"/>
                <w:b w:val="0"/>
                <w:sz w:val="15"/>
              </w:rPr>
              <w:t>Critical maintenance work overdue</w:t>
            </w:r>
          </w:p>
        </w:tc>
        <w:tc>
          <w:tcPr>
            <w:tcW w:type="dxa" w:w="3389"/>
            <w:vAlign w:val="center"/>
          </w:tcPr>
          <w:p>
            <w:pPr>
              <w:spacing w:after="0"/>
            </w:pPr>
            <w:r/>
            <w:r>
              <w:rPr>
                <w:rFonts w:ascii="Aptos" w:hAnsi="Aptos"/>
                <w:b w:val="0"/>
                <w:sz w:val="15"/>
              </w:rPr>
              <w:t>Notify maintenance owner.</w:t>
            </w:r>
          </w:p>
        </w:tc>
        <w:tc>
          <w:tcPr>
            <w:tcW w:type="dxa" w:w="3389"/>
            <w:vAlign w:val="center"/>
          </w:tcPr>
          <w:p>
            <w:pPr>
              <w:spacing w:after="0"/>
            </w:pPr>
            <w:r/>
            <w:r>
              <w:rPr>
                <w:rFonts w:ascii="Aptos" w:hAnsi="Aptos"/>
                <w:b w:val="0"/>
                <w:sz w:val="15"/>
              </w:rPr>
              <w:t>Escalate to factory management per asset criticality.</w:t>
            </w:r>
          </w:p>
        </w:tc>
      </w:tr>
      <w:tr>
        <w:tc>
          <w:tcPr>
            <w:tcW w:type="dxa" w:w="3389"/>
            <w:vAlign w:val="center"/>
          </w:tcPr>
          <w:p>
            <w:pPr>
              <w:spacing w:after="0"/>
            </w:pPr>
            <w:r/>
            <w:r>
              <w:rPr>
                <w:rFonts w:ascii="Aptos" w:hAnsi="Aptos"/>
                <w:b w:val="0"/>
                <w:sz w:val="15"/>
              </w:rPr>
              <w:t>Payable due/overdue</w:t>
            </w:r>
          </w:p>
        </w:tc>
        <w:tc>
          <w:tcPr>
            <w:tcW w:type="dxa" w:w="3389"/>
            <w:vAlign w:val="center"/>
          </w:tcPr>
          <w:p>
            <w:pPr>
              <w:spacing w:after="0"/>
            </w:pPr>
            <w:r/>
            <w:r>
              <w:rPr>
                <w:rFonts w:ascii="Aptos" w:hAnsi="Aptos"/>
                <w:b w:val="0"/>
                <w:sz w:val="15"/>
              </w:rPr>
              <w:t>Notify accounts/treasury with authoritative outstanding data.</w:t>
            </w:r>
          </w:p>
        </w:tc>
        <w:tc>
          <w:tcPr>
            <w:tcW w:type="dxa" w:w="3389"/>
            <w:vAlign w:val="center"/>
          </w:tcPr>
          <w:p>
            <w:pPr>
              <w:spacing w:after="0"/>
            </w:pPr>
            <w:r/>
            <w:r>
              <w:rPr>
                <w:rFonts w:ascii="Aptos" w:hAnsi="Aptos"/>
                <w:b w:val="0"/>
                <w:sz w:val="15"/>
              </w:rPr>
              <w:t>Escalate per finance policy.</w:t>
            </w:r>
          </w:p>
        </w:tc>
      </w:tr>
    </w:tbl>
    <w:p/>
    <w:p>
      <w:r>
        <w:t>Notifications must be deduplicated, acknowledgeable, actionable and auditable. A user should be able to open the exact transaction from the notification.</w:t>
      </w:r>
    </w:p>
    <w:p>
      <w:pPr>
        <w:pStyle w:val="Heading1"/>
      </w:pPr>
      <w:r>
        <w:t>13. Security, privacy, audit and resilience</w:t>
      </w:r>
    </w:p>
    <w:p>
      <w:pPr>
        <w:pStyle w:val="ListBullet"/>
        <w:spacing w:after="30"/>
      </w:pPr>
      <w:r>
        <w:t>Use individual accounts; prohibit shared generic accounts for approval or financial actions. If a shared factory device is necessary, users must authenticate individually for consequential actions.</w:t>
      </w:r>
    </w:p>
    <w:p>
      <w:pPr>
        <w:pStyle w:val="ListBullet"/>
        <w:spacing w:after="30"/>
      </w:pPr>
      <w:r>
        <w:t>Use role-based and scope-based permissions. Apply least privilege and separation of duties.</w:t>
      </w:r>
    </w:p>
    <w:p>
      <w:pPr>
        <w:pStyle w:val="ListBullet"/>
        <w:spacing w:after="30"/>
      </w:pPr>
      <w:r>
        <w:t>Require stronger authentication for administrators and financial approvers where supported by the approved identity system.</w:t>
      </w:r>
    </w:p>
    <w:p>
      <w:pPr>
        <w:pStyle w:val="ListBullet"/>
        <w:spacing w:after="30"/>
      </w:pPr>
      <w:r>
        <w:t>Encrypt data in transit and at rest. Keep document storage private; use short-lived authorised access links.</w:t>
      </w:r>
    </w:p>
    <w:p>
      <w:pPr>
        <w:pStyle w:val="ListBullet"/>
        <w:spacing w:after="30"/>
      </w:pPr>
      <w:r>
        <w:t>Keep production, test and development environments separate. Never use real supplier/customer/financial data in demos without approval and masking.</w:t>
      </w:r>
    </w:p>
    <w:p>
      <w:pPr>
        <w:pStyle w:val="ListBullet"/>
        <w:spacing w:after="30"/>
      </w:pPr>
      <w:r>
        <w:t>Audit create/update/approve/reject/export/download/import/login/role changes and administrative changes.</w:t>
      </w:r>
    </w:p>
    <w:p>
      <w:pPr>
        <w:pStyle w:val="ListBullet"/>
        <w:spacing w:after="30"/>
      </w:pPr>
      <w:r>
        <w:t>Use append-only audit records and tamper-evident controls appropriate to the hosting environment. Do not claim immutability unless technically enforced.</w:t>
      </w:r>
    </w:p>
    <w:p>
      <w:pPr>
        <w:pStyle w:val="ListBullet"/>
        <w:spacing w:after="30"/>
      </w:pPr>
      <w:r>
        <w:t>Back up application database and document store; test restore procedures and record recovery objectives approved by management.</w:t>
      </w:r>
    </w:p>
    <w:p>
      <w:pPr>
        <w:pStyle w:val="ListBullet"/>
        <w:spacing w:after="30"/>
      </w:pPr>
      <w:r>
        <w:t>Define retention, legal hold and deletion rules with finance/legal/audit before implementing automatic deletion.</w:t>
      </w:r>
    </w:p>
    <w:p>
      <w:pPr>
        <w:pStyle w:val="ListBullet"/>
        <w:spacing w:after="30"/>
      </w:pPr>
      <w:r>
        <w:t>Protect against common web risks: injection, broken access control, insecure direct object references, CSRF where applicable, XSS, SSRF, malicious uploads and secrets leakage.</w:t>
      </w:r>
    </w:p>
    <w:p>
      <w:pPr>
        <w:pStyle w:val="ListBullet"/>
        <w:spacing w:after="30"/>
      </w:pPr>
      <w:r>
        <w:t>Store credentials in a secrets manager/environment configuration; never hardcode passwords, database credentials or signing keys.</w:t>
      </w:r>
    </w:p>
    <w:p>
      <w:pPr>
        <w:pStyle w:val="ListBullet"/>
        <w:spacing w:after="30"/>
      </w:pPr>
      <w:r>
        <w:t>Log integration failures without leaking sensitive invoice or personal data into general logs.</w:t>
      </w:r>
    </w:p>
    <w:p>
      <w:pPr>
        <w:pStyle w:val="ListBullet"/>
        <w:spacing w:after="30"/>
      </w:pPr>
      <w:r>
        <w:t>Provide incident response and revocation procedures for lost devices or staff departures.</w:t>
      </w:r>
    </w:p>
    <w:p>
      <w:pPr>
        <w:pStyle w:val="ListBullet"/>
        <w:spacing w:after="30"/>
      </w:pPr>
      <w:r>
        <w:t>For offline mobile use, encrypt local cache, limit cached sensitive documents, expire sessions and synchronise with conflict detection.</w:t>
      </w:r>
    </w:p>
    <w:p>
      <w:pPr>
        <w:pStyle w:val="Heading1"/>
      </w:pPr>
      <w:r>
        <w:t>14. Reliability, offline and performance requirements</w:t>
      </w:r>
    </w:p>
    <w:p>
      <w:pPr>
        <w:pStyle w:val="ListBullet"/>
        <w:spacing w:after="30"/>
      </w:pPr>
      <w:r>
        <w:t>The gate/QC mobile experience must be usable on the actual factory network and device conditions observed during discovery.</w:t>
      </w:r>
    </w:p>
    <w:p>
      <w:pPr>
        <w:pStyle w:val="ListBullet"/>
        <w:spacing w:after="30"/>
      </w:pPr>
      <w:r>
        <w:t>If offline support is enabled, every queued event gets a client-generated unique ID and device timestamp; the server acknowledges sync. Duplicate retries must not create duplicate inward/QC records.</w:t>
      </w:r>
    </w:p>
    <w:p>
      <w:pPr>
        <w:pStyle w:val="ListBullet"/>
        <w:spacing w:after="30"/>
      </w:pPr>
      <w:r>
        <w:t>Show unsynchronised data clearly. Never represent a locally queued event as centrally received until the server acknowledges it.</w:t>
      </w:r>
    </w:p>
    <w:p>
      <w:pPr>
        <w:pStyle w:val="ListBullet"/>
        <w:spacing w:after="30"/>
      </w:pPr>
      <w:r>
        <w:t>Resolve offline conflicts using explicit rules; do not use last-write-wins for QC decisions, approvals or signed-off financial/document records.</w:t>
      </w:r>
    </w:p>
    <w:p>
      <w:pPr>
        <w:pStyle w:val="ListBullet"/>
        <w:spacing w:after="30"/>
      </w:pPr>
      <w:r>
        <w:t>Use server timestamps for central receipt/publication/posting-confirmation events and retain device timestamps as separate evidence.</w:t>
      </w:r>
    </w:p>
    <w:p>
      <w:pPr>
        <w:pStyle w:val="ListBullet"/>
        <w:spacing w:after="30"/>
      </w:pPr>
      <w:r>
        <w:t>Provide clear loading, retry, empty, stale, error and permission-denied states.</w:t>
      </w:r>
    </w:p>
    <w:p>
      <w:pPr>
        <w:pStyle w:val="ListBullet"/>
        <w:spacing w:after="30"/>
      </w:pPr>
      <w:r>
        <w:t>Use pagination and search for large registers; do not load the entire invoice or document catalogue into the browser.</w:t>
      </w:r>
    </w:p>
    <w:p>
      <w:pPr>
        <w:pStyle w:val="ListBullet"/>
        <w:spacing w:after="30"/>
      </w:pPr>
      <w:r>
        <w:t>Performance targets must be agreed after expected user count, concurrent devices, file size, network and hosting are known. Define measurable p95 targets before UAT.</w:t>
      </w:r>
    </w:p>
    <w:p>
      <w:pPr>
        <w:pStyle w:val="ListBullet"/>
        <w:spacing w:after="30"/>
      </w:pPr>
      <w:r>
        <w:t>Monitor application errors, API latency, queue backlog, failed notifications, import failures and storage capacity.</w:t>
      </w:r>
    </w:p>
    <w:p>
      <w:pPr>
        <w:pStyle w:val="Heading1"/>
      </w:pPr>
      <w:r>
        <w:t>15. Testing strategy</w:t>
      </w:r>
    </w:p>
    <w:p>
      <w:pPr>
        <w:pStyle w:val="Heading2"/>
      </w:pPr>
      <w:r>
        <w:t>Test levels</w:t>
      </w:r>
    </w:p>
    <w:p>
      <w:pPr>
        <w:pStyle w:val="ListBullet"/>
        <w:spacing w:after="30"/>
      </w:pPr>
      <w:r>
        <w:t>Unit tests: weight calculation, quantity conversions, invoice arithmetic, duplicate keys, status transitions, KPI definitions and role checks.</w:t>
      </w:r>
    </w:p>
    <w:p>
      <w:pPr>
        <w:pStyle w:val="ListBullet"/>
        <w:spacing w:after="30"/>
      </w:pPr>
      <w:r>
        <w:t>Integration tests: Excel parser/mapping, file storage, notification service, authentication and import reconciliation.</w:t>
      </w:r>
    </w:p>
    <w:p>
      <w:pPr>
        <w:pStyle w:val="ListBullet"/>
        <w:spacing w:after="30"/>
      </w:pPr>
      <w:r>
        <w:t>Contract tests: each approved DataMan Excel report schema, required fields, report totals and schema-change handling.</w:t>
      </w:r>
    </w:p>
    <w:p>
      <w:pPr>
        <w:pStyle w:val="ListBullet"/>
        <w:spacing w:after="30"/>
      </w:pPr>
      <w:r>
        <w:t>Workflow tests: truck-to-QC-to-GRN packet; physical bundle dispatch/receipt; invoice matching; discrepancy resolution; DataMan posting confirmation import.</w:t>
      </w:r>
    </w:p>
    <w:p>
      <w:pPr>
        <w:pStyle w:val="ListBullet"/>
        <w:spacing w:after="30"/>
      </w:pPr>
      <w:r>
        <w:t>Security tests: cross-role access, direct object access, upload validation, session handling, export permissions and audit coverage.</w:t>
      </w:r>
    </w:p>
    <w:p>
      <w:pPr>
        <w:pStyle w:val="ListBullet"/>
        <w:spacing w:after="30"/>
      </w:pPr>
      <w:r>
        <w:t>Offline tests: queued events, retries, duplicate sync, conflicting QC updates, device clock skew and session expiry.</w:t>
      </w:r>
    </w:p>
    <w:p>
      <w:pPr>
        <w:pStyle w:val="ListBullet"/>
        <w:spacing w:after="30"/>
      </w:pPr>
      <w:r>
        <w:t>Usability tests: actual security, QC, stores, corporate AP and MD users on their real devices.</w:t>
      </w:r>
    </w:p>
    <w:p>
      <w:pPr>
        <w:pStyle w:val="ListBullet"/>
        <w:spacing w:after="30"/>
      </w:pPr>
      <w:r>
        <w:t>Reconciliation tests: imported counts/totals equal source reports; stale imports are labelled; missing rows do not imply posted/unposted status.</w:t>
      </w:r>
    </w:p>
    <w:p>
      <w:pPr>
        <w:pStyle w:val="ListBullet"/>
        <w:spacing w:after="30"/>
      </w:pPr>
      <w:r>
        <w:t>Recovery tests: restore database and documents from backup; verify references and checksums.</w:t>
      </w:r>
    </w:p>
    <w:p>
      <w:pPr>
        <w:pStyle w:val="ListBullet"/>
        <w:spacing w:after="30"/>
      </w:pPr>
      <w:r>
        <w:t>User acceptance testing (UAT): signed test scripts and named approvers before production rollout.</w:t>
      </w:r>
    </w:p>
    <w:p>
      <w:pPr>
        <w:pStyle w:val="Heading2"/>
      </w:pPr>
      <w:r>
        <w:t>Critical end-to-end acceptance scenarios</w:t>
      </w:r>
    </w:p>
    <w:p>
      <w:pPr>
        <w:pStyle w:val="ListNumber"/>
        <w:spacing w:after="30"/>
      </w:pPr>
      <w:r>
        <w:t>A truck arrives; security creates one inward ID; subsequent weighment, QC, GRN and documents all link to the same transaction.</w:t>
      </w:r>
    </w:p>
    <w:p>
      <w:pPr>
        <w:pStyle w:val="ListNumber"/>
        <w:spacing w:after="30"/>
      </w:pPr>
      <w:r>
        <w:t>QC rejects part of a load; accepted and rejected quantities remain separate, and the relevant exception is routed without silently changing supplier terms.</w:t>
      </w:r>
    </w:p>
    <w:p>
      <w:pPr>
        <w:pStyle w:val="ListNumber"/>
        <w:spacing w:after="30"/>
      </w:pPr>
      <w:r>
        <w:t>A GRN packet is published digitally; corporate can view authorised files immediately; the physical bundle remains marked as in transit until acknowledged.</w:t>
      </w:r>
    </w:p>
    <w:p>
      <w:pPr>
        <w:pStyle w:val="ListNumber"/>
        <w:spacing w:after="30"/>
      </w:pPr>
      <w:r>
        <w:t>The same Excel file is uploaded twice; the second import does not double-count transactions or financial totals.</w:t>
      </w:r>
    </w:p>
    <w:p>
      <w:pPr>
        <w:pStyle w:val="ListNumber"/>
        <w:spacing w:after="30"/>
      </w:pPr>
      <w:r>
        <w:t>An Excel column is renamed or removed; the import fails safely with a useful mapping error and does not corrupt current data.</w:t>
      </w:r>
    </w:p>
    <w:p>
      <w:pPr>
        <w:pStyle w:val="ListNumber"/>
        <w:spacing w:after="30"/>
      </w:pPr>
      <w:r>
        <w:t>An invoice quantity differs from accepted GRN quantity; bill status becomes exception, with compared values and assigned owner.</w:t>
      </w:r>
    </w:p>
    <w:p>
      <w:pPr>
        <w:pStyle w:val="ListNumber"/>
        <w:spacing w:after="30"/>
      </w:pPr>
      <w:r>
        <w:t>A bill is posted in DataMan but the latest voucher export has not yet arrived; the new platform does not claim posting is confirmed.</w:t>
      </w:r>
    </w:p>
    <w:p>
      <w:pPr>
        <w:pStyle w:val="ListNumber"/>
        <w:spacing w:after="30"/>
      </w:pPr>
      <w:r>
        <w:t>A later voucher export confirms the posting; the bill tracking record links to the voucher and records the import batch.</w:t>
      </w:r>
    </w:p>
    <w:p>
      <w:pPr>
        <w:pStyle w:val="ListNumber"/>
        <w:spacing w:after="30"/>
      </w:pPr>
      <w:r>
        <w:t>A user without finance permission attempts to view a restricted invoice or approve a bill; access is denied and audited.</w:t>
      </w:r>
    </w:p>
    <w:p>
      <w:pPr>
        <w:pStyle w:val="ListNumber"/>
        <w:spacing w:after="30"/>
      </w:pPr>
      <w:r>
        <w:t>An offline QC record syncs after connectivity returns; the record is not duplicated and its device/server timestamps remain distinguishable.</w:t>
      </w:r>
    </w:p>
    <w:p>
      <w:pPr>
        <w:pStyle w:val="ListNumber"/>
        <w:spacing w:after="30"/>
      </w:pPr>
      <w:r>
        <w:t>The MD opens a dashboard with a stale payables export; the card clearly displays the source as-of time and stale status.</w:t>
      </w:r>
    </w:p>
    <w:p>
      <w:pPr>
        <w:pStyle w:val="ListNumber"/>
        <w:spacing w:after="30"/>
      </w:pPr>
      <w:r>
        <w:t>A posted source row changes in a later export; the system preserves the prior snapshot and creates a reconciliation/change event.</w:t>
      </w:r>
    </w:p>
    <w:p>
      <w:pPr>
        <w:pStyle w:val="Heading1"/>
      </w:pPr>
      <w:r>
        <w:t>16. Acceptance criteria by phase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pPr>
              <w:spacing w:after="0"/>
            </w:pPr>
            <w:r/>
            <w:r>
              <w:rPr>
                <w:rFonts w:ascii="Aptos" w:hAnsi="Aptos"/>
                <w:b/>
                <w:color w:val="FFFFFF"/>
                <w:sz w:val="16"/>
              </w:rPr>
              <w:t>Phase</w:t>
            </w:r>
          </w:p>
        </w:tc>
        <w:tc>
          <w:tcPr>
            <w:tcW w:type="dxa" w:w="5083"/>
            <w:vAlign w:val="center"/>
            <w:shd w:fill="17324D"/>
          </w:tcPr>
          <w:p>
            <w:pPr>
              <w:spacing w:after="0"/>
            </w:pPr>
            <w:r/>
            <w:r>
              <w:rPr>
                <w:rFonts w:ascii="Aptos" w:hAnsi="Aptos"/>
                <w:b/>
                <w:color w:val="FFFFFF"/>
                <w:sz w:val="16"/>
              </w:rPr>
              <w:t>Minimum acceptance criteria</w:t>
            </w:r>
          </w:p>
        </w:tc>
      </w:tr>
      <w:tr>
        <w:tc>
          <w:tcPr>
            <w:tcW w:type="dxa" w:w="5083"/>
            <w:vAlign w:val="center"/>
          </w:tcPr>
          <w:p>
            <w:pPr>
              <w:spacing w:after="0"/>
            </w:pPr>
            <w:r/>
            <w:r>
              <w:rPr>
                <w:rFonts w:ascii="Aptos" w:hAnsi="Aptos"/>
                <w:b w:val="0"/>
                <w:sz w:val="15"/>
              </w:rPr>
              <w:t>Discovery</w:t>
            </w:r>
          </w:p>
        </w:tc>
        <w:tc>
          <w:tcPr>
            <w:tcW w:type="dxa" w:w="5083"/>
            <w:vAlign w:val="center"/>
          </w:tcPr>
          <w:p>
            <w:pPr>
              <w:spacing w:after="0"/>
            </w:pPr>
            <w:r/>
            <w:r>
              <w:rPr>
                <w:rFonts w:ascii="Aptos" w:hAnsi="Aptos"/>
                <w:b w:val="0"/>
                <w:sz w:val="15"/>
              </w:rPr>
              <w:t>Current-state process maps signed off by factory and corporate owners; anonymised sample exports obtained; DataMan report semantics documented; roles/approvals and source-of-truth boundaries approved.</w:t>
            </w:r>
          </w:p>
        </w:tc>
      </w:tr>
      <w:tr>
        <w:tc>
          <w:tcPr>
            <w:tcW w:type="dxa" w:w="5083"/>
            <w:vAlign w:val="center"/>
          </w:tcPr>
          <w:p>
            <w:pPr>
              <w:spacing w:after="0"/>
            </w:pPr>
            <w:r/>
            <w:r>
              <w:rPr>
                <w:rFonts w:ascii="Aptos" w:hAnsi="Aptos"/>
                <w:b w:val="0"/>
                <w:sz w:val="15"/>
              </w:rPr>
              <w:t>Phase 1</w:t>
            </w:r>
          </w:p>
        </w:tc>
        <w:tc>
          <w:tcPr>
            <w:tcW w:type="dxa" w:w="5083"/>
            <w:vAlign w:val="center"/>
          </w:tcPr>
          <w:p>
            <w:pPr>
              <w:spacing w:after="0"/>
            </w:pPr>
            <w:r/>
            <w:r>
              <w:rPr>
                <w:rFonts w:ascii="Aptos" w:hAnsi="Aptos"/>
                <w:b w:val="0"/>
                <w:sz w:val="15"/>
              </w:rPr>
              <w:t>A real pilot delivery can be captured from gate to QC/GRN packet; documents are linked and access-controlled; corporate publication timestamp is recorded; original-paper journey is tracked; audit history is searchable.</w:t>
            </w:r>
          </w:p>
        </w:tc>
      </w:tr>
      <w:tr>
        <w:tc>
          <w:tcPr>
            <w:tcW w:type="dxa" w:w="5083"/>
            <w:vAlign w:val="center"/>
          </w:tcPr>
          <w:p>
            <w:pPr>
              <w:spacing w:after="0"/>
            </w:pPr>
            <w:r/>
            <w:r>
              <w:rPr>
                <w:rFonts w:ascii="Aptos" w:hAnsi="Aptos"/>
                <w:b w:val="0"/>
                <w:sz w:val="15"/>
              </w:rPr>
              <w:t>Phase 2</w:t>
            </w:r>
          </w:p>
        </w:tc>
        <w:tc>
          <w:tcPr>
            <w:tcW w:type="dxa" w:w="5083"/>
            <w:vAlign w:val="center"/>
          </w:tcPr>
          <w:p>
            <w:pPr>
              <w:spacing w:after="0"/>
            </w:pPr>
            <w:r/>
            <w:r>
              <w:rPr>
                <w:rFonts w:ascii="Aptos" w:hAnsi="Aptos"/>
                <w:b w:val="0"/>
                <w:sz w:val="15"/>
              </w:rPr>
              <w:t>Approved Excel reports import with row-level validation, idempotent re-import, mapping version, totals reconciliation and last-refresh status; bill matching shows field-level differences; official posting is confirmed only from reliable evidence.</w:t>
            </w:r>
          </w:p>
        </w:tc>
      </w:tr>
      <w:tr>
        <w:tc>
          <w:tcPr>
            <w:tcW w:type="dxa" w:w="5083"/>
            <w:vAlign w:val="center"/>
          </w:tcPr>
          <w:p>
            <w:pPr>
              <w:spacing w:after="0"/>
            </w:pPr>
            <w:r/>
            <w:r>
              <w:rPr>
                <w:rFonts w:ascii="Aptos" w:hAnsi="Aptos"/>
                <w:b w:val="0"/>
                <w:sz w:val="15"/>
              </w:rPr>
              <w:t>Phase 3</w:t>
            </w:r>
          </w:p>
        </w:tc>
        <w:tc>
          <w:tcPr>
            <w:tcW w:type="dxa" w:w="5083"/>
            <w:vAlign w:val="center"/>
          </w:tcPr>
          <w:p>
            <w:pPr>
              <w:spacing w:after="0"/>
            </w:pPr>
            <w:r/>
            <w:r>
              <w:rPr>
                <w:rFonts w:ascii="Aptos" w:hAnsi="Aptos"/>
                <w:b w:val="0"/>
                <w:sz w:val="15"/>
              </w:rPr>
              <w:t>Stock and procurement views reconcile to defined source reports; operational movements are clearly distinguished from DataMan balances; no duplicate accounting ledger is created.</w:t>
            </w:r>
          </w:p>
        </w:tc>
      </w:tr>
      <w:tr>
        <w:tc>
          <w:tcPr>
            <w:tcW w:type="dxa" w:w="5083"/>
            <w:vAlign w:val="center"/>
          </w:tcPr>
          <w:p>
            <w:pPr>
              <w:spacing w:after="0"/>
            </w:pPr>
            <w:r/>
            <w:r>
              <w:rPr>
                <w:rFonts w:ascii="Aptos" w:hAnsi="Aptos"/>
                <w:b w:val="0"/>
                <w:sz w:val="15"/>
              </w:rPr>
              <w:t>Phase 4</w:t>
            </w:r>
          </w:p>
        </w:tc>
        <w:tc>
          <w:tcPr>
            <w:tcW w:type="dxa" w:w="5083"/>
            <w:vAlign w:val="center"/>
          </w:tcPr>
          <w:p>
            <w:pPr>
              <w:spacing w:after="0"/>
            </w:pPr>
            <w:r/>
            <w:r>
              <w:rPr>
                <w:rFonts w:ascii="Aptos" w:hAnsi="Aptos"/>
                <w:b w:val="0"/>
                <w:sz w:val="15"/>
              </w:rPr>
              <w:t>Production metrics have signed definitions and source lineage; manual versus sensor/imported data is labelled; downtime and output can be drilled down to source records.</w:t>
            </w:r>
          </w:p>
        </w:tc>
      </w:tr>
      <w:tr>
        <w:tc>
          <w:tcPr>
            <w:tcW w:type="dxa" w:w="5083"/>
            <w:vAlign w:val="center"/>
          </w:tcPr>
          <w:p>
            <w:pPr>
              <w:spacing w:after="0"/>
            </w:pPr>
            <w:r/>
            <w:r>
              <w:rPr>
                <w:rFonts w:ascii="Aptos" w:hAnsi="Aptos"/>
                <w:b w:val="0"/>
                <w:sz w:val="15"/>
              </w:rPr>
              <w:t>Phase 5</w:t>
            </w:r>
          </w:p>
        </w:tc>
        <w:tc>
          <w:tcPr>
            <w:tcW w:type="dxa" w:w="5083"/>
            <w:vAlign w:val="center"/>
          </w:tcPr>
          <w:p>
            <w:pPr>
              <w:spacing w:after="0"/>
            </w:pPr>
            <w:r/>
            <w:r>
              <w:rPr>
                <w:rFonts w:ascii="Aptos" w:hAnsi="Aptos"/>
                <w:b w:val="0"/>
                <w:sz w:val="15"/>
              </w:rPr>
              <w:t>Maintenance, sales and dispatch states are traceable; imported invoice/receivable/payment statuses reconcile to source data.</w:t>
            </w:r>
          </w:p>
        </w:tc>
      </w:tr>
      <w:tr>
        <w:tc>
          <w:tcPr>
            <w:tcW w:type="dxa" w:w="5083"/>
            <w:vAlign w:val="center"/>
          </w:tcPr>
          <w:p>
            <w:pPr>
              <w:spacing w:after="0"/>
            </w:pPr>
            <w:r/>
            <w:r>
              <w:rPr>
                <w:rFonts w:ascii="Aptos" w:hAnsi="Aptos"/>
                <w:b w:val="0"/>
                <w:sz w:val="15"/>
              </w:rPr>
              <w:t>MD analytics</w:t>
            </w:r>
          </w:p>
        </w:tc>
        <w:tc>
          <w:tcPr>
            <w:tcW w:type="dxa" w:w="5083"/>
            <w:vAlign w:val="center"/>
          </w:tcPr>
          <w:p>
            <w:pPr>
              <w:spacing w:after="0"/>
            </w:pPr>
            <w:r/>
            <w:r>
              <w:rPr>
                <w:rFonts w:ascii="Aptos" w:hAnsi="Aptos"/>
                <w:b w:val="0"/>
                <w:sz w:val="15"/>
              </w:rPr>
              <w:t>Every KPI has definition, unit, period, source, freshness timestamp and drill-down; critical cards reconcile to source reports; no demo data appears in production.</w:t>
            </w:r>
          </w:p>
        </w:tc>
      </w:tr>
      <w:tr>
        <w:tc>
          <w:tcPr>
            <w:tcW w:type="dxa" w:w="5083"/>
            <w:vAlign w:val="center"/>
          </w:tcPr>
          <w:p>
            <w:pPr>
              <w:spacing w:after="0"/>
            </w:pPr>
            <w:r/>
            <w:r>
              <w:rPr>
                <w:rFonts w:ascii="Aptos" w:hAnsi="Aptos"/>
                <w:b w:val="0"/>
                <w:sz w:val="15"/>
              </w:rPr>
              <w:t>Security</w:t>
            </w:r>
          </w:p>
        </w:tc>
        <w:tc>
          <w:tcPr>
            <w:tcW w:type="dxa" w:w="5083"/>
            <w:vAlign w:val="center"/>
          </w:tcPr>
          <w:p>
            <w:pPr>
              <w:spacing w:after="0"/>
            </w:pPr>
            <w:r/>
            <w:r>
              <w:rPr>
                <w:rFonts w:ascii="Aptos" w:hAnsi="Aptos"/>
                <w:b w:val="0"/>
                <w:sz w:val="15"/>
              </w:rPr>
              <w:t>Role tests, audit tests, backup restore, document access controls and vulnerability checks pass; unresolved critical/high security findings block release.</w:t>
            </w:r>
          </w:p>
        </w:tc>
      </w:tr>
      <w:tr>
        <w:tc>
          <w:tcPr>
            <w:tcW w:type="dxa" w:w="5083"/>
            <w:vAlign w:val="center"/>
          </w:tcPr>
          <w:p>
            <w:pPr>
              <w:spacing w:after="0"/>
            </w:pPr>
            <w:r/>
            <w:r>
              <w:rPr>
                <w:rFonts w:ascii="Aptos" w:hAnsi="Aptos"/>
                <w:b w:val="0"/>
                <w:sz w:val="15"/>
              </w:rPr>
              <w:t>UAT</w:t>
            </w:r>
          </w:p>
        </w:tc>
        <w:tc>
          <w:tcPr>
            <w:tcW w:type="dxa" w:w="5083"/>
            <w:vAlign w:val="center"/>
          </w:tcPr>
          <w:p>
            <w:pPr>
              <w:spacing w:after="0"/>
            </w:pPr>
            <w:r/>
            <w:r>
              <w:rPr>
                <w:rFonts w:ascii="Aptos" w:hAnsi="Aptos"/>
                <w:b w:val="0"/>
                <w:sz w:val="15"/>
              </w:rPr>
              <w:t>Named users sign off each SOP and exception path; open critical defects are zero; training and support process are ready.</w:t>
            </w:r>
          </w:p>
        </w:tc>
      </w:tr>
    </w:tbl>
    <w:p/>
    <w:p>
      <w:pPr>
        <w:pStyle w:val="Heading1"/>
      </w:pPr>
      <w:r>
        <w:t>17. Rollout, training and change management</w:t>
      </w:r>
    </w:p>
    <w:p>
      <w:pPr>
        <w:pStyle w:val="ListNumber"/>
        <w:spacing w:after="30"/>
      </w:pPr>
      <w:r>
        <w:t>Appoint one executive sponsor, one factory process owner, one corporate finance owner, one DataMan/Excel integration owner and one application product owner.</w:t>
      </w:r>
    </w:p>
    <w:p>
      <w:pPr>
        <w:pStyle w:val="ListNumber"/>
        <w:spacing w:after="30"/>
      </w:pPr>
      <w:r>
        <w:t>Observe a complete raw-material truck transaction from gate arrival through corporate posting. Record real forms, signatures, exceptions, timestamps and workarounds.</w:t>
      </w:r>
    </w:p>
    <w:p>
      <w:pPr>
        <w:pStyle w:val="ListNumber"/>
        <w:spacing w:after="30"/>
      </w:pPr>
      <w:r>
        <w:t>Collect blank forms and anonymised sample exports. Do not design mappings from imagined columns.</w:t>
      </w:r>
    </w:p>
    <w:p>
      <w:pPr>
        <w:pStyle w:val="ListNumber"/>
        <w:spacing w:after="30"/>
      </w:pPr>
      <w:r>
        <w:t>Configure the workflow and permissions with named owners. Validate the document checklist and approval matrix with management.</w:t>
      </w:r>
    </w:p>
    <w:p>
      <w:pPr>
        <w:pStyle w:val="ListNumber"/>
        <w:spacing w:after="30"/>
      </w:pPr>
      <w:r>
        <w:t>Run a shadow pilot alongside the existing process. The current official procedure continues until the pilot is approved.</w:t>
      </w:r>
    </w:p>
    <w:p>
      <w:pPr>
        <w:pStyle w:val="ListNumber"/>
        <w:spacing w:after="30"/>
      </w:pPr>
      <w:r>
        <w:t>Compare system records to the physical register and DataMan exports every day during pilot. Investigate every mismatch.</w:t>
      </w:r>
    </w:p>
    <w:p>
      <w:pPr>
        <w:pStyle w:val="ListNumber"/>
        <w:spacing w:after="30"/>
      </w:pPr>
      <w:r>
        <w:t>Train by role using short, task-specific instructions; provide a one-page SOP at security, QC, stores and corporate accounts.</w:t>
      </w:r>
    </w:p>
    <w:p>
      <w:pPr>
        <w:pStyle w:val="ListNumber"/>
        <w:spacing w:after="30"/>
      </w:pPr>
      <w:r>
        <w:t>Set up support ownership, issue reporting, release notes and a rollback procedure.</w:t>
      </w:r>
    </w:p>
    <w:p>
      <w:pPr>
        <w:pStyle w:val="ListNumber"/>
        <w:spacing w:after="30"/>
      </w:pPr>
      <w:r>
        <w:t>Expand to more trucks/shifts only after acceptance criteria are met and the team confirms the new process does not disrupt unloading or bill posting.</w:t>
      </w:r>
    </w:p>
    <w:p>
      <w:pPr>
        <w:pStyle w:val="ListNumber"/>
        <w:spacing w:after="30"/>
      </w:pPr>
      <w:r>
        <w:t>After the first phase stabilises, add inventory, production, maintenance, sales and wider analytics in separate releases.</w:t>
      </w:r>
    </w:p>
    <w:p>
      <w:pPr>
        <w:pStyle w:val="Heading1"/>
      </w:pPr>
      <w:r>
        <w:t>18. Risks and mitigations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Risk</w:t>
            </w:r>
          </w:p>
        </w:tc>
        <w:tc>
          <w:tcPr>
            <w:tcW w:type="dxa" w:w="3389"/>
            <w:vAlign w:val="center"/>
            <w:shd w:fill="17324D"/>
          </w:tcPr>
          <w:p>
            <w:pPr>
              <w:spacing w:after="0"/>
            </w:pPr>
            <w:r/>
            <w:r>
              <w:rPr>
                <w:rFonts w:ascii="Aptos" w:hAnsi="Aptos"/>
                <w:b/>
                <w:color w:val="FFFFFF"/>
                <w:sz w:val="16"/>
              </w:rPr>
              <w:t>Impact</w:t>
            </w:r>
          </w:p>
        </w:tc>
        <w:tc>
          <w:tcPr>
            <w:tcW w:type="dxa" w:w="3389"/>
            <w:vAlign w:val="center"/>
            <w:shd w:fill="17324D"/>
          </w:tcPr>
          <w:p>
            <w:pPr>
              <w:spacing w:after="0"/>
            </w:pPr>
            <w:r/>
            <w:r>
              <w:rPr>
                <w:rFonts w:ascii="Aptos" w:hAnsi="Aptos"/>
                <w:b/>
                <w:color w:val="FFFFFF"/>
                <w:sz w:val="16"/>
              </w:rPr>
              <w:t>Mitigation</w:t>
            </w:r>
          </w:p>
        </w:tc>
      </w:tr>
      <w:tr>
        <w:tc>
          <w:tcPr>
            <w:tcW w:type="dxa" w:w="3389"/>
            <w:vAlign w:val="center"/>
          </w:tcPr>
          <w:p>
            <w:pPr>
              <w:spacing w:after="0"/>
            </w:pPr>
            <w:r/>
            <w:r>
              <w:rPr>
                <w:rFonts w:ascii="Aptos" w:hAnsi="Aptos"/>
                <w:b w:val="0"/>
                <w:sz w:val="15"/>
              </w:rPr>
              <w:t>Unknown Excel schemas</w:t>
            </w:r>
          </w:p>
        </w:tc>
        <w:tc>
          <w:tcPr>
            <w:tcW w:type="dxa" w:w="3389"/>
            <w:vAlign w:val="center"/>
          </w:tcPr>
          <w:p>
            <w:pPr>
              <w:spacing w:after="0"/>
            </w:pPr>
            <w:r/>
            <w:r>
              <w:rPr>
                <w:rFonts w:ascii="Aptos" w:hAnsi="Aptos"/>
                <w:b w:val="0"/>
                <w:sz w:val="15"/>
              </w:rPr>
              <w:t>Imports break or data maps incorrectly.</w:t>
            </w:r>
          </w:p>
        </w:tc>
        <w:tc>
          <w:tcPr>
            <w:tcW w:type="dxa" w:w="3389"/>
            <w:vAlign w:val="center"/>
          </w:tcPr>
          <w:p>
            <w:pPr>
              <w:spacing w:after="0"/>
            </w:pPr>
            <w:r/>
            <w:r>
              <w:rPr>
                <w:rFonts w:ascii="Aptos" w:hAnsi="Aptos"/>
                <w:b w:val="0"/>
                <w:sz w:val="15"/>
              </w:rPr>
              <w:t>Inspect real files; version mappings; dry-run validation; stop safely on schema drift.</w:t>
            </w:r>
          </w:p>
        </w:tc>
      </w:tr>
      <w:tr>
        <w:tc>
          <w:tcPr>
            <w:tcW w:type="dxa" w:w="3389"/>
            <w:vAlign w:val="center"/>
          </w:tcPr>
          <w:p>
            <w:pPr>
              <w:spacing w:after="0"/>
            </w:pPr>
            <w:r/>
            <w:r>
              <w:rPr>
                <w:rFonts w:ascii="Aptos" w:hAnsi="Aptos"/>
                <w:b w:val="0"/>
                <w:sz w:val="15"/>
              </w:rPr>
              <w:t>Excel exports are delayed</w:t>
            </w:r>
          </w:p>
        </w:tc>
        <w:tc>
          <w:tcPr>
            <w:tcW w:type="dxa" w:w="3389"/>
            <w:vAlign w:val="center"/>
          </w:tcPr>
          <w:p>
            <w:pPr>
              <w:spacing w:after="0"/>
            </w:pPr>
            <w:r/>
            <w:r>
              <w:rPr>
                <w:rFonts w:ascii="Aptos" w:hAnsi="Aptos"/>
                <w:b w:val="0"/>
                <w:sz w:val="15"/>
              </w:rPr>
              <w:t>Dashboard appears old.</w:t>
            </w:r>
          </w:p>
        </w:tc>
        <w:tc>
          <w:tcPr>
            <w:tcW w:type="dxa" w:w="3389"/>
            <w:vAlign w:val="center"/>
          </w:tcPr>
          <w:p>
            <w:pPr>
              <w:spacing w:after="0"/>
            </w:pPr>
            <w:r/>
            <w:r>
              <w:rPr>
                <w:rFonts w:ascii="Aptos" w:hAnsi="Aptos"/>
                <w:b w:val="0"/>
                <w:sz w:val="15"/>
              </w:rPr>
              <w:t>Freshness labels, owner/cadence, stale alerts and documented fallback.</w:t>
            </w:r>
          </w:p>
        </w:tc>
      </w:tr>
      <w:tr>
        <w:tc>
          <w:tcPr>
            <w:tcW w:type="dxa" w:w="3389"/>
            <w:vAlign w:val="center"/>
          </w:tcPr>
          <w:p>
            <w:pPr>
              <w:spacing w:after="0"/>
            </w:pPr>
            <w:r/>
            <w:r>
              <w:rPr>
                <w:rFonts w:ascii="Aptos" w:hAnsi="Aptos"/>
                <w:b w:val="0"/>
                <w:sz w:val="15"/>
              </w:rPr>
              <w:t>Unclear source of truth</w:t>
            </w:r>
          </w:p>
        </w:tc>
        <w:tc>
          <w:tcPr>
            <w:tcW w:type="dxa" w:w="3389"/>
            <w:vAlign w:val="center"/>
          </w:tcPr>
          <w:p>
            <w:pPr>
              <w:spacing w:after="0"/>
            </w:pPr>
            <w:r/>
            <w:r>
              <w:rPr>
                <w:rFonts w:ascii="Aptos" w:hAnsi="Aptos"/>
                <w:b w:val="0"/>
                <w:sz w:val="15"/>
              </w:rPr>
              <w:t>Conflicting GRN/bill states.</w:t>
            </w:r>
          </w:p>
        </w:tc>
        <w:tc>
          <w:tcPr>
            <w:tcW w:type="dxa" w:w="3389"/>
            <w:vAlign w:val="center"/>
          </w:tcPr>
          <w:p>
            <w:pPr>
              <w:spacing w:after="0"/>
            </w:pPr>
            <w:r/>
            <w:r>
              <w:rPr>
                <w:rFonts w:ascii="Aptos" w:hAnsi="Aptos"/>
                <w:b w:val="0"/>
                <w:sz w:val="15"/>
              </w:rPr>
              <w:t>Signed source-of-truth matrix; distinguish operational status from official accounting status.</w:t>
            </w:r>
          </w:p>
        </w:tc>
      </w:tr>
      <w:tr>
        <w:tc>
          <w:tcPr>
            <w:tcW w:type="dxa" w:w="3389"/>
            <w:vAlign w:val="center"/>
          </w:tcPr>
          <w:p>
            <w:pPr>
              <w:spacing w:after="0"/>
            </w:pPr>
            <w:r/>
            <w:r>
              <w:rPr>
                <w:rFonts w:ascii="Aptos" w:hAnsi="Aptos"/>
                <w:b w:val="0"/>
                <w:sz w:val="15"/>
              </w:rPr>
              <w:t>Incorrect OCR extraction</w:t>
            </w:r>
          </w:p>
        </w:tc>
        <w:tc>
          <w:tcPr>
            <w:tcW w:type="dxa" w:w="3389"/>
            <w:vAlign w:val="center"/>
          </w:tcPr>
          <w:p>
            <w:pPr>
              <w:spacing w:after="0"/>
            </w:pPr>
            <w:r/>
            <w:r>
              <w:rPr>
                <w:rFonts w:ascii="Aptos" w:hAnsi="Aptos"/>
                <w:b w:val="0"/>
                <w:sz w:val="15"/>
              </w:rPr>
              <w:t>Wrong invoice number/value.</w:t>
            </w:r>
          </w:p>
        </w:tc>
        <w:tc>
          <w:tcPr>
            <w:tcW w:type="dxa" w:w="3389"/>
            <w:vAlign w:val="center"/>
          </w:tcPr>
          <w:p>
            <w:pPr>
              <w:spacing w:after="0"/>
            </w:pPr>
            <w:r/>
            <w:r>
              <w:rPr>
                <w:rFonts w:ascii="Aptos" w:hAnsi="Aptos"/>
                <w:b w:val="0"/>
                <w:sz w:val="15"/>
              </w:rPr>
              <w:t>Show OCR confidence, retain original image, require human validation for critical fields.</w:t>
            </w:r>
          </w:p>
        </w:tc>
      </w:tr>
      <w:tr>
        <w:tc>
          <w:tcPr>
            <w:tcW w:type="dxa" w:w="3389"/>
            <w:vAlign w:val="center"/>
          </w:tcPr>
          <w:p>
            <w:pPr>
              <w:spacing w:after="0"/>
            </w:pPr>
            <w:r/>
            <w:r>
              <w:rPr>
                <w:rFonts w:ascii="Aptos" w:hAnsi="Aptos"/>
                <w:b w:val="0"/>
                <w:sz w:val="15"/>
              </w:rPr>
              <w:t>Duplicate data entry</w:t>
            </w:r>
          </w:p>
        </w:tc>
        <w:tc>
          <w:tcPr>
            <w:tcW w:type="dxa" w:w="3389"/>
            <w:vAlign w:val="center"/>
          </w:tcPr>
          <w:p>
            <w:pPr>
              <w:spacing w:after="0"/>
            </w:pPr>
            <w:r/>
            <w:r>
              <w:rPr>
                <w:rFonts w:ascii="Aptos" w:hAnsi="Aptos"/>
                <w:b w:val="0"/>
                <w:sz w:val="15"/>
              </w:rPr>
              <w:t>Totals double-counted.</w:t>
            </w:r>
          </w:p>
        </w:tc>
        <w:tc>
          <w:tcPr>
            <w:tcW w:type="dxa" w:w="3389"/>
            <w:vAlign w:val="center"/>
          </w:tcPr>
          <w:p>
            <w:pPr>
              <w:spacing w:after="0"/>
            </w:pPr>
            <w:r/>
            <w:r>
              <w:rPr>
                <w:rFonts w:ascii="Aptos" w:hAnsi="Aptos"/>
                <w:b w:val="0"/>
                <w:sz w:val="15"/>
              </w:rPr>
              <w:t>Stable IDs, idempotency, row hashes, import batch history and reconciliation.</w:t>
            </w:r>
          </w:p>
        </w:tc>
      </w:tr>
      <w:tr>
        <w:tc>
          <w:tcPr>
            <w:tcW w:type="dxa" w:w="3389"/>
            <w:vAlign w:val="center"/>
          </w:tcPr>
          <w:p>
            <w:pPr>
              <w:spacing w:after="0"/>
            </w:pPr>
            <w:r/>
            <w:r>
              <w:rPr>
                <w:rFonts w:ascii="Aptos" w:hAnsi="Aptos"/>
                <w:b w:val="0"/>
                <w:sz w:val="15"/>
              </w:rPr>
              <w:t>Digital file mistaken for legally sufficient original</w:t>
            </w:r>
          </w:p>
        </w:tc>
        <w:tc>
          <w:tcPr>
            <w:tcW w:type="dxa" w:w="3389"/>
            <w:vAlign w:val="center"/>
          </w:tcPr>
          <w:p>
            <w:pPr>
              <w:spacing w:after="0"/>
            </w:pPr>
            <w:r/>
            <w:r>
              <w:rPr>
                <w:rFonts w:ascii="Aptos" w:hAnsi="Aptos"/>
                <w:b w:val="0"/>
                <w:sz w:val="15"/>
              </w:rPr>
              <w:t>Compliance/audit exposure.</w:t>
            </w:r>
          </w:p>
        </w:tc>
        <w:tc>
          <w:tcPr>
            <w:tcW w:type="dxa" w:w="3389"/>
            <w:vAlign w:val="center"/>
          </w:tcPr>
          <w:p>
            <w:pPr>
              <w:spacing w:after="0"/>
            </w:pPr>
            <w:r/>
            <w:r>
              <w:rPr>
                <w:rFonts w:ascii="Aptos" w:hAnsi="Aptos"/>
                <w:b w:val="0"/>
                <w:sz w:val="15"/>
              </w:rPr>
              <w:t>Finance/legal confirmation of originals, signatures and retention requirements.</w:t>
            </w:r>
          </w:p>
        </w:tc>
      </w:tr>
      <w:tr>
        <w:tc>
          <w:tcPr>
            <w:tcW w:type="dxa" w:w="3389"/>
            <w:vAlign w:val="center"/>
          </w:tcPr>
          <w:p>
            <w:pPr>
              <w:spacing w:after="0"/>
            </w:pPr>
            <w:r/>
            <w:r>
              <w:rPr>
                <w:rFonts w:ascii="Aptos" w:hAnsi="Aptos"/>
                <w:b w:val="0"/>
                <w:sz w:val="15"/>
              </w:rPr>
              <w:t>Users bypass the system</w:t>
            </w:r>
          </w:p>
        </w:tc>
        <w:tc>
          <w:tcPr>
            <w:tcW w:type="dxa" w:w="3389"/>
            <w:vAlign w:val="center"/>
          </w:tcPr>
          <w:p>
            <w:pPr>
              <w:spacing w:after="0"/>
            </w:pPr>
            <w:r/>
            <w:r>
              <w:rPr>
                <w:rFonts w:ascii="Aptos" w:hAnsi="Aptos"/>
                <w:b w:val="0"/>
                <w:sz w:val="15"/>
              </w:rPr>
              <w:t>Incomplete operational timeline.</w:t>
            </w:r>
          </w:p>
        </w:tc>
        <w:tc>
          <w:tcPr>
            <w:tcW w:type="dxa" w:w="3389"/>
            <w:vAlign w:val="center"/>
          </w:tcPr>
          <w:p>
            <w:pPr>
              <w:spacing w:after="0"/>
            </w:pPr>
            <w:r/>
            <w:r>
              <w:rPr>
                <w:rFonts w:ascii="Aptos" w:hAnsi="Aptos"/>
                <w:b w:val="0"/>
                <w:sz w:val="15"/>
              </w:rPr>
              <w:t>Simple mobile UX, manager visibility, training and phased adoption; avoid unnecessary duplicate fields.</w:t>
            </w:r>
          </w:p>
        </w:tc>
      </w:tr>
      <w:tr>
        <w:tc>
          <w:tcPr>
            <w:tcW w:type="dxa" w:w="3389"/>
            <w:vAlign w:val="center"/>
          </w:tcPr>
          <w:p>
            <w:pPr>
              <w:spacing w:after="0"/>
            </w:pPr>
            <w:r/>
            <w:r>
              <w:rPr>
                <w:rFonts w:ascii="Aptos" w:hAnsi="Aptos"/>
                <w:b w:val="0"/>
                <w:sz w:val="15"/>
              </w:rPr>
              <w:t>Poor connectivity at unloading</w:t>
            </w:r>
          </w:p>
        </w:tc>
        <w:tc>
          <w:tcPr>
            <w:tcW w:type="dxa" w:w="3389"/>
            <w:vAlign w:val="center"/>
          </w:tcPr>
          <w:p>
            <w:pPr>
              <w:spacing w:after="0"/>
            </w:pPr>
            <w:r/>
            <w:r>
              <w:rPr>
                <w:rFonts w:ascii="Aptos" w:hAnsi="Aptos"/>
                <w:b w:val="0"/>
                <w:sz w:val="15"/>
              </w:rPr>
              <w:t>Lost/delayed records.</w:t>
            </w:r>
          </w:p>
        </w:tc>
        <w:tc>
          <w:tcPr>
            <w:tcW w:type="dxa" w:w="3389"/>
            <w:vAlign w:val="center"/>
          </w:tcPr>
          <w:p>
            <w:pPr>
              <w:spacing w:after="0"/>
            </w:pPr>
            <w:r/>
            <w:r>
              <w:rPr>
                <w:rFonts w:ascii="Aptos" w:hAnsi="Aptos"/>
                <w:b w:val="0"/>
                <w:sz w:val="15"/>
              </w:rPr>
              <w:t>Connectivity test; offline queue if needed; clear sync state.</w:t>
            </w:r>
          </w:p>
        </w:tc>
      </w:tr>
      <w:tr>
        <w:tc>
          <w:tcPr>
            <w:tcW w:type="dxa" w:w="3389"/>
            <w:vAlign w:val="center"/>
          </w:tcPr>
          <w:p>
            <w:pPr>
              <w:spacing w:after="0"/>
            </w:pPr>
            <w:r/>
            <w:r>
              <w:rPr>
                <w:rFonts w:ascii="Aptos" w:hAnsi="Aptos"/>
                <w:b w:val="0"/>
                <w:sz w:val="15"/>
              </w:rPr>
              <w:t>Unauthorized access to bills</w:t>
            </w:r>
          </w:p>
        </w:tc>
        <w:tc>
          <w:tcPr>
            <w:tcW w:type="dxa" w:w="3389"/>
            <w:vAlign w:val="center"/>
          </w:tcPr>
          <w:p>
            <w:pPr>
              <w:spacing w:after="0"/>
            </w:pPr>
            <w:r/>
            <w:r>
              <w:rPr>
                <w:rFonts w:ascii="Aptos" w:hAnsi="Aptos"/>
                <w:b w:val="0"/>
                <w:sz w:val="15"/>
              </w:rPr>
              <w:t>Commercial/privacy exposure.</w:t>
            </w:r>
          </w:p>
        </w:tc>
        <w:tc>
          <w:tcPr>
            <w:tcW w:type="dxa" w:w="3389"/>
            <w:vAlign w:val="center"/>
          </w:tcPr>
          <w:p>
            <w:pPr>
              <w:spacing w:after="0"/>
            </w:pPr>
            <w:r/>
            <w:r>
              <w:rPr>
                <w:rFonts w:ascii="Aptos" w:hAnsi="Aptos"/>
                <w:b w:val="0"/>
                <w:sz w:val="15"/>
              </w:rPr>
              <w:t>Least privilege, secure file links, audit downloads, access reviews.</w:t>
            </w:r>
          </w:p>
        </w:tc>
      </w:tr>
      <w:tr>
        <w:tc>
          <w:tcPr>
            <w:tcW w:type="dxa" w:w="3389"/>
            <w:vAlign w:val="center"/>
          </w:tcPr>
          <w:p>
            <w:pPr>
              <w:spacing w:after="0"/>
            </w:pPr>
            <w:r/>
            <w:r>
              <w:rPr>
                <w:rFonts w:ascii="Aptos" w:hAnsi="Aptos"/>
                <w:b w:val="0"/>
                <w:sz w:val="15"/>
              </w:rPr>
              <w:t>Scope expands too quickly</w:t>
            </w:r>
          </w:p>
        </w:tc>
        <w:tc>
          <w:tcPr>
            <w:tcW w:type="dxa" w:w="3389"/>
            <w:vAlign w:val="center"/>
          </w:tcPr>
          <w:p>
            <w:pPr>
              <w:spacing w:after="0"/>
            </w:pPr>
            <w:r/>
            <w:r>
              <w:rPr>
                <w:rFonts w:ascii="Aptos" w:hAnsi="Aptos"/>
                <w:b w:val="0"/>
                <w:sz w:val="15"/>
              </w:rPr>
              <w:t>Pilot never stabilises.</w:t>
            </w:r>
          </w:p>
        </w:tc>
        <w:tc>
          <w:tcPr>
            <w:tcW w:type="dxa" w:w="3389"/>
            <w:vAlign w:val="center"/>
          </w:tcPr>
          <w:p>
            <w:pPr>
              <w:spacing w:after="0"/>
            </w:pPr>
            <w:r/>
            <w:r>
              <w:rPr>
                <w:rFonts w:ascii="Aptos" w:hAnsi="Aptos"/>
                <w:b w:val="0"/>
                <w:sz w:val="15"/>
              </w:rPr>
              <w:t>Phase gates, named product owner, acceptance criteria and change control.</w:t>
            </w:r>
          </w:p>
        </w:tc>
      </w:tr>
      <w:tr>
        <w:tc>
          <w:tcPr>
            <w:tcW w:type="dxa" w:w="3389"/>
            <w:vAlign w:val="center"/>
          </w:tcPr>
          <w:p>
            <w:pPr>
              <w:spacing w:after="0"/>
            </w:pPr>
            <w:r/>
            <w:r>
              <w:rPr>
                <w:rFonts w:ascii="Aptos" w:hAnsi="Aptos"/>
                <w:b w:val="0"/>
                <w:sz w:val="15"/>
              </w:rPr>
              <w:t>Dashboard presents stale data as live</w:t>
            </w:r>
          </w:p>
        </w:tc>
        <w:tc>
          <w:tcPr>
            <w:tcW w:type="dxa" w:w="3389"/>
            <w:vAlign w:val="center"/>
          </w:tcPr>
          <w:p>
            <w:pPr>
              <w:spacing w:after="0"/>
            </w:pPr>
            <w:r/>
            <w:r>
              <w:rPr>
                <w:rFonts w:ascii="Aptos" w:hAnsi="Aptos"/>
                <w:b w:val="0"/>
                <w:sz w:val="15"/>
              </w:rPr>
              <w:t>Bad executive decisions.</w:t>
            </w:r>
          </w:p>
        </w:tc>
        <w:tc>
          <w:tcPr>
            <w:tcW w:type="dxa" w:w="3389"/>
            <w:vAlign w:val="center"/>
          </w:tcPr>
          <w:p>
            <w:pPr>
              <w:spacing w:after="0"/>
            </w:pPr>
            <w:r/>
            <w:r>
              <w:rPr>
                <w:rFonts w:ascii="Aptos" w:hAnsi="Aptos"/>
                <w:b w:val="0"/>
                <w:sz w:val="15"/>
              </w:rPr>
              <w:t>Per-dataset freshness, last-import timestamps, source labels and stale-state tests.</w:t>
            </w:r>
          </w:p>
        </w:tc>
      </w:tr>
      <w:tr>
        <w:tc>
          <w:tcPr>
            <w:tcW w:type="dxa" w:w="3389"/>
            <w:vAlign w:val="center"/>
          </w:tcPr>
          <w:p>
            <w:pPr>
              <w:spacing w:after="0"/>
            </w:pPr>
            <w:r/>
            <w:r>
              <w:rPr>
                <w:rFonts w:ascii="Aptos" w:hAnsi="Aptos"/>
                <w:b w:val="0"/>
                <w:sz w:val="15"/>
              </w:rPr>
              <w:t>Unapproved automatic approvals</w:t>
            </w:r>
          </w:p>
        </w:tc>
        <w:tc>
          <w:tcPr>
            <w:tcW w:type="dxa" w:w="3389"/>
            <w:vAlign w:val="center"/>
          </w:tcPr>
          <w:p>
            <w:pPr>
              <w:spacing w:after="0"/>
            </w:pPr>
            <w:r/>
            <w:r>
              <w:rPr>
                <w:rFonts w:ascii="Aptos" w:hAnsi="Aptos"/>
                <w:b w:val="0"/>
                <w:sz w:val="15"/>
              </w:rPr>
              <w:t>Financial loss or control breach.</w:t>
            </w:r>
          </w:p>
        </w:tc>
        <w:tc>
          <w:tcPr>
            <w:tcW w:type="dxa" w:w="3389"/>
            <w:vAlign w:val="center"/>
          </w:tcPr>
          <w:p>
            <w:pPr>
              <w:spacing w:after="0"/>
            </w:pPr>
            <w:r/>
            <w:r>
              <w:rPr>
                <w:rFonts w:ascii="Aptos" w:hAnsi="Aptos"/>
                <w:b w:val="0"/>
                <w:sz w:val="15"/>
              </w:rPr>
              <w:t>Human approval for consequential exceptions; versioned tolerance policy and maker-checker control.</w:t>
            </w:r>
          </w:p>
        </w:tc>
      </w:tr>
    </w:tbl>
    <w:p/>
    <w:p>
      <w:pPr>
        <w:pStyle w:val="Heading1"/>
      </w:pPr>
      <w:r>
        <w:t>19. Governance and decisions required before build</w:t>
      </w:r>
    </w:p>
    <w:p>
      <w:pPr>
        <w:pStyle w:val="ListBullet"/>
        <w:spacing w:after="30"/>
      </w:pPr>
      <w:r>
        <w:t>Approve the boundary: DataMan remains unchanged and authoritative for official accounts.</w:t>
      </w:r>
    </w:p>
    <w:p>
      <w:pPr>
        <w:pStyle w:val="ListBullet"/>
        <w:spacing w:after="30"/>
      </w:pPr>
      <w:r>
        <w:t>Name process owners and approve role/permission matrix.</w:t>
      </w:r>
    </w:p>
    <w:p>
      <w:pPr>
        <w:pStyle w:val="ListBullet"/>
        <w:spacing w:after="30"/>
      </w:pPr>
      <w:r>
        <w:t>Provide anonymised examples of actual DataMan PO, GRN, bill, voucher, outstanding and payment exports.</w:t>
      </w:r>
    </w:p>
    <w:p>
      <w:pPr>
        <w:pStyle w:val="ListBullet"/>
        <w:spacing w:after="30"/>
      </w:pPr>
      <w:r>
        <w:t>Approve exact document checklist for each incoming material type and transaction variant.</w:t>
      </w:r>
    </w:p>
    <w:p>
      <w:pPr>
        <w:pStyle w:val="ListBullet"/>
        <w:spacing w:after="30"/>
      </w:pPr>
      <w:r>
        <w:t>Approve the GRN ownership point and whether the new application only links the GRN or can help prepare a draft reference.</w:t>
      </w:r>
    </w:p>
    <w:p>
      <w:pPr>
        <w:pStyle w:val="ListBullet"/>
        <w:spacing w:after="30"/>
      </w:pPr>
      <w:r>
        <w:t>Approve QC fields, specifications, acceptance/rejection authority and deduction policy.</w:t>
      </w:r>
    </w:p>
    <w:p>
      <w:pPr>
        <w:pStyle w:val="ListBullet"/>
        <w:spacing w:after="30"/>
      </w:pPr>
      <w:r>
        <w:t>Approve invoice matching tolerances and escalation/approval limits.</w:t>
      </w:r>
    </w:p>
    <w:p>
      <w:pPr>
        <w:pStyle w:val="ListBullet"/>
        <w:spacing w:after="30"/>
      </w:pPr>
      <w:r>
        <w:t>Approve document retention, access, backup, hosting and security requirements.</w:t>
      </w:r>
    </w:p>
    <w:p>
      <w:pPr>
        <w:pStyle w:val="ListBullet"/>
        <w:spacing w:after="30"/>
      </w:pPr>
      <w:r>
        <w:t>Approve dashboard KPI definitions, periods and refresh expectations.</w:t>
      </w:r>
    </w:p>
    <w:p>
      <w:pPr>
        <w:pStyle w:val="ListBullet"/>
        <w:spacing w:after="30"/>
      </w:pPr>
      <w:r>
        <w:t>Agree the pilot site/shift/material, users, baseline window and acceptance authority.</w:t>
      </w:r>
    </w:p>
    <w:p>
      <w:pPr>
        <w:pStyle w:val="Heading1"/>
      </w:pPr>
      <w:r>
        <w:t>20. Initial pilot success scorecard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24D"/>
          </w:tcPr>
          <w:p>
            <w:pPr>
              <w:spacing w:after="0"/>
            </w:pPr>
            <w:r/>
            <w:r>
              <w:rPr>
                <w:rFonts w:ascii="Aptos" w:hAnsi="Aptos"/>
                <w:b/>
                <w:color w:val="FFFFFF"/>
                <w:sz w:val="16"/>
              </w:rPr>
              <w:t>Measure</w:t>
            </w:r>
          </w:p>
        </w:tc>
        <w:tc>
          <w:tcPr>
            <w:tcW w:type="dxa" w:w="3389"/>
            <w:vAlign w:val="center"/>
            <w:shd w:fill="17324D"/>
          </w:tcPr>
          <w:p>
            <w:pPr>
              <w:spacing w:after="0"/>
            </w:pPr>
            <w:r/>
            <w:r>
              <w:rPr>
                <w:rFonts w:ascii="Aptos" w:hAnsi="Aptos"/>
                <w:b/>
                <w:color w:val="FFFFFF"/>
                <w:sz w:val="16"/>
              </w:rPr>
              <w:t>Baseline method</w:t>
            </w:r>
          </w:p>
        </w:tc>
        <w:tc>
          <w:tcPr>
            <w:tcW w:type="dxa" w:w="3389"/>
            <w:vAlign w:val="center"/>
            <w:shd w:fill="17324D"/>
          </w:tcPr>
          <w:p>
            <w:pPr>
              <w:spacing w:after="0"/>
            </w:pPr>
            <w:r/>
            <w:r>
              <w:rPr>
                <w:rFonts w:ascii="Aptos" w:hAnsi="Aptos"/>
                <w:b/>
                <w:color w:val="FFFFFF"/>
                <w:sz w:val="16"/>
              </w:rPr>
              <w:t>Pilot success rule</w:t>
            </w:r>
          </w:p>
        </w:tc>
      </w:tr>
      <w:tr>
        <w:tc>
          <w:tcPr>
            <w:tcW w:type="dxa" w:w="3389"/>
            <w:vAlign w:val="center"/>
          </w:tcPr>
          <w:p>
            <w:pPr>
              <w:spacing w:after="0"/>
            </w:pPr>
            <w:r/>
            <w:r>
              <w:rPr>
                <w:rFonts w:ascii="Aptos" w:hAnsi="Aptos"/>
                <w:b w:val="0"/>
                <w:sz w:val="15"/>
              </w:rPr>
              <w:t>Unloading-to-digital-packet time</w:t>
            </w:r>
          </w:p>
        </w:tc>
        <w:tc>
          <w:tcPr>
            <w:tcW w:type="dxa" w:w="3389"/>
            <w:vAlign w:val="center"/>
          </w:tcPr>
          <w:p>
            <w:pPr>
              <w:spacing w:after="0"/>
            </w:pPr>
            <w:r/>
            <w:r>
              <w:rPr>
                <w:rFonts w:ascii="Aptos" w:hAnsi="Aptos"/>
                <w:b w:val="0"/>
                <w:sz w:val="15"/>
              </w:rPr>
              <w:t>Observe timestamps across a representative sample of deliveries.</w:t>
            </w:r>
          </w:p>
        </w:tc>
        <w:tc>
          <w:tcPr>
            <w:tcW w:type="dxa" w:w="3389"/>
            <w:vAlign w:val="center"/>
          </w:tcPr>
          <w:p>
            <w:pPr>
              <w:spacing w:after="0"/>
            </w:pPr>
            <w:r/>
            <w:r>
              <w:rPr>
                <w:rFonts w:ascii="Aptos" w:hAnsi="Aptos"/>
                <w:b w:val="0"/>
                <w:sz w:val="15"/>
              </w:rPr>
              <w:t>Set target after baseline; report median and high-percentile time.</w:t>
            </w:r>
          </w:p>
        </w:tc>
      </w:tr>
      <w:tr>
        <w:tc>
          <w:tcPr>
            <w:tcW w:type="dxa" w:w="3389"/>
            <w:vAlign w:val="center"/>
          </w:tcPr>
          <w:p>
            <w:pPr>
              <w:spacing w:after="0"/>
            </w:pPr>
            <w:r/>
            <w:r>
              <w:rPr>
                <w:rFonts w:ascii="Aptos" w:hAnsi="Aptos"/>
                <w:b w:val="0"/>
                <w:sz w:val="15"/>
              </w:rPr>
              <w:t>Physical document transit time</w:t>
            </w:r>
          </w:p>
        </w:tc>
        <w:tc>
          <w:tcPr>
            <w:tcW w:type="dxa" w:w="3389"/>
            <w:vAlign w:val="center"/>
          </w:tcPr>
          <w:p>
            <w:pPr>
              <w:spacing w:after="0"/>
            </w:pPr>
            <w:r/>
            <w:r>
              <w:rPr>
                <w:rFonts w:ascii="Aptos" w:hAnsi="Aptos"/>
                <w:b w:val="0"/>
                <w:sz w:val="15"/>
              </w:rPr>
              <w:t>Dispatch timestamp to corporate acknowledgement.</w:t>
            </w:r>
          </w:p>
        </w:tc>
        <w:tc>
          <w:tcPr>
            <w:tcW w:type="dxa" w:w="3389"/>
            <w:vAlign w:val="center"/>
          </w:tcPr>
          <w:p>
            <w:pPr>
              <w:spacing w:after="0"/>
            </w:pPr>
            <w:r/>
            <w:r>
              <w:rPr>
                <w:rFonts w:ascii="Aptos" w:hAnsi="Aptos"/>
                <w:b w:val="0"/>
                <w:sz w:val="15"/>
              </w:rPr>
              <w:t>Show reduction and reasons for remaining delays.</w:t>
            </w:r>
          </w:p>
        </w:tc>
      </w:tr>
      <w:tr>
        <w:tc>
          <w:tcPr>
            <w:tcW w:type="dxa" w:w="3389"/>
            <w:vAlign w:val="center"/>
          </w:tcPr>
          <w:p>
            <w:pPr>
              <w:spacing w:after="0"/>
            </w:pPr>
            <w:r/>
            <w:r>
              <w:rPr>
                <w:rFonts w:ascii="Aptos" w:hAnsi="Aptos"/>
                <w:b w:val="0"/>
                <w:sz w:val="15"/>
              </w:rPr>
              <w:t>Corporate review start</w:t>
            </w:r>
          </w:p>
        </w:tc>
        <w:tc>
          <w:tcPr>
            <w:tcW w:type="dxa" w:w="3389"/>
            <w:vAlign w:val="center"/>
          </w:tcPr>
          <w:p>
            <w:pPr>
              <w:spacing w:after="0"/>
            </w:pPr>
            <w:r/>
            <w:r>
              <w:rPr>
                <w:rFonts w:ascii="Aptos" w:hAnsi="Aptos"/>
                <w:b w:val="0"/>
                <w:sz w:val="15"/>
              </w:rPr>
              <w:t>First review timestamp compared with document availability.</w:t>
            </w:r>
          </w:p>
        </w:tc>
        <w:tc>
          <w:tcPr>
            <w:tcW w:type="dxa" w:w="3389"/>
            <w:vAlign w:val="center"/>
          </w:tcPr>
          <w:p>
            <w:pPr>
              <w:spacing w:after="0"/>
            </w:pPr>
            <w:r/>
            <w:r>
              <w:rPr>
                <w:rFonts w:ascii="Aptos" w:hAnsi="Aptos"/>
                <w:b w:val="0"/>
                <w:sz w:val="15"/>
              </w:rPr>
              <w:t>Confirm corporate can begin review before physical bundle arrives where policy permits.</w:t>
            </w:r>
          </w:p>
        </w:tc>
      </w:tr>
      <w:tr>
        <w:tc>
          <w:tcPr>
            <w:tcW w:type="dxa" w:w="3389"/>
            <w:vAlign w:val="center"/>
          </w:tcPr>
          <w:p>
            <w:pPr>
              <w:spacing w:after="0"/>
            </w:pPr>
            <w:r/>
            <w:r>
              <w:rPr>
                <w:rFonts w:ascii="Aptos" w:hAnsi="Aptos"/>
                <w:b w:val="0"/>
                <w:sz w:val="15"/>
              </w:rPr>
              <w:t>GRN/bill linkage completeness</w:t>
            </w:r>
          </w:p>
        </w:tc>
        <w:tc>
          <w:tcPr>
            <w:tcW w:type="dxa" w:w="3389"/>
            <w:vAlign w:val="center"/>
          </w:tcPr>
          <w:p>
            <w:pPr>
              <w:spacing w:after="0"/>
            </w:pPr>
            <w:r/>
            <w:r>
              <w:rPr>
                <w:rFonts w:ascii="Aptos" w:hAnsi="Aptos"/>
                <w:b w:val="0"/>
                <w:sz w:val="15"/>
              </w:rPr>
              <w:t>Share of bills linked to PO/GRN/document packet.</w:t>
            </w:r>
          </w:p>
        </w:tc>
        <w:tc>
          <w:tcPr>
            <w:tcW w:type="dxa" w:w="3389"/>
            <w:vAlign w:val="center"/>
          </w:tcPr>
          <w:p>
            <w:pPr>
              <w:spacing w:after="0"/>
            </w:pPr>
            <w:r/>
            <w:r>
              <w:rPr>
                <w:rFonts w:ascii="Aptos" w:hAnsi="Aptos"/>
                <w:b w:val="0"/>
                <w:sz w:val="15"/>
              </w:rPr>
              <w:t>Set target after reviewing source-data quality.</w:t>
            </w:r>
          </w:p>
        </w:tc>
      </w:tr>
      <w:tr>
        <w:tc>
          <w:tcPr>
            <w:tcW w:type="dxa" w:w="3389"/>
            <w:vAlign w:val="center"/>
          </w:tcPr>
          <w:p>
            <w:pPr>
              <w:spacing w:after="0"/>
            </w:pPr>
            <w:r/>
            <w:r>
              <w:rPr>
                <w:rFonts w:ascii="Aptos" w:hAnsi="Aptos"/>
                <w:b w:val="0"/>
                <w:sz w:val="15"/>
              </w:rPr>
              <w:t>Excel import reconciliation</w:t>
            </w:r>
          </w:p>
        </w:tc>
        <w:tc>
          <w:tcPr>
            <w:tcW w:type="dxa" w:w="3389"/>
            <w:vAlign w:val="center"/>
          </w:tcPr>
          <w:p>
            <w:pPr>
              <w:spacing w:after="0"/>
            </w:pPr>
            <w:r/>
            <w:r>
              <w:rPr>
                <w:rFonts w:ascii="Aptos" w:hAnsi="Aptos"/>
                <w:b w:val="0"/>
                <w:sz w:val="15"/>
              </w:rPr>
              <w:t>Compare imported counts/totals with original report.</w:t>
            </w:r>
          </w:p>
        </w:tc>
        <w:tc>
          <w:tcPr>
            <w:tcW w:type="dxa" w:w="3389"/>
            <w:vAlign w:val="center"/>
          </w:tcPr>
          <w:p>
            <w:pPr>
              <w:spacing w:after="0"/>
            </w:pPr>
            <w:r/>
            <w:r>
              <w:rPr>
                <w:rFonts w:ascii="Aptos" w:hAnsi="Aptos"/>
                <w:b w:val="0"/>
                <w:sz w:val="15"/>
              </w:rPr>
              <w:t>No unexplained difference in accepted production imports.</w:t>
            </w:r>
          </w:p>
        </w:tc>
      </w:tr>
      <w:tr>
        <w:tc>
          <w:tcPr>
            <w:tcW w:type="dxa" w:w="3389"/>
            <w:vAlign w:val="center"/>
          </w:tcPr>
          <w:p>
            <w:pPr>
              <w:spacing w:after="0"/>
            </w:pPr>
            <w:r/>
            <w:r>
              <w:rPr>
                <w:rFonts w:ascii="Aptos" w:hAnsi="Aptos"/>
                <w:b w:val="0"/>
                <w:sz w:val="15"/>
              </w:rPr>
              <w:t>Posting-status correctness</w:t>
            </w:r>
          </w:p>
        </w:tc>
        <w:tc>
          <w:tcPr>
            <w:tcW w:type="dxa" w:w="3389"/>
            <w:vAlign w:val="center"/>
          </w:tcPr>
          <w:p>
            <w:pPr>
              <w:spacing w:after="0"/>
            </w:pPr>
            <w:r/>
            <w:r>
              <w:rPr>
                <w:rFonts w:ascii="Aptos" w:hAnsi="Aptos"/>
                <w:b w:val="0"/>
                <w:sz w:val="15"/>
              </w:rPr>
              <w:t>Compare dashboard with official voucher register.</w:t>
            </w:r>
          </w:p>
        </w:tc>
        <w:tc>
          <w:tcPr>
            <w:tcW w:type="dxa" w:w="3389"/>
            <w:vAlign w:val="center"/>
          </w:tcPr>
          <w:p>
            <w:pPr>
              <w:spacing w:after="0"/>
            </w:pPr>
            <w:r/>
            <w:r>
              <w:rPr>
                <w:rFonts w:ascii="Aptos" w:hAnsi="Aptos"/>
                <w:b w:val="0"/>
                <w:sz w:val="15"/>
              </w:rPr>
              <w:t>No false 'posted' status in test/pilot sample.</w:t>
            </w:r>
          </w:p>
        </w:tc>
      </w:tr>
      <w:tr>
        <w:tc>
          <w:tcPr>
            <w:tcW w:type="dxa" w:w="3389"/>
            <w:vAlign w:val="center"/>
          </w:tcPr>
          <w:p>
            <w:pPr>
              <w:spacing w:after="0"/>
            </w:pPr>
            <w:r/>
            <w:r>
              <w:rPr>
                <w:rFonts w:ascii="Aptos" w:hAnsi="Aptos"/>
                <w:b w:val="0"/>
                <w:sz w:val="15"/>
              </w:rPr>
              <w:t>Exception ownership</w:t>
            </w:r>
          </w:p>
        </w:tc>
        <w:tc>
          <w:tcPr>
            <w:tcW w:type="dxa" w:w="3389"/>
            <w:vAlign w:val="center"/>
          </w:tcPr>
          <w:p>
            <w:pPr>
              <w:spacing w:after="0"/>
            </w:pPr>
            <w:r/>
            <w:r>
              <w:rPr>
                <w:rFonts w:ascii="Aptos" w:hAnsi="Aptos"/>
                <w:b w:val="0"/>
                <w:sz w:val="15"/>
              </w:rPr>
              <w:t>Share of open exceptions with owner and due date.</w:t>
            </w:r>
          </w:p>
        </w:tc>
        <w:tc>
          <w:tcPr>
            <w:tcW w:type="dxa" w:w="3389"/>
            <w:vAlign w:val="center"/>
          </w:tcPr>
          <w:p>
            <w:pPr>
              <w:spacing w:after="0"/>
            </w:pPr>
            <w:r/>
            <w:r>
              <w:rPr>
                <w:rFonts w:ascii="Aptos" w:hAnsi="Aptos"/>
                <w:b w:val="0"/>
                <w:sz w:val="15"/>
              </w:rPr>
              <w:t>All actionable exceptions assigned or explicitly marked unassigned with reason.</w:t>
            </w:r>
          </w:p>
        </w:tc>
      </w:tr>
      <w:tr>
        <w:tc>
          <w:tcPr>
            <w:tcW w:type="dxa" w:w="3389"/>
            <w:vAlign w:val="center"/>
          </w:tcPr>
          <w:p>
            <w:pPr>
              <w:spacing w:after="0"/>
            </w:pPr>
            <w:r/>
            <w:r>
              <w:rPr>
                <w:rFonts w:ascii="Aptos" w:hAnsi="Aptos"/>
                <w:b w:val="0"/>
                <w:sz w:val="15"/>
              </w:rPr>
              <w:t>User adoption</w:t>
            </w:r>
          </w:p>
        </w:tc>
        <w:tc>
          <w:tcPr>
            <w:tcW w:type="dxa" w:w="3389"/>
            <w:vAlign w:val="center"/>
          </w:tcPr>
          <w:p>
            <w:pPr>
              <w:spacing w:after="0"/>
            </w:pPr>
            <w:r/>
            <w:r>
              <w:rPr>
                <w:rFonts w:ascii="Aptos" w:hAnsi="Aptos"/>
                <w:b w:val="0"/>
                <w:sz w:val="15"/>
              </w:rPr>
              <w:t>Compare eligible transactions with records captured in the new workflow.</w:t>
            </w:r>
          </w:p>
        </w:tc>
        <w:tc>
          <w:tcPr>
            <w:tcW w:type="dxa" w:w="3389"/>
            <w:vAlign w:val="center"/>
          </w:tcPr>
          <w:p>
            <w:pPr>
              <w:spacing w:after="0"/>
            </w:pPr>
            <w:r/>
            <w:r>
              <w:rPr>
                <w:rFonts w:ascii="Aptos" w:hAnsi="Aptos"/>
                <w:b w:val="0"/>
                <w:sz w:val="15"/>
              </w:rPr>
              <w:t>Agree threshold and measure missing transactions.</w:t>
            </w:r>
          </w:p>
        </w:tc>
      </w:tr>
      <w:tr>
        <w:tc>
          <w:tcPr>
            <w:tcW w:type="dxa" w:w="3389"/>
            <w:vAlign w:val="center"/>
          </w:tcPr>
          <w:p>
            <w:pPr>
              <w:spacing w:after="0"/>
            </w:pPr>
            <w:r/>
            <w:r>
              <w:rPr>
                <w:rFonts w:ascii="Aptos" w:hAnsi="Aptos"/>
                <w:b w:val="0"/>
                <w:sz w:val="15"/>
              </w:rPr>
              <w:t>Data freshness visibility</w:t>
            </w:r>
          </w:p>
        </w:tc>
        <w:tc>
          <w:tcPr>
            <w:tcW w:type="dxa" w:w="3389"/>
            <w:vAlign w:val="center"/>
          </w:tcPr>
          <w:p>
            <w:pPr>
              <w:spacing w:after="0"/>
            </w:pPr>
            <w:r/>
            <w:r>
              <w:rPr>
                <w:rFonts w:ascii="Aptos" w:hAnsi="Aptos"/>
                <w:b w:val="0"/>
                <w:sz w:val="15"/>
              </w:rPr>
              <w:t>Inspect every dashboard dataset's source timestamp/state.</w:t>
            </w:r>
          </w:p>
        </w:tc>
        <w:tc>
          <w:tcPr>
            <w:tcW w:type="dxa" w:w="3389"/>
            <w:vAlign w:val="center"/>
          </w:tcPr>
          <w:p>
            <w:pPr>
              <w:spacing w:after="0"/>
            </w:pPr>
            <w:r/>
            <w:r>
              <w:rPr>
                <w:rFonts w:ascii="Aptos" w:hAnsi="Aptos"/>
                <w:b w:val="0"/>
                <w:sz w:val="15"/>
              </w:rPr>
              <w:t>All imported datasets show source/refresh state; stale data is never labelled live.</w:t>
            </w:r>
          </w:p>
        </w:tc>
      </w:tr>
    </w:tbl>
    <w:p/>
    <w:p>
      <w:pPr>
        <w:pStyle w:val="Heading1"/>
      </w:pPr>
      <w:r>
        <w:t>Appendix A — Suggested status vocabulary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pPr>
              <w:spacing w:after="0"/>
            </w:pPr>
            <w:r/>
            <w:r>
              <w:rPr>
                <w:rFonts w:ascii="Aptos" w:hAnsi="Aptos"/>
                <w:b/>
                <w:color w:val="FFFFFF"/>
                <w:sz w:val="16"/>
              </w:rPr>
              <w:t>Domain</w:t>
            </w:r>
          </w:p>
        </w:tc>
        <w:tc>
          <w:tcPr>
            <w:tcW w:type="dxa" w:w="5083"/>
            <w:vAlign w:val="center"/>
            <w:shd w:fill="17324D"/>
          </w:tcPr>
          <w:p>
            <w:pPr>
              <w:spacing w:after="0"/>
            </w:pPr>
            <w:r/>
            <w:r>
              <w:rPr>
                <w:rFonts w:ascii="Aptos" w:hAnsi="Aptos"/>
                <w:b/>
                <w:color w:val="FFFFFF"/>
                <w:sz w:val="16"/>
              </w:rPr>
              <w:t>Statuses (proposed; configure after process validation)</w:t>
            </w:r>
          </w:p>
        </w:tc>
      </w:tr>
      <w:tr>
        <w:tc>
          <w:tcPr>
            <w:tcW w:type="dxa" w:w="5083"/>
            <w:vAlign w:val="center"/>
          </w:tcPr>
          <w:p>
            <w:pPr>
              <w:spacing w:after="0"/>
            </w:pPr>
            <w:r/>
            <w:r>
              <w:rPr>
                <w:rFonts w:ascii="Aptos" w:hAnsi="Aptos"/>
                <w:b w:val="0"/>
                <w:sz w:val="15"/>
              </w:rPr>
              <w:t>Inward</w:t>
            </w:r>
          </w:p>
        </w:tc>
        <w:tc>
          <w:tcPr>
            <w:tcW w:type="dxa" w:w="5083"/>
            <w:vAlign w:val="center"/>
          </w:tcPr>
          <w:p>
            <w:pPr>
              <w:spacing w:after="0"/>
            </w:pPr>
            <w:r/>
            <w:r>
              <w:rPr>
                <w:rFonts w:ascii="Aptos" w:hAnsi="Aptos"/>
                <w:b w:val="0"/>
                <w:sz w:val="15"/>
              </w:rPr>
              <w:t>Created; documents pending; awaiting weighment; awaiting unloading/QC; QC hold; partially accepted; accepted; rejected; cancelled with reason; completed.</w:t>
            </w:r>
          </w:p>
        </w:tc>
      </w:tr>
      <w:tr>
        <w:tc>
          <w:tcPr>
            <w:tcW w:type="dxa" w:w="5083"/>
            <w:vAlign w:val="center"/>
          </w:tcPr>
          <w:p>
            <w:pPr>
              <w:spacing w:after="0"/>
            </w:pPr>
            <w:r/>
            <w:r>
              <w:rPr>
                <w:rFonts w:ascii="Aptos" w:hAnsi="Aptos"/>
                <w:b w:val="0"/>
                <w:sz w:val="15"/>
              </w:rPr>
              <w:t>GRN packet</w:t>
            </w:r>
          </w:p>
        </w:tc>
        <w:tc>
          <w:tcPr>
            <w:tcW w:type="dxa" w:w="5083"/>
            <w:vAlign w:val="center"/>
          </w:tcPr>
          <w:p>
            <w:pPr>
              <w:spacing w:after="0"/>
            </w:pPr>
            <w:r/>
            <w:r>
              <w:rPr>
                <w:rFonts w:ascii="Aptos" w:hAnsi="Aptos"/>
                <w:b w:val="0"/>
                <w:sz w:val="15"/>
              </w:rPr>
              <w:t>GRN reference pending; packet incomplete; ready to publish; published; corporate viewed/acknowledged; physical originals pending; complete.</w:t>
            </w:r>
          </w:p>
        </w:tc>
      </w:tr>
      <w:tr>
        <w:tc>
          <w:tcPr>
            <w:tcW w:type="dxa" w:w="5083"/>
            <w:vAlign w:val="center"/>
          </w:tcPr>
          <w:p>
            <w:pPr>
              <w:spacing w:after="0"/>
            </w:pPr>
            <w:r/>
            <w:r>
              <w:rPr>
                <w:rFonts w:ascii="Aptos" w:hAnsi="Aptos"/>
                <w:b w:val="0"/>
                <w:sz w:val="15"/>
              </w:rPr>
              <w:t>Physical bundle</w:t>
            </w:r>
          </w:p>
        </w:tc>
        <w:tc>
          <w:tcPr>
            <w:tcW w:type="dxa" w:w="5083"/>
            <w:vAlign w:val="center"/>
          </w:tcPr>
          <w:p>
            <w:pPr>
              <w:spacing w:after="0"/>
            </w:pPr>
            <w:r/>
            <w:r>
              <w:rPr>
                <w:rFonts w:ascii="Aptos" w:hAnsi="Aptos"/>
                <w:b w:val="0"/>
                <w:sz w:val="15"/>
              </w:rPr>
              <w:t>Preparing; ready for dispatch; dispatched; received; discrepancy; archived.</w:t>
            </w:r>
          </w:p>
        </w:tc>
      </w:tr>
      <w:tr>
        <w:tc>
          <w:tcPr>
            <w:tcW w:type="dxa" w:w="5083"/>
            <w:vAlign w:val="center"/>
          </w:tcPr>
          <w:p>
            <w:pPr>
              <w:spacing w:after="0"/>
            </w:pPr>
            <w:r/>
            <w:r>
              <w:rPr>
                <w:rFonts w:ascii="Aptos" w:hAnsi="Aptos"/>
                <w:b w:val="0"/>
                <w:sz w:val="15"/>
              </w:rPr>
              <w:t>Bill tracking</w:t>
            </w:r>
          </w:p>
        </w:tc>
        <w:tc>
          <w:tcPr>
            <w:tcW w:type="dxa" w:w="5083"/>
            <w:vAlign w:val="center"/>
          </w:tcPr>
          <w:p>
            <w:pPr>
              <w:spacing w:after="0"/>
            </w:pPr>
            <w:r/>
            <w:r>
              <w:rPr>
                <w:rFonts w:ascii="Aptos" w:hAnsi="Aptos"/>
                <w:b w:val="0"/>
                <w:sz w:val="15"/>
              </w:rPr>
              <w:t>Invoice awaited; invoice received; documents incomplete; matching in progress; exception; awaiting approval; cleared for posting; posting not confirmed; posted confirmed; payment status imported; closed.</w:t>
            </w:r>
          </w:p>
        </w:tc>
      </w:tr>
      <w:tr>
        <w:tc>
          <w:tcPr>
            <w:tcW w:type="dxa" w:w="5083"/>
            <w:vAlign w:val="center"/>
          </w:tcPr>
          <w:p>
            <w:pPr>
              <w:spacing w:after="0"/>
            </w:pPr>
            <w:r/>
            <w:r>
              <w:rPr>
                <w:rFonts w:ascii="Aptos" w:hAnsi="Aptos"/>
                <w:b w:val="0"/>
                <w:sz w:val="15"/>
              </w:rPr>
              <w:t>Import batch</w:t>
            </w:r>
          </w:p>
        </w:tc>
        <w:tc>
          <w:tcPr>
            <w:tcW w:type="dxa" w:w="5083"/>
            <w:vAlign w:val="center"/>
          </w:tcPr>
          <w:p>
            <w:pPr>
              <w:spacing w:after="0"/>
            </w:pPr>
            <w:r/>
            <w:r>
              <w:rPr>
                <w:rFonts w:ascii="Aptos" w:hAnsi="Aptos"/>
                <w:b w:val="0"/>
                <w:sz w:val="15"/>
              </w:rPr>
              <w:t>Uploaded; validating; validation failed; preview ready; committed with warnings; committed/reconciled; rejected; superseded.</w:t>
            </w:r>
          </w:p>
        </w:tc>
      </w:tr>
      <w:tr>
        <w:tc>
          <w:tcPr>
            <w:tcW w:type="dxa" w:w="5083"/>
            <w:vAlign w:val="center"/>
          </w:tcPr>
          <w:p>
            <w:pPr>
              <w:spacing w:after="0"/>
            </w:pPr>
            <w:r/>
            <w:r>
              <w:rPr>
                <w:rFonts w:ascii="Aptos" w:hAnsi="Aptos"/>
                <w:b w:val="0"/>
                <w:sz w:val="15"/>
              </w:rPr>
              <w:t>Exception</w:t>
            </w:r>
          </w:p>
        </w:tc>
        <w:tc>
          <w:tcPr>
            <w:tcW w:type="dxa" w:w="5083"/>
            <w:vAlign w:val="center"/>
          </w:tcPr>
          <w:p>
            <w:pPr>
              <w:spacing w:after="0"/>
            </w:pPr>
            <w:r/>
            <w:r>
              <w:rPr>
                <w:rFonts w:ascii="Aptos" w:hAnsi="Aptos"/>
                <w:b w:val="0"/>
                <w:sz w:val="15"/>
              </w:rPr>
              <w:t>Open; assigned; awaiting external response; under review; resolved pending approval; closed; reopened.</w:t>
            </w:r>
          </w:p>
        </w:tc>
      </w:tr>
      <w:tr>
        <w:tc>
          <w:tcPr>
            <w:tcW w:type="dxa" w:w="5083"/>
            <w:vAlign w:val="center"/>
          </w:tcPr>
          <w:p>
            <w:pPr>
              <w:spacing w:after="0"/>
            </w:pPr>
            <w:r/>
            <w:r>
              <w:rPr>
                <w:rFonts w:ascii="Aptos" w:hAnsi="Aptos"/>
                <w:b w:val="0"/>
                <w:sz w:val="15"/>
              </w:rPr>
              <w:t>Maintenance</w:t>
            </w:r>
          </w:p>
        </w:tc>
        <w:tc>
          <w:tcPr>
            <w:tcW w:type="dxa" w:w="5083"/>
            <w:vAlign w:val="center"/>
          </w:tcPr>
          <w:p>
            <w:pPr>
              <w:spacing w:after="0"/>
            </w:pPr>
            <w:r/>
            <w:r>
              <w:rPr>
                <w:rFonts w:ascii="Aptos" w:hAnsi="Aptos"/>
                <w:b w:val="0"/>
                <w:sz w:val="15"/>
              </w:rPr>
              <w:t>Requested; triaged; assigned; in progress; awaiting parts; completed pending verification; closed; cancelled with reason.</w:t>
            </w:r>
          </w:p>
        </w:tc>
      </w:tr>
    </w:tbl>
    <w:p/>
    <w:p>
      <w:pPr>
        <w:pStyle w:val="Heading1"/>
      </w:pPr>
      <w:r>
        <w:t>Appendix B — Terminology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24D"/>
          </w:tcPr>
          <w:p>
            <w:pPr>
              <w:spacing w:after="0"/>
            </w:pPr>
            <w:r/>
            <w:r>
              <w:rPr>
                <w:rFonts w:ascii="Aptos" w:hAnsi="Aptos"/>
                <w:b/>
                <w:color w:val="FFFFFF"/>
                <w:sz w:val="16"/>
              </w:rPr>
              <w:t>Term</w:t>
            </w:r>
          </w:p>
        </w:tc>
        <w:tc>
          <w:tcPr>
            <w:tcW w:type="dxa" w:w="5083"/>
            <w:vAlign w:val="center"/>
            <w:shd w:fill="17324D"/>
          </w:tcPr>
          <w:p>
            <w:pPr>
              <w:spacing w:after="0"/>
            </w:pPr>
            <w:r/>
            <w:r>
              <w:rPr>
                <w:rFonts w:ascii="Aptos" w:hAnsi="Aptos"/>
                <w:b/>
                <w:color w:val="FFFFFF"/>
                <w:sz w:val="16"/>
              </w:rPr>
              <w:t>Meaning in this blueprint</w:t>
            </w:r>
          </w:p>
        </w:tc>
      </w:tr>
      <w:tr>
        <w:tc>
          <w:tcPr>
            <w:tcW w:type="dxa" w:w="5083"/>
            <w:vAlign w:val="center"/>
          </w:tcPr>
          <w:p>
            <w:pPr>
              <w:spacing w:after="0"/>
            </w:pPr>
            <w:r/>
            <w:r>
              <w:rPr>
                <w:rFonts w:ascii="Aptos" w:hAnsi="Aptos"/>
                <w:b w:val="0"/>
                <w:sz w:val="15"/>
              </w:rPr>
              <w:t>PO</w:t>
            </w:r>
          </w:p>
        </w:tc>
        <w:tc>
          <w:tcPr>
            <w:tcW w:type="dxa" w:w="5083"/>
            <w:vAlign w:val="center"/>
          </w:tcPr>
          <w:p>
            <w:pPr>
              <w:spacing w:after="0"/>
            </w:pPr>
            <w:r/>
            <w:r>
              <w:rPr>
                <w:rFonts w:ascii="Aptos" w:hAnsi="Aptos"/>
                <w:b w:val="0"/>
                <w:sz w:val="15"/>
              </w:rPr>
              <w:t>Purchase Order: authorised order terms and quantities.</w:t>
            </w:r>
          </w:p>
        </w:tc>
      </w:tr>
      <w:tr>
        <w:tc>
          <w:tcPr>
            <w:tcW w:type="dxa" w:w="5083"/>
            <w:vAlign w:val="center"/>
          </w:tcPr>
          <w:p>
            <w:pPr>
              <w:spacing w:after="0"/>
            </w:pPr>
            <w:r/>
            <w:r>
              <w:rPr>
                <w:rFonts w:ascii="Aptos" w:hAnsi="Aptos"/>
                <w:b w:val="0"/>
                <w:sz w:val="15"/>
              </w:rPr>
              <w:t>GRN</w:t>
            </w:r>
          </w:p>
        </w:tc>
        <w:tc>
          <w:tcPr>
            <w:tcW w:type="dxa" w:w="5083"/>
            <w:vAlign w:val="center"/>
          </w:tcPr>
          <w:p>
            <w:pPr>
              <w:spacing w:after="0"/>
            </w:pPr>
            <w:r/>
            <w:r>
              <w:rPr>
                <w:rFonts w:ascii="Aptos" w:hAnsi="Aptos"/>
                <w:b w:val="0"/>
                <w:sz w:val="15"/>
              </w:rPr>
              <w:t>Goods Receipt Note: record/reference for receipt of goods; exact official creator at Kaygaon must be verified.</w:t>
            </w:r>
          </w:p>
        </w:tc>
      </w:tr>
      <w:tr>
        <w:tc>
          <w:tcPr>
            <w:tcW w:type="dxa" w:w="5083"/>
            <w:vAlign w:val="center"/>
          </w:tcPr>
          <w:p>
            <w:pPr>
              <w:spacing w:after="0"/>
            </w:pPr>
            <w:r/>
            <w:r>
              <w:rPr>
                <w:rFonts w:ascii="Aptos" w:hAnsi="Aptos"/>
                <w:b w:val="0"/>
                <w:sz w:val="15"/>
              </w:rPr>
              <w:t>QC</w:t>
            </w:r>
          </w:p>
        </w:tc>
        <w:tc>
          <w:tcPr>
            <w:tcW w:type="dxa" w:w="5083"/>
            <w:vAlign w:val="center"/>
          </w:tcPr>
          <w:p>
            <w:pPr>
              <w:spacing w:after="0"/>
            </w:pPr>
            <w:r/>
            <w:r>
              <w:rPr>
                <w:rFonts w:ascii="Aptos" w:hAnsi="Aptos"/>
                <w:b w:val="0"/>
                <w:sz w:val="15"/>
              </w:rPr>
              <w:t>Quality Control: inspection/testing during unloading or as required by the material process.</w:t>
            </w:r>
          </w:p>
        </w:tc>
      </w:tr>
      <w:tr>
        <w:tc>
          <w:tcPr>
            <w:tcW w:type="dxa" w:w="5083"/>
            <w:vAlign w:val="center"/>
          </w:tcPr>
          <w:p>
            <w:pPr>
              <w:spacing w:after="0"/>
            </w:pPr>
            <w:r/>
            <w:r>
              <w:rPr>
                <w:rFonts w:ascii="Aptos" w:hAnsi="Aptos"/>
                <w:b w:val="0"/>
                <w:sz w:val="15"/>
              </w:rPr>
              <w:t>E-way bill</w:t>
            </w:r>
          </w:p>
        </w:tc>
        <w:tc>
          <w:tcPr>
            <w:tcW w:type="dxa" w:w="5083"/>
            <w:vAlign w:val="center"/>
          </w:tcPr>
          <w:p>
            <w:pPr>
              <w:spacing w:after="0"/>
            </w:pPr>
            <w:r/>
            <w:r>
              <w:rPr>
                <w:rFonts w:ascii="Aptos" w:hAnsi="Aptos"/>
                <w:b w:val="0"/>
                <w:sz w:val="15"/>
              </w:rPr>
              <w:t>A transport/compliance document where applicable; not a substitute for a tax invoice or GRN.</w:t>
            </w:r>
          </w:p>
        </w:tc>
      </w:tr>
      <w:tr>
        <w:tc>
          <w:tcPr>
            <w:tcW w:type="dxa" w:w="5083"/>
            <w:vAlign w:val="center"/>
          </w:tcPr>
          <w:p>
            <w:pPr>
              <w:spacing w:after="0"/>
            </w:pPr>
            <w:r/>
            <w:r>
              <w:rPr>
                <w:rFonts w:ascii="Aptos" w:hAnsi="Aptos"/>
                <w:b w:val="0"/>
                <w:sz w:val="15"/>
              </w:rPr>
              <w:t>Three-way match</w:t>
            </w:r>
          </w:p>
        </w:tc>
        <w:tc>
          <w:tcPr>
            <w:tcW w:type="dxa" w:w="5083"/>
            <w:vAlign w:val="center"/>
          </w:tcPr>
          <w:p>
            <w:pPr>
              <w:spacing w:after="0"/>
            </w:pPr>
            <w:r/>
            <w:r>
              <w:rPr>
                <w:rFonts w:ascii="Aptos" w:hAnsi="Aptos"/>
                <w:b w:val="0"/>
                <w:sz w:val="15"/>
              </w:rPr>
              <w:t>Comparison of PO, receipt/GRN and supplier invoice.</w:t>
            </w:r>
          </w:p>
        </w:tc>
      </w:tr>
      <w:tr>
        <w:tc>
          <w:tcPr>
            <w:tcW w:type="dxa" w:w="5083"/>
            <w:vAlign w:val="center"/>
          </w:tcPr>
          <w:p>
            <w:pPr>
              <w:spacing w:after="0"/>
            </w:pPr>
            <w:r/>
            <w:r>
              <w:rPr>
                <w:rFonts w:ascii="Aptos" w:hAnsi="Aptos"/>
                <w:b w:val="0"/>
                <w:sz w:val="15"/>
              </w:rPr>
              <w:t>Bill passing</w:t>
            </w:r>
          </w:p>
        </w:tc>
        <w:tc>
          <w:tcPr>
            <w:tcW w:type="dxa" w:w="5083"/>
            <w:vAlign w:val="center"/>
          </w:tcPr>
          <w:p>
            <w:pPr>
              <w:spacing w:after="0"/>
            </w:pPr>
            <w:r/>
            <w:r>
              <w:rPr>
                <w:rFonts w:ascii="Aptos" w:hAnsi="Aptos"/>
                <w:b w:val="0"/>
                <w:sz w:val="15"/>
              </w:rPr>
              <w:t>Verification and approval of a supplier bill according to company controls.</w:t>
            </w:r>
          </w:p>
        </w:tc>
      </w:tr>
      <w:tr>
        <w:tc>
          <w:tcPr>
            <w:tcW w:type="dxa" w:w="5083"/>
            <w:vAlign w:val="center"/>
          </w:tcPr>
          <w:p>
            <w:pPr>
              <w:spacing w:after="0"/>
            </w:pPr>
            <w:r/>
            <w:r>
              <w:rPr>
                <w:rFonts w:ascii="Aptos" w:hAnsi="Aptos"/>
                <w:b w:val="0"/>
                <w:sz w:val="15"/>
              </w:rPr>
              <w:t>Bill posting</w:t>
            </w:r>
          </w:p>
        </w:tc>
        <w:tc>
          <w:tcPr>
            <w:tcW w:type="dxa" w:w="5083"/>
            <w:vAlign w:val="center"/>
          </w:tcPr>
          <w:p>
            <w:pPr>
              <w:spacing w:after="0"/>
            </w:pPr>
            <w:r/>
            <w:r>
              <w:rPr>
                <w:rFonts w:ascii="Aptos" w:hAnsi="Aptos"/>
                <w:b w:val="0"/>
                <w:sz w:val="15"/>
              </w:rPr>
              <w:t>Recording/finalising the accounting transaction in the official accounting system.</w:t>
            </w:r>
          </w:p>
        </w:tc>
      </w:tr>
      <w:tr>
        <w:tc>
          <w:tcPr>
            <w:tcW w:type="dxa" w:w="5083"/>
            <w:vAlign w:val="center"/>
          </w:tcPr>
          <w:p>
            <w:pPr>
              <w:spacing w:after="0"/>
            </w:pPr>
            <w:r/>
            <w:r>
              <w:rPr>
                <w:rFonts w:ascii="Aptos" w:hAnsi="Aptos"/>
                <w:b w:val="0"/>
                <w:sz w:val="15"/>
              </w:rPr>
              <w:t>Voucher</w:t>
            </w:r>
          </w:p>
        </w:tc>
        <w:tc>
          <w:tcPr>
            <w:tcW w:type="dxa" w:w="5083"/>
            <w:vAlign w:val="center"/>
          </w:tcPr>
          <w:p>
            <w:pPr>
              <w:spacing w:after="0"/>
            </w:pPr>
            <w:r/>
            <w:r>
              <w:rPr>
                <w:rFonts w:ascii="Aptos" w:hAnsi="Aptos"/>
                <w:b w:val="0"/>
                <w:sz w:val="15"/>
              </w:rPr>
              <w:t>Accounting record/reference generated by the accounting system.</w:t>
            </w:r>
          </w:p>
        </w:tc>
      </w:tr>
      <w:tr>
        <w:tc>
          <w:tcPr>
            <w:tcW w:type="dxa" w:w="5083"/>
            <w:vAlign w:val="center"/>
          </w:tcPr>
          <w:p>
            <w:pPr>
              <w:spacing w:after="0"/>
            </w:pPr>
            <w:r/>
            <w:r>
              <w:rPr>
                <w:rFonts w:ascii="Aptos" w:hAnsi="Aptos"/>
                <w:b w:val="0"/>
                <w:sz w:val="15"/>
              </w:rPr>
              <w:t>Idempotent import</w:t>
            </w:r>
          </w:p>
        </w:tc>
        <w:tc>
          <w:tcPr>
            <w:tcW w:type="dxa" w:w="5083"/>
            <w:vAlign w:val="center"/>
          </w:tcPr>
          <w:p>
            <w:pPr>
              <w:spacing w:after="0"/>
            </w:pPr>
            <w:r/>
            <w:r>
              <w:rPr>
                <w:rFonts w:ascii="Aptos" w:hAnsi="Aptos"/>
                <w:b w:val="0"/>
                <w:sz w:val="15"/>
              </w:rPr>
              <w:t>Reprocessing the same source data does not create duplicate records or double-count totals.</w:t>
            </w:r>
          </w:p>
        </w:tc>
      </w:tr>
      <w:tr>
        <w:tc>
          <w:tcPr>
            <w:tcW w:type="dxa" w:w="5083"/>
            <w:vAlign w:val="center"/>
          </w:tcPr>
          <w:p>
            <w:pPr>
              <w:spacing w:after="0"/>
            </w:pPr>
            <w:r/>
            <w:r>
              <w:rPr>
                <w:rFonts w:ascii="Aptos" w:hAnsi="Aptos"/>
                <w:b w:val="0"/>
                <w:sz w:val="15"/>
              </w:rPr>
              <w:t>Source of truth</w:t>
            </w:r>
          </w:p>
        </w:tc>
        <w:tc>
          <w:tcPr>
            <w:tcW w:type="dxa" w:w="5083"/>
            <w:vAlign w:val="center"/>
          </w:tcPr>
          <w:p>
            <w:pPr>
              <w:spacing w:after="0"/>
            </w:pPr>
            <w:r/>
            <w:r>
              <w:rPr>
                <w:rFonts w:ascii="Aptos" w:hAnsi="Aptos"/>
                <w:b w:val="0"/>
                <w:sz w:val="15"/>
              </w:rPr>
              <w:t>The approved authoritative system or document for a given data field/status.</w:t>
            </w:r>
          </w:p>
        </w:tc>
      </w:tr>
      <w:tr>
        <w:tc>
          <w:tcPr>
            <w:tcW w:type="dxa" w:w="5083"/>
            <w:vAlign w:val="center"/>
          </w:tcPr>
          <w:p>
            <w:pPr>
              <w:spacing w:after="0"/>
            </w:pPr>
            <w:r/>
            <w:r>
              <w:rPr>
                <w:rFonts w:ascii="Aptos" w:hAnsi="Aptos"/>
                <w:b w:val="0"/>
                <w:sz w:val="15"/>
              </w:rPr>
              <w:t>Freshness</w:t>
            </w:r>
          </w:p>
        </w:tc>
        <w:tc>
          <w:tcPr>
            <w:tcW w:type="dxa" w:w="5083"/>
            <w:vAlign w:val="center"/>
          </w:tcPr>
          <w:p>
            <w:pPr>
              <w:spacing w:after="0"/>
            </w:pPr>
            <w:r/>
            <w:r>
              <w:rPr>
                <w:rFonts w:ascii="Aptos" w:hAnsi="Aptos"/>
                <w:b w:val="0"/>
                <w:sz w:val="15"/>
              </w:rPr>
              <w:t>How recently the source data was exported, imported or updated.</w:t>
            </w:r>
          </w:p>
        </w:tc>
      </w:tr>
      <w:tr>
        <w:tc>
          <w:tcPr>
            <w:tcW w:type="dxa" w:w="5083"/>
            <w:vAlign w:val="center"/>
          </w:tcPr>
          <w:p>
            <w:pPr>
              <w:spacing w:after="0"/>
            </w:pPr>
            <w:r/>
            <w:r>
              <w:rPr>
                <w:rFonts w:ascii="Aptos" w:hAnsi="Aptos"/>
                <w:b w:val="0"/>
                <w:sz w:val="15"/>
              </w:rPr>
              <w:t>Exception</w:t>
            </w:r>
          </w:p>
        </w:tc>
        <w:tc>
          <w:tcPr>
            <w:tcW w:type="dxa" w:w="5083"/>
            <w:vAlign w:val="center"/>
          </w:tcPr>
          <w:p>
            <w:pPr>
              <w:spacing w:after="0"/>
            </w:pPr>
            <w:r/>
            <w:r>
              <w:rPr>
                <w:rFonts w:ascii="Aptos" w:hAnsi="Aptos"/>
                <w:b w:val="0"/>
                <w:sz w:val="15"/>
              </w:rPr>
              <w:t>A discrepancy, missing requirement, delay or failed control that requires resolution.</w:t>
            </w:r>
          </w:p>
        </w:tc>
      </w:tr>
    </w:tbl>
    <w:p/>
    <w:p>
      <w:pPr>
        <w:pStyle w:val="Heading1"/>
      </w:pPr>
      <w:r>
        <w:t>Final implementation instruction</w:t>
      </w:r>
    </w:p>
    <w:p>
      <w:r>
        <w:t>Do not begin by building every module. Begin with a discovery sprint and a working vertical slice: one inward transaction, QC during unloading, the official GRN reference, a digital document packet, physical bundle tracking, an Excel import, bill matching, DataMan posting confirmation and an MD dashboard card. Use actual anonymised exports and actual approved forms. Once that vertical slice reconciles correctly, expand module by module.</w:t>
      </w:r>
    </w:p>
    <w:p>
      <w:r>
        <w:t>End of requirements blueprint.</w:t>
      </w:r>
    </w:p>
    <w:p>
      <w:r>
        <w:br w:type="page"/>
      </w:r>
    </w:p>
    <w:p>
      <w:pPr>
        <w:pStyle w:val="Heading1"/>
      </w:pPr>
      <w:r>
        <w:t>21. MD Intelligence and Automation Roadmap — Prioritised Addendum</w:t>
      </w:r>
    </w:p>
    <w:p>
      <w:r>
        <w:t>This addendum extends the original requirements without changing the DataMan boundary, Excel-first integration, audit controls or phased rollout. Priorities are proposed and must be validated against real data availability and MD decisions.</w:t>
      </w:r>
    </w:p>
    <w:p>
      <w:pPr>
        <w:pStyle w:val="Heading2"/>
      </w:pPr>
      <w:r>
        <w:t>21.1 Product principle</w:t>
      </w:r>
    </w:p>
    <w:p>
      <w:r>
        <w:t>Build a connected operating system, not disconnected dashboards. Every insight must link to supporting records, identify an accountable owner, show data freshness and propose a next action. Distinguish observed facts from hypotheses; never invent Kaygaon-specific thresholds, causes or financial figures.</w:t>
      </w:r>
    </w:p>
    <w:p>
      <w:pPr>
        <w:pStyle w:val="Heading2"/>
      </w:pPr>
      <w:r>
        <w:t>21.2 Prioritised feature portfolio</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7324D"/>
          </w:tcPr>
          <w:p>
            <w:r>
              <w:rPr>
                <w:b/>
                <w:color w:val="FFFFFF"/>
                <w:sz w:val="15"/>
              </w:rPr>
              <w:t>Priority / feature</w:t>
            </w:r>
          </w:p>
        </w:tc>
        <w:tc>
          <w:tcPr>
            <w:tcW w:type="dxa" w:w="2033"/>
            <w:shd w:fill="17324D"/>
          </w:tcPr>
          <w:p>
            <w:r>
              <w:rPr>
                <w:b/>
                <w:color w:val="FFFFFF"/>
                <w:sz w:val="15"/>
              </w:rPr>
              <w:t>Business value</w:t>
            </w:r>
          </w:p>
        </w:tc>
        <w:tc>
          <w:tcPr>
            <w:tcW w:type="dxa" w:w="2033"/>
            <w:shd w:fill="17324D"/>
          </w:tcPr>
          <w:p>
            <w:r>
              <w:rPr>
                <w:b/>
                <w:color w:val="FFFFFF"/>
                <w:sz w:val="15"/>
              </w:rPr>
              <w:t>Data dependencies</w:t>
            </w:r>
          </w:p>
        </w:tc>
        <w:tc>
          <w:tcPr>
            <w:tcW w:type="dxa" w:w="2033"/>
            <w:shd w:fill="17324D"/>
          </w:tcPr>
          <w:p>
            <w:r>
              <w:rPr>
                <w:b/>
                <w:color w:val="FFFFFF"/>
                <w:sz w:val="15"/>
              </w:rPr>
              <w:t>Effort</w:t>
            </w:r>
          </w:p>
        </w:tc>
        <w:tc>
          <w:tcPr>
            <w:tcW w:type="dxa" w:w="2033"/>
            <w:shd w:fill="17324D"/>
          </w:tcPr>
          <w:p>
            <w:r>
              <w:rPr>
                <w:b/>
                <w:color w:val="FFFFFF"/>
                <w:sz w:val="15"/>
              </w:rPr>
              <w:t>KPIs / proof</w:t>
            </w:r>
          </w:p>
        </w:tc>
      </w:tr>
      <w:tr>
        <w:tc>
          <w:tcPr>
            <w:tcW w:type="dxa" w:w="2033"/>
            <w:vAlign w:val="center"/>
          </w:tcPr>
          <w:p>
            <w:pPr>
              <w:spacing w:after="0"/>
            </w:pPr>
            <w:r>
              <w:rPr>
                <w:sz w:val="14"/>
              </w:rPr>
              <w:t>P0 — Data trust &amp; freshness</w:t>
            </w:r>
          </w:p>
        </w:tc>
        <w:tc>
          <w:tcPr>
            <w:tcW w:type="dxa" w:w="2033"/>
            <w:vAlign w:val="center"/>
          </w:tcPr>
          <w:p>
            <w:pPr>
              <w:spacing w:after="0"/>
            </w:pPr>
            <w:r>
              <w:rPr>
                <w:sz w:val="14"/>
              </w:rPr>
              <w:t>Prevents decisions from relying on stale or inconsistent data.</w:t>
            </w:r>
          </w:p>
        </w:tc>
        <w:tc>
          <w:tcPr>
            <w:tcW w:type="dxa" w:w="2033"/>
            <w:vAlign w:val="center"/>
          </w:tcPr>
          <w:p>
            <w:pPr>
              <w:spacing w:after="0"/>
            </w:pPr>
            <w:r>
              <w:rPr>
                <w:sz w:val="14"/>
              </w:rPr>
              <w:t>Excel import logs, source/import timestamps, mapping versions, totals and row rejects.</w:t>
            </w:r>
          </w:p>
        </w:tc>
        <w:tc>
          <w:tcPr>
            <w:tcW w:type="dxa" w:w="2033"/>
            <w:vAlign w:val="center"/>
          </w:tcPr>
          <w:p>
            <w:pPr>
              <w:spacing w:after="0"/>
            </w:pPr>
            <w:r>
              <w:rPr>
                <w:sz w:val="14"/>
              </w:rPr>
              <w:t>Low–medium</w:t>
            </w:r>
          </w:p>
        </w:tc>
        <w:tc>
          <w:tcPr>
            <w:tcW w:type="dxa" w:w="2033"/>
            <w:vAlign w:val="center"/>
          </w:tcPr>
          <w:p>
            <w:pPr>
              <w:spacing w:after="0"/>
            </w:pPr>
            <w:r>
              <w:rPr>
                <w:sz w:val="14"/>
              </w:rPr>
              <w:t>Import success; stale datasets; rejected rows; reconciliation differences; recovery time.</w:t>
            </w:r>
          </w:p>
        </w:tc>
      </w:tr>
      <w:tr>
        <w:tc>
          <w:tcPr>
            <w:tcW w:type="dxa" w:w="2033"/>
            <w:vAlign w:val="center"/>
          </w:tcPr>
          <w:p>
            <w:pPr>
              <w:spacing w:after="0"/>
            </w:pPr>
            <w:r>
              <w:rPr>
                <w:sz w:val="14"/>
              </w:rPr>
              <w:t>P0 — MD Command Centre</w:t>
            </w:r>
          </w:p>
        </w:tc>
        <w:tc>
          <w:tcPr>
            <w:tcW w:type="dxa" w:w="2033"/>
            <w:vAlign w:val="center"/>
          </w:tcPr>
          <w:p>
            <w:pPr>
              <w:spacing w:after="0"/>
            </w:pPr>
            <w:r>
              <w:rPr>
                <w:sz w:val="14"/>
              </w:rPr>
              <w:t>One view of operational, commercial and financial exceptions.</w:t>
            </w:r>
          </w:p>
        </w:tc>
        <w:tc>
          <w:tcPr>
            <w:tcW w:type="dxa" w:w="2033"/>
            <w:vAlign w:val="center"/>
          </w:tcPr>
          <w:p>
            <w:pPr>
              <w:spacing w:after="0"/>
            </w:pPr>
            <w:r>
              <w:rPr>
                <w:sz w:val="14"/>
              </w:rPr>
              <w:t>Inward/QC/GRN/bill workflows, approved Excel snapshots, owners and KPI definitions.</w:t>
            </w:r>
          </w:p>
        </w:tc>
        <w:tc>
          <w:tcPr>
            <w:tcW w:type="dxa" w:w="2033"/>
            <w:vAlign w:val="center"/>
          </w:tcPr>
          <w:p>
            <w:pPr>
              <w:spacing w:after="0"/>
            </w:pPr>
            <w:r>
              <w:rPr>
                <w:sz w:val="14"/>
              </w:rPr>
              <w:t>Medium</w:t>
            </w:r>
          </w:p>
        </w:tc>
        <w:tc>
          <w:tcPr>
            <w:tcW w:type="dxa" w:w="2033"/>
            <w:vAlign w:val="center"/>
          </w:tcPr>
          <w:p>
            <w:pPr>
              <w:spacing w:after="0"/>
            </w:pPr>
            <w:r>
              <w:rPr>
                <w:sz w:val="14"/>
              </w:rPr>
              <w:t>MD reporting time; critical issues with owners; source reconciliation; stale-data visibility.</w:t>
            </w:r>
          </w:p>
        </w:tc>
      </w:tr>
      <w:tr>
        <w:tc>
          <w:tcPr>
            <w:tcW w:type="dxa" w:w="2033"/>
            <w:vAlign w:val="center"/>
          </w:tcPr>
          <w:p>
            <w:pPr>
              <w:spacing w:after="0"/>
            </w:pPr>
            <w:r>
              <w:rPr>
                <w:sz w:val="14"/>
              </w:rPr>
              <w:t>P0 — Exception &amp; accountability</w:t>
            </w:r>
          </w:p>
        </w:tc>
        <w:tc>
          <w:tcPr>
            <w:tcW w:type="dxa" w:w="2033"/>
            <w:vAlign w:val="center"/>
          </w:tcPr>
          <w:p>
            <w:pPr>
              <w:spacing w:after="0"/>
            </w:pPr>
            <w:r>
              <w:rPr>
                <w:sz w:val="14"/>
              </w:rPr>
              <w:t>Reduces manual chasing and makes delays owned.</w:t>
            </w:r>
          </w:p>
        </w:tc>
        <w:tc>
          <w:tcPr>
            <w:tcW w:type="dxa" w:w="2033"/>
            <w:vAlign w:val="center"/>
          </w:tcPr>
          <w:p>
            <w:pPr>
              <w:spacing w:after="0"/>
            </w:pPr>
            <w:r>
              <w:rPr>
                <w:sz w:val="14"/>
              </w:rPr>
              <w:t>Workflow states, timestamps, due dates, categories, owners, escalation rules.</w:t>
            </w:r>
          </w:p>
        </w:tc>
        <w:tc>
          <w:tcPr>
            <w:tcW w:type="dxa" w:w="2033"/>
            <w:vAlign w:val="center"/>
          </w:tcPr>
          <w:p>
            <w:pPr>
              <w:spacing w:after="0"/>
            </w:pPr>
            <w:r>
              <w:rPr>
                <w:sz w:val="14"/>
              </w:rPr>
              <w:t>Medium</w:t>
            </w:r>
          </w:p>
        </w:tc>
        <w:tc>
          <w:tcPr>
            <w:tcW w:type="dxa" w:w="2033"/>
            <w:vAlign w:val="center"/>
          </w:tcPr>
          <w:p>
            <w:pPr>
              <w:spacing w:after="0"/>
            </w:pPr>
            <w:r>
              <w:rPr>
                <w:sz w:val="14"/>
              </w:rPr>
              <w:t>Exception age; % with owner/due date; overdue rate; resolution time; reopen rate.</w:t>
            </w:r>
          </w:p>
        </w:tc>
      </w:tr>
      <w:tr>
        <w:tc>
          <w:tcPr>
            <w:tcW w:type="dxa" w:w="2033"/>
            <w:vAlign w:val="center"/>
          </w:tcPr>
          <w:p>
            <w:pPr>
              <w:spacing w:after="0"/>
            </w:pPr>
            <w:r>
              <w:rPr>
                <w:sz w:val="14"/>
              </w:rPr>
              <w:t>P1 — Daily briefing</w:t>
            </w:r>
          </w:p>
        </w:tc>
        <w:tc>
          <w:tcPr>
            <w:tcW w:type="dxa" w:w="2033"/>
            <w:vAlign w:val="center"/>
          </w:tcPr>
          <w:p>
            <w:pPr>
              <w:spacing w:after="0"/>
            </w:pPr>
            <w:r>
              <w:rPr>
                <w:sz w:val="14"/>
              </w:rPr>
              <w:t>Summarises changes, risks and decisions every morning.</w:t>
            </w:r>
          </w:p>
        </w:tc>
        <w:tc>
          <w:tcPr>
            <w:tcW w:type="dxa" w:w="2033"/>
            <w:vAlign w:val="center"/>
          </w:tcPr>
          <w:p>
            <w:pPr>
              <w:spacing w:after="0"/>
            </w:pPr>
            <w:r>
              <w:rPr>
                <w:sz w:val="14"/>
              </w:rPr>
              <w:t>Validated KPIs, prior-period snapshots, exceptions, production/finance data.</w:t>
            </w:r>
          </w:p>
        </w:tc>
        <w:tc>
          <w:tcPr>
            <w:tcW w:type="dxa" w:w="2033"/>
            <w:vAlign w:val="center"/>
          </w:tcPr>
          <w:p>
            <w:pPr>
              <w:spacing w:after="0"/>
            </w:pPr>
            <w:r>
              <w:rPr>
                <w:sz w:val="14"/>
              </w:rPr>
              <w:t>Medium</w:t>
            </w:r>
          </w:p>
        </w:tc>
        <w:tc>
          <w:tcPr>
            <w:tcW w:type="dxa" w:w="2033"/>
            <w:vAlign w:val="center"/>
          </w:tcPr>
          <w:p>
            <w:pPr>
              <w:spacing w:after="0"/>
            </w:pPr>
            <w:r>
              <w:rPr>
                <w:sz w:val="14"/>
              </w:rPr>
              <w:t>Briefing preparation time; actionable items; action completion; factual corrections.</w:t>
            </w:r>
          </w:p>
        </w:tc>
      </w:tr>
      <w:tr>
        <w:tc>
          <w:tcPr>
            <w:tcW w:type="dxa" w:w="2033"/>
            <w:vAlign w:val="center"/>
          </w:tcPr>
          <w:p>
            <w:pPr>
              <w:spacing w:after="0"/>
            </w:pPr>
            <w:r>
              <w:rPr>
                <w:sz w:val="14"/>
              </w:rPr>
              <w:t>P1 — Decision inbox</w:t>
            </w:r>
          </w:p>
        </w:tc>
        <w:tc>
          <w:tcPr>
            <w:tcW w:type="dxa" w:w="2033"/>
            <w:vAlign w:val="center"/>
          </w:tcPr>
          <w:p>
            <w:pPr>
              <w:spacing w:after="0"/>
            </w:pPr>
            <w:r>
              <w:rPr>
                <w:sz w:val="14"/>
              </w:rPr>
              <w:t>Centralises approvals and interventions with evidence.</w:t>
            </w:r>
          </w:p>
        </w:tc>
        <w:tc>
          <w:tcPr>
            <w:tcW w:type="dxa" w:w="2033"/>
            <w:vAlign w:val="center"/>
          </w:tcPr>
          <w:p>
            <w:pPr>
              <w:spacing w:after="0"/>
            </w:pPr>
            <w:r>
              <w:rPr>
                <w:sz w:val="14"/>
              </w:rPr>
              <w:t>Approved authority matrix, linked records, deadlines and decision history.</w:t>
            </w:r>
          </w:p>
        </w:tc>
        <w:tc>
          <w:tcPr>
            <w:tcW w:type="dxa" w:w="2033"/>
            <w:vAlign w:val="center"/>
          </w:tcPr>
          <w:p>
            <w:pPr>
              <w:spacing w:after="0"/>
            </w:pPr>
            <w:r>
              <w:rPr>
                <w:sz w:val="14"/>
              </w:rPr>
              <w:t>Medium</w:t>
            </w:r>
          </w:p>
        </w:tc>
        <w:tc>
          <w:tcPr>
            <w:tcW w:type="dxa" w:w="2033"/>
            <w:vAlign w:val="center"/>
          </w:tcPr>
          <w:p>
            <w:pPr>
              <w:spacing w:after="0"/>
            </w:pPr>
            <w:r>
              <w:rPr>
                <w:sz w:val="14"/>
              </w:rPr>
              <w:t>Approval turnaround; overdue decisions; decision-to-execution time.</w:t>
            </w:r>
          </w:p>
        </w:tc>
      </w:tr>
      <w:tr>
        <w:tc>
          <w:tcPr>
            <w:tcW w:type="dxa" w:w="2033"/>
            <w:vAlign w:val="center"/>
          </w:tcPr>
          <w:p>
            <w:pPr>
              <w:spacing w:after="0"/>
            </w:pPr>
            <w:r>
              <w:rPr>
                <w:sz w:val="14"/>
              </w:rPr>
              <w:t>P1 — Commitment tracker</w:t>
            </w:r>
          </w:p>
        </w:tc>
        <w:tc>
          <w:tcPr>
            <w:tcW w:type="dxa" w:w="2033"/>
            <w:vAlign w:val="center"/>
          </w:tcPr>
          <w:p>
            <w:pPr>
              <w:spacing w:after="0"/>
            </w:pPr>
            <w:r>
              <w:rPr>
                <w:sz w:val="14"/>
              </w:rPr>
              <w:t>Prevents promised actions from disappearing.</w:t>
            </w:r>
          </w:p>
        </w:tc>
        <w:tc>
          <w:tcPr>
            <w:tcW w:type="dxa" w:w="2033"/>
            <w:vAlign w:val="center"/>
          </w:tcPr>
          <w:p>
            <w:pPr>
              <w:spacing w:after="0"/>
            </w:pPr>
            <w:r>
              <w:rPr>
                <w:sz w:val="14"/>
              </w:rPr>
              <w:t>Owner, due date, originating issue/meeting, status, extensions, evidence.</w:t>
            </w:r>
          </w:p>
        </w:tc>
        <w:tc>
          <w:tcPr>
            <w:tcW w:type="dxa" w:w="2033"/>
            <w:vAlign w:val="center"/>
          </w:tcPr>
          <w:p>
            <w:pPr>
              <w:spacing w:after="0"/>
            </w:pPr>
            <w:r>
              <w:rPr>
                <w:sz w:val="14"/>
              </w:rPr>
              <w:t>Low–medium</w:t>
            </w:r>
          </w:p>
        </w:tc>
        <w:tc>
          <w:tcPr>
            <w:tcW w:type="dxa" w:w="2033"/>
            <w:vAlign w:val="center"/>
          </w:tcPr>
          <w:p>
            <w:pPr>
              <w:spacing w:after="0"/>
            </w:pPr>
            <w:r>
              <w:rPr>
                <w:sz w:val="14"/>
              </w:rPr>
              <w:t>On-time completion; overdue commitments; repeat extensions.</w:t>
            </w:r>
          </w:p>
        </w:tc>
      </w:tr>
      <w:tr>
        <w:tc>
          <w:tcPr>
            <w:tcW w:type="dxa" w:w="2033"/>
            <w:vAlign w:val="center"/>
          </w:tcPr>
          <w:p>
            <w:pPr>
              <w:spacing w:after="0"/>
            </w:pPr>
            <w:r>
              <w:rPr>
                <w:sz w:val="14"/>
              </w:rPr>
              <w:t>P1 — Production &amp; loss intelligence</w:t>
            </w:r>
          </w:p>
        </w:tc>
        <w:tc>
          <w:tcPr>
            <w:tcW w:type="dxa" w:w="2033"/>
            <w:vAlign w:val="center"/>
          </w:tcPr>
          <w:p>
            <w:pPr>
              <w:spacing w:after="0"/>
            </w:pPr>
            <w:r>
              <w:rPr>
                <w:sz w:val="14"/>
              </w:rPr>
              <w:t>Explains output gaps and quantifies losses where data permits.</w:t>
            </w:r>
          </w:p>
        </w:tc>
        <w:tc>
          <w:tcPr>
            <w:tcW w:type="dxa" w:w="2033"/>
            <w:vAlign w:val="center"/>
          </w:tcPr>
          <w:p>
            <w:pPr>
              <w:spacing w:after="0"/>
            </w:pPr>
            <w:r>
              <w:rPr>
                <w:sz w:val="14"/>
              </w:rPr>
              <w:t>Shift/grade/machine output, target, downtime, waste, QC loss, consumption and units.</w:t>
            </w:r>
          </w:p>
        </w:tc>
        <w:tc>
          <w:tcPr>
            <w:tcW w:type="dxa" w:w="2033"/>
            <w:vAlign w:val="center"/>
          </w:tcPr>
          <w:p>
            <w:pPr>
              <w:spacing w:after="0"/>
            </w:pPr>
            <w:r>
              <w:rPr>
                <w:sz w:val="14"/>
              </w:rPr>
              <w:t>Medium–high</w:t>
            </w:r>
          </w:p>
        </w:tc>
        <w:tc>
          <w:tcPr>
            <w:tcW w:type="dxa" w:w="2033"/>
            <w:vAlign w:val="center"/>
          </w:tcPr>
          <w:p>
            <w:pPr>
              <w:spacing w:after="0"/>
            </w:pPr>
            <w:r>
              <w:rPr>
                <w:sz w:val="14"/>
              </w:rPr>
              <w:t>Actual vs target; downtime; recorded loss tonnes; yield only with approved definition.</w:t>
            </w:r>
          </w:p>
        </w:tc>
      </w:tr>
      <w:tr>
        <w:tc>
          <w:tcPr>
            <w:tcW w:type="dxa" w:w="2033"/>
            <w:vAlign w:val="center"/>
          </w:tcPr>
          <w:p>
            <w:pPr>
              <w:spacing w:after="0"/>
            </w:pPr>
            <w:r>
              <w:rPr>
                <w:sz w:val="14"/>
              </w:rPr>
              <w:t>P1 — Working capital control tower</w:t>
            </w:r>
          </w:p>
        </w:tc>
        <w:tc>
          <w:tcPr>
            <w:tcW w:type="dxa" w:w="2033"/>
            <w:vAlign w:val="center"/>
          </w:tcPr>
          <w:p>
            <w:pPr>
              <w:spacing w:after="0"/>
            </w:pPr>
            <w:r>
              <w:rPr>
                <w:sz w:val="14"/>
              </w:rPr>
              <w:t>Shows where money is tied up and which bills are blocked.</w:t>
            </w:r>
          </w:p>
        </w:tc>
        <w:tc>
          <w:tcPr>
            <w:tcW w:type="dxa" w:w="2033"/>
            <w:vAlign w:val="center"/>
          </w:tcPr>
          <w:p>
            <w:pPr>
              <w:spacing w:after="0"/>
            </w:pPr>
            <w:r>
              <w:rPr>
                <w:sz w:val="14"/>
              </w:rPr>
              <w:t>DataMan AP/AR/payment/voucher/stock exports, due dates, bill workflow and purchase commitments.</w:t>
            </w:r>
          </w:p>
        </w:tc>
        <w:tc>
          <w:tcPr>
            <w:tcW w:type="dxa" w:w="2033"/>
            <w:vAlign w:val="center"/>
          </w:tcPr>
          <w:p>
            <w:pPr>
              <w:spacing w:after="0"/>
            </w:pPr>
            <w:r>
              <w:rPr>
                <w:sz w:val="14"/>
              </w:rPr>
              <w:t>Medium</w:t>
            </w:r>
          </w:p>
        </w:tc>
        <w:tc>
          <w:tcPr>
            <w:tcW w:type="dxa" w:w="2033"/>
            <w:vAlign w:val="center"/>
          </w:tcPr>
          <w:p>
            <w:pPr>
              <w:spacing w:after="0"/>
            </w:pPr>
            <w:r>
              <w:rPr>
                <w:sz w:val="14"/>
              </w:rPr>
              <w:t>AP/AR ageing; overdue receivables; blocked bill value/age; stock freshness.</w:t>
            </w:r>
          </w:p>
        </w:tc>
      </w:tr>
      <w:tr>
        <w:tc>
          <w:tcPr>
            <w:tcW w:type="dxa" w:w="2033"/>
            <w:vAlign w:val="center"/>
          </w:tcPr>
          <w:p>
            <w:pPr>
              <w:spacing w:after="0"/>
            </w:pPr>
            <w:r>
              <w:rPr>
                <w:sz w:val="14"/>
              </w:rPr>
              <w:t>P1/P2 — Supplier intelligence</w:t>
            </w:r>
          </w:p>
        </w:tc>
        <w:tc>
          <w:tcPr>
            <w:tcW w:type="dxa" w:w="2033"/>
            <w:vAlign w:val="center"/>
          </w:tcPr>
          <w:p>
            <w:pPr>
              <w:spacing w:after="0"/>
            </w:pPr>
            <w:r>
              <w:rPr>
                <w:sz w:val="14"/>
              </w:rPr>
              <w:t>Improves sourcing based on full supplier performance.</w:t>
            </w:r>
          </w:p>
        </w:tc>
        <w:tc>
          <w:tcPr>
            <w:tcW w:type="dxa" w:w="2033"/>
            <w:vAlign w:val="center"/>
          </w:tcPr>
          <w:p>
            <w:pPr>
              <w:spacing w:after="0"/>
            </w:pPr>
            <w:r>
              <w:rPr>
                <w:sz w:val="14"/>
              </w:rPr>
              <w:t>PO, receipt, QC, invoice, delivery history; comparable units/terms.</w:t>
            </w:r>
          </w:p>
        </w:tc>
        <w:tc>
          <w:tcPr>
            <w:tcW w:type="dxa" w:w="2033"/>
            <w:vAlign w:val="center"/>
          </w:tcPr>
          <w:p>
            <w:pPr>
              <w:spacing w:after="0"/>
            </w:pPr>
            <w:r>
              <w:rPr>
                <w:sz w:val="14"/>
              </w:rPr>
              <w:t>Medium</w:t>
            </w:r>
          </w:p>
        </w:tc>
        <w:tc>
          <w:tcPr>
            <w:tcW w:type="dxa" w:w="2033"/>
            <w:vAlign w:val="center"/>
          </w:tcPr>
          <w:p>
            <w:pPr>
              <w:spacing w:after="0"/>
            </w:pPr>
            <w:r>
              <w:rPr>
                <w:sz w:val="14"/>
              </w:rPr>
              <w:t>On-time delivery; accepted/rejected quantities; comparable price variance; dispute rate.</w:t>
            </w:r>
          </w:p>
        </w:tc>
      </w:tr>
      <w:tr>
        <w:tc>
          <w:tcPr>
            <w:tcW w:type="dxa" w:w="2033"/>
            <w:vAlign w:val="center"/>
          </w:tcPr>
          <w:p>
            <w:pPr>
              <w:spacing w:after="0"/>
            </w:pPr>
            <w:r>
              <w:rPr>
                <w:sz w:val="14"/>
              </w:rPr>
              <w:t>P2 — Inventory, sales, maintenance intelligence</w:t>
            </w:r>
          </w:p>
        </w:tc>
        <w:tc>
          <w:tcPr>
            <w:tcW w:type="dxa" w:w="2033"/>
            <w:vAlign w:val="center"/>
          </w:tcPr>
          <w:p>
            <w:pPr>
              <w:spacing w:after="0"/>
            </w:pPr>
            <w:r>
              <w:rPr>
                <w:sz w:val="14"/>
              </w:rPr>
              <w:t>Highlights shortages, dispatch risk, held stock and repeat failures.</w:t>
            </w:r>
          </w:p>
        </w:tc>
        <w:tc>
          <w:tcPr>
            <w:tcW w:type="dxa" w:w="2033"/>
            <w:vAlign w:val="center"/>
          </w:tcPr>
          <w:p>
            <w:pPr>
              <w:spacing w:after="0"/>
            </w:pPr>
            <w:r>
              <w:rPr>
                <w:sz w:val="14"/>
              </w:rPr>
              <w:t>Stock snapshots, orders, dispatch, work orders, asset register and source cadence.</w:t>
            </w:r>
          </w:p>
        </w:tc>
        <w:tc>
          <w:tcPr>
            <w:tcW w:type="dxa" w:w="2033"/>
            <w:vAlign w:val="center"/>
          </w:tcPr>
          <w:p>
            <w:pPr>
              <w:spacing w:after="0"/>
            </w:pPr>
            <w:r>
              <w:rPr>
                <w:sz w:val="14"/>
              </w:rPr>
              <w:t>Medium–high</w:t>
            </w:r>
          </w:p>
        </w:tc>
        <w:tc>
          <w:tcPr>
            <w:tcW w:type="dxa" w:w="2033"/>
            <w:vAlign w:val="center"/>
          </w:tcPr>
          <w:p>
            <w:pPr>
              <w:spacing w:after="0"/>
            </w:pPr>
            <w:r>
              <w:rPr>
                <w:sz w:val="14"/>
              </w:rPr>
              <w:t>Days of cover when valid; held-stock age; on-time delivery; downtime; PM compliance.</w:t>
            </w:r>
          </w:p>
        </w:tc>
      </w:tr>
      <w:tr>
        <w:tc>
          <w:tcPr>
            <w:tcW w:type="dxa" w:w="2033"/>
            <w:vAlign w:val="center"/>
          </w:tcPr>
          <w:p>
            <w:pPr>
              <w:spacing w:after="0"/>
            </w:pPr>
            <w:r>
              <w:rPr>
                <w:sz w:val="14"/>
              </w:rPr>
              <w:t>P2 — Cost per tonne / margin</w:t>
            </w:r>
          </w:p>
        </w:tc>
        <w:tc>
          <w:tcPr>
            <w:tcW w:type="dxa" w:w="2033"/>
            <w:vAlign w:val="center"/>
          </w:tcPr>
          <w:p>
            <w:pPr>
              <w:spacing w:after="0"/>
            </w:pPr>
            <w:r>
              <w:rPr>
                <w:sz w:val="14"/>
              </w:rPr>
              <w:t>Makes cost drivers visible by grade/period.</w:t>
            </w:r>
          </w:p>
        </w:tc>
        <w:tc>
          <w:tcPr>
            <w:tcW w:type="dxa" w:w="2033"/>
            <w:vAlign w:val="center"/>
          </w:tcPr>
          <w:p>
            <w:pPr>
              <w:spacing w:after="0"/>
            </w:pPr>
            <w:r>
              <w:rPr>
                <w:sz w:val="14"/>
              </w:rPr>
              <w:t>Reconciled materials, chemicals, energy, labour, maintenance, waste, output and approved allocations.</w:t>
            </w:r>
          </w:p>
        </w:tc>
        <w:tc>
          <w:tcPr>
            <w:tcW w:type="dxa" w:w="2033"/>
            <w:vAlign w:val="center"/>
          </w:tcPr>
          <w:p>
            <w:pPr>
              <w:spacing w:after="0"/>
            </w:pPr>
            <w:r>
              <w:rPr>
                <w:sz w:val="14"/>
              </w:rPr>
              <w:t>High</w:t>
            </w:r>
          </w:p>
        </w:tc>
        <w:tc>
          <w:tcPr>
            <w:tcW w:type="dxa" w:w="2033"/>
            <w:vAlign w:val="center"/>
          </w:tcPr>
          <w:p>
            <w:pPr>
              <w:spacing w:after="0"/>
            </w:pPr>
            <w:r>
              <w:rPr>
                <w:sz w:val="14"/>
              </w:rPr>
              <w:t>Cost per tonne; actual vs budget; energy per tonne; waste cost where definitions are signed.</w:t>
            </w:r>
          </w:p>
        </w:tc>
      </w:tr>
      <w:tr>
        <w:tc>
          <w:tcPr>
            <w:tcW w:type="dxa" w:w="2033"/>
            <w:vAlign w:val="center"/>
          </w:tcPr>
          <w:p>
            <w:pPr>
              <w:spacing w:after="0"/>
            </w:pPr>
            <w:r>
              <w:rPr>
                <w:sz w:val="14"/>
              </w:rPr>
              <w:t>P3 — Anomaly detection &amp; forecasting</w:t>
            </w:r>
          </w:p>
        </w:tc>
        <w:tc>
          <w:tcPr>
            <w:tcW w:type="dxa" w:w="2033"/>
            <w:vAlign w:val="center"/>
          </w:tcPr>
          <w:p>
            <w:pPr>
              <w:spacing w:after="0"/>
            </w:pPr>
            <w:r>
              <w:rPr>
                <w:sz w:val="14"/>
              </w:rPr>
              <w:t>Surfaces unusual patterns and supports scenarios.</w:t>
            </w:r>
          </w:p>
        </w:tc>
        <w:tc>
          <w:tcPr>
            <w:tcW w:type="dxa" w:w="2033"/>
            <w:vAlign w:val="center"/>
          </w:tcPr>
          <w:p>
            <w:pPr>
              <w:spacing w:after="0"/>
            </w:pPr>
            <w:r>
              <w:rPr>
                <w:sz w:val="14"/>
              </w:rPr>
              <w:t>Clean history, stable definitions, sufficient sample sizes, approved assumptions.</w:t>
            </w:r>
          </w:p>
        </w:tc>
        <w:tc>
          <w:tcPr>
            <w:tcW w:type="dxa" w:w="2033"/>
            <w:vAlign w:val="center"/>
          </w:tcPr>
          <w:p>
            <w:pPr>
              <w:spacing w:after="0"/>
            </w:pPr>
            <w:r>
              <w:rPr>
                <w:sz w:val="14"/>
              </w:rPr>
              <w:t>High</w:t>
            </w:r>
          </w:p>
        </w:tc>
        <w:tc>
          <w:tcPr>
            <w:tcW w:type="dxa" w:w="2033"/>
            <w:vAlign w:val="center"/>
          </w:tcPr>
          <w:p>
            <w:pPr>
              <w:spacing w:after="0"/>
            </w:pPr>
            <w:r>
              <w:rPr>
                <w:sz w:val="14"/>
              </w:rPr>
              <w:t>Alert precision/false positives; forecast error; human dispositions.</w:t>
            </w:r>
          </w:p>
        </w:tc>
      </w:tr>
      <w:tr>
        <w:tc>
          <w:tcPr>
            <w:tcW w:type="dxa" w:w="2033"/>
            <w:vAlign w:val="center"/>
          </w:tcPr>
          <w:p>
            <w:pPr>
              <w:spacing w:after="0"/>
            </w:pPr>
            <w:r>
              <w:rPr>
                <w:sz w:val="14"/>
              </w:rPr>
              <w:t>P3 — Read-only AI assistant</w:t>
            </w:r>
          </w:p>
        </w:tc>
        <w:tc>
          <w:tcPr>
            <w:tcW w:type="dxa" w:w="2033"/>
            <w:vAlign w:val="center"/>
          </w:tcPr>
          <w:p>
            <w:pPr>
              <w:spacing w:after="0"/>
            </w:pPr>
            <w:r>
              <w:rPr>
                <w:sz w:val="14"/>
              </w:rPr>
              <w:t>Answers management questions from authorised records with evidence.</w:t>
            </w:r>
          </w:p>
        </w:tc>
        <w:tc>
          <w:tcPr>
            <w:tcW w:type="dxa" w:w="2033"/>
            <w:vAlign w:val="center"/>
          </w:tcPr>
          <w:p>
            <w:pPr>
              <w:spacing w:after="0"/>
            </w:pPr>
            <w:r>
              <w:rPr>
                <w:sz w:val="14"/>
              </w:rPr>
              <w:t>Permission-aware query layer, metric dictionary, source links, freshness metadata.</w:t>
            </w:r>
          </w:p>
        </w:tc>
        <w:tc>
          <w:tcPr>
            <w:tcW w:type="dxa" w:w="2033"/>
            <w:vAlign w:val="center"/>
          </w:tcPr>
          <w:p>
            <w:pPr>
              <w:spacing w:after="0"/>
            </w:pPr>
            <w:r>
              <w:rPr>
                <w:sz w:val="14"/>
              </w:rPr>
              <w:t>High</w:t>
            </w:r>
          </w:p>
        </w:tc>
        <w:tc>
          <w:tcPr>
            <w:tcW w:type="dxa" w:w="2033"/>
            <w:vAlign w:val="center"/>
          </w:tcPr>
          <w:p>
            <w:pPr>
              <w:spacing w:after="0"/>
            </w:pPr>
            <w:r>
              <w:rPr>
                <w:sz w:val="14"/>
              </w:rPr>
              <w:t>Grounded-answer rate; valid links; unsupported-answer rate; access-control tests.</w:t>
            </w:r>
          </w:p>
        </w:tc>
      </w:tr>
      <w:tr>
        <w:tc>
          <w:tcPr>
            <w:tcW w:type="dxa" w:w="2033"/>
            <w:vAlign w:val="center"/>
          </w:tcPr>
          <w:p>
            <w:pPr>
              <w:spacing w:after="0"/>
            </w:pPr>
            <w:r>
              <w:rPr>
                <w:sz w:val="14"/>
              </w:rPr>
              <w:t>P4 — Supplier/customer portal</w:t>
            </w:r>
          </w:p>
        </w:tc>
        <w:tc>
          <w:tcPr>
            <w:tcW w:type="dxa" w:w="2033"/>
            <w:vAlign w:val="center"/>
          </w:tcPr>
          <w:p>
            <w:pPr>
              <w:spacing w:after="0"/>
            </w:pPr>
            <w:r>
              <w:rPr>
                <w:sz w:val="14"/>
              </w:rPr>
              <w:t>Reduces external document chasing.</w:t>
            </w:r>
          </w:p>
        </w:tc>
        <w:tc>
          <w:tcPr>
            <w:tcW w:type="dxa" w:w="2033"/>
            <w:vAlign w:val="center"/>
          </w:tcPr>
          <w:p>
            <w:pPr>
              <w:spacing w:after="0"/>
            </w:pPr>
            <w:r>
              <w:rPr>
                <w:sz w:val="14"/>
              </w:rPr>
              <w:t>External identity, scoped permissions, support and secure document workflows.</w:t>
            </w:r>
          </w:p>
        </w:tc>
        <w:tc>
          <w:tcPr>
            <w:tcW w:type="dxa" w:w="2033"/>
            <w:vAlign w:val="center"/>
          </w:tcPr>
          <w:p>
            <w:pPr>
              <w:spacing w:after="0"/>
            </w:pPr>
            <w:r>
              <w:rPr>
                <w:sz w:val="14"/>
              </w:rPr>
              <w:t>High</w:t>
            </w:r>
          </w:p>
        </w:tc>
        <w:tc>
          <w:tcPr>
            <w:tcW w:type="dxa" w:w="2033"/>
            <w:vAlign w:val="center"/>
          </w:tcPr>
          <w:p>
            <w:pPr>
              <w:spacing w:after="0"/>
            </w:pPr>
            <w:r>
              <w:rPr>
                <w:sz w:val="14"/>
              </w:rPr>
              <w:t>Document completeness; response time; adoption; access incidents.</w:t>
            </w:r>
          </w:p>
        </w:tc>
      </w:tr>
    </w:tbl>
    <w:p/>
    <w:p>
      <w:pPr>
        <w:pStyle w:val="Heading2"/>
      </w:pPr>
      <w:r>
        <w:t>21.3 Release order and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24D"/>
          </w:tcPr>
          <w:p>
            <w:r>
              <w:rPr>
                <w:b/>
                <w:color w:val="FFFFFF"/>
                <w:sz w:val="15"/>
              </w:rPr>
              <w:t>Release</w:t>
            </w:r>
          </w:p>
        </w:tc>
        <w:tc>
          <w:tcPr>
            <w:tcW w:type="dxa" w:w="3389"/>
            <w:shd w:fill="17324D"/>
          </w:tcPr>
          <w:p>
            <w:r>
              <w:rPr>
                <w:b/>
                <w:color w:val="FFFFFF"/>
                <w:sz w:val="15"/>
              </w:rPr>
              <w:t>Scope</w:t>
            </w:r>
          </w:p>
        </w:tc>
        <w:tc>
          <w:tcPr>
            <w:tcW w:type="dxa" w:w="3389"/>
            <w:shd w:fill="17324D"/>
          </w:tcPr>
          <w:p>
            <w:r>
              <w:rPr>
                <w:b/>
                <w:color w:val="FFFFFF"/>
                <w:sz w:val="15"/>
              </w:rPr>
              <w:t>Gate</w:t>
            </w:r>
          </w:p>
        </w:tc>
      </w:tr>
      <w:tr>
        <w:tc>
          <w:tcPr>
            <w:tcW w:type="dxa" w:w="3389"/>
            <w:vAlign w:val="center"/>
          </w:tcPr>
          <w:p>
            <w:pPr>
              <w:spacing w:after="0"/>
            </w:pPr>
            <w:r>
              <w:rPr>
                <w:sz w:val="14"/>
              </w:rPr>
              <w:t>A — Foundation</w:t>
            </w:r>
          </w:p>
        </w:tc>
        <w:tc>
          <w:tcPr>
            <w:tcW w:type="dxa" w:w="3389"/>
            <w:vAlign w:val="center"/>
          </w:tcPr>
          <w:p>
            <w:pPr>
              <w:spacing w:after="0"/>
            </w:pPr>
            <w:r>
              <w:rPr>
                <w:sz w:val="14"/>
              </w:rPr>
              <w:t>Data freshness, inward/QC/GRN packet, physical bundle tracking, Excel imports, exception ownership, initial MD view.</w:t>
            </w:r>
          </w:p>
        </w:tc>
        <w:tc>
          <w:tcPr>
            <w:tcW w:type="dxa" w:w="3389"/>
            <w:vAlign w:val="center"/>
          </w:tcPr>
          <w:p>
            <w:pPr>
              <w:spacing w:after="0"/>
            </w:pPr>
            <w:r>
              <w:rPr>
                <w:sz w:val="14"/>
              </w:rPr>
              <w:t>Pilot reconciles; corporate can access packet; audit/permissions pass; no false posting status.</w:t>
            </w:r>
          </w:p>
        </w:tc>
      </w:tr>
      <w:tr>
        <w:tc>
          <w:tcPr>
            <w:tcW w:type="dxa" w:w="3389"/>
            <w:vAlign w:val="center"/>
          </w:tcPr>
          <w:p>
            <w:pPr>
              <w:spacing w:after="0"/>
            </w:pPr>
            <w:r>
              <w:rPr>
                <w:sz w:val="14"/>
              </w:rPr>
              <w:t>B — Management execution</w:t>
            </w:r>
          </w:p>
        </w:tc>
        <w:tc>
          <w:tcPr>
            <w:tcW w:type="dxa" w:w="3389"/>
            <w:vAlign w:val="center"/>
          </w:tcPr>
          <w:p>
            <w:pPr>
              <w:spacing w:after="0"/>
            </w:pPr>
            <w:r>
              <w:rPr>
                <w:sz w:val="14"/>
              </w:rPr>
              <w:t>Daily briefing, decision inbox, commitments, reminders and escalations.</w:t>
            </w:r>
          </w:p>
        </w:tc>
        <w:tc>
          <w:tcPr>
            <w:tcW w:type="dxa" w:w="3389"/>
            <w:vAlign w:val="center"/>
          </w:tcPr>
          <w:p>
            <w:pPr>
              <w:spacing w:after="0"/>
            </w:pPr>
            <w:r>
              <w:rPr>
                <w:sz w:val="14"/>
              </w:rPr>
              <w:t>Facts link to sources; actions have owners; decisions are auditable.</w:t>
            </w:r>
          </w:p>
        </w:tc>
      </w:tr>
      <w:tr>
        <w:tc>
          <w:tcPr>
            <w:tcW w:type="dxa" w:w="3389"/>
            <w:vAlign w:val="center"/>
          </w:tcPr>
          <w:p>
            <w:pPr>
              <w:spacing w:after="0"/>
            </w:pPr>
            <w:r>
              <w:rPr>
                <w:sz w:val="14"/>
              </w:rPr>
              <w:t>C — Factory performance</w:t>
            </w:r>
          </w:p>
        </w:tc>
        <w:tc>
          <w:tcPr>
            <w:tcW w:type="dxa" w:w="3389"/>
            <w:vAlign w:val="center"/>
          </w:tcPr>
          <w:p>
            <w:pPr>
              <w:spacing w:after="0"/>
            </w:pPr>
            <w:r>
              <w:rPr>
                <w:sz w:val="14"/>
              </w:rPr>
              <w:t>Production/shift/downtime/loss, inventory and maintenance.</w:t>
            </w:r>
          </w:p>
        </w:tc>
        <w:tc>
          <w:tcPr>
            <w:tcW w:type="dxa" w:w="3389"/>
            <w:vAlign w:val="center"/>
          </w:tcPr>
          <w:p>
            <w:pPr>
              <w:spacing w:after="0"/>
            </w:pPr>
            <w:r>
              <w:rPr>
                <w:sz w:val="14"/>
              </w:rPr>
              <w:t>Source registers reconcile; units and KPI definitions are approved.</w:t>
            </w:r>
          </w:p>
        </w:tc>
      </w:tr>
      <w:tr>
        <w:tc>
          <w:tcPr>
            <w:tcW w:type="dxa" w:w="3389"/>
            <w:vAlign w:val="center"/>
          </w:tcPr>
          <w:p>
            <w:pPr>
              <w:spacing w:after="0"/>
            </w:pPr>
            <w:r>
              <w:rPr>
                <w:sz w:val="14"/>
              </w:rPr>
              <w:t>D — Finance/commercial insight</w:t>
            </w:r>
          </w:p>
        </w:tc>
        <w:tc>
          <w:tcPr>
            <w:tcW w:type="dxa" w:w="3389"/>
            <w:vAlign w:val="center"/>
          </w:tcPr>
          <w:p>
            <w:pPr>
              <w:spacing w:after="0"/>
            </w:pPr>
            <w:r>
              <w:rPr>
                <w:sz w:val="14"/>
              </w:rPr>
              <w:t>Working capital, supplier performance, sales/dispatch, cost per tonne where valid.</w:t>
            </w:r>
          </w:p>
        </w:tc>
        <w:tc>
          <w:tcPr>
            <w:tcW w:type="dxa" w:w="3389"/>
            <w:vAlign w:val="center"/>
          </w:tcPr>
          <w:p>
            <w:pPr>
              <w:spacing w:after="0"/>
            </w:pPr>
            <w:r>
              <w:rPr>
                <w:sz w:val="14"/>
              </w:rPr>
              <w:t>DataMan totals reconcile; actuals are separated from estimates.</w:t>
            </w:r>
          </w:p>
        </w:tc>
      </w:tr>
      <w:tr>
        <w:tc>
          <w:tcPr>
            <w:tcW w:type="dxa" w:w="3389"/>
            <w:vAlign w:val="center"/>
          </w:tcPr>
          <w:p>
            <w:pPr>
              <w:spacing w:after="0"/>
            </w:pPr>
            <w:r>
              <w:rPr>
                <w:sz w:val="14"/>
              </w:rPr>
              <w:t>E — Advanced intelligence</w:t>
            </w:r>
          </w:p>
        </w:tc>
        <w:tc>
          <w:tcPr>
            <w:tcW w:type="dxa" w:w="3389"/>
            <w:vAlign w:val="center"/>
          </w:tcPr>
          <w:p>
            <w:pPr>
              <w:spacing w:after="0"/>
            </w:pPr>
            <w:r>
              <w:rPr>
                <w:sz w:val="14"/>
              </w:rPr>
              <w:t>Anomaly detection, forecasting, what-if simulator, constrained read-only AI.</w:t>
            </w:r>
          </w:p>
        </w:tc>
        <w:tc>
          <w:tcPr>
            <w:tcW w:type="dxa" w:w="3389"/>
            <w:vAlign w:val="center"/>
          </w:tcPr>
          <w:p>
            <w:pPr>
              <w:spacing w:after="0"/>
            </w:pPr>
            <w:r>
              <w:rPr>
                <w:sz w:val="14"/>
              </w:rPr>
              <w:t>Enough history; measurable validation; explainability and permissions pass.</w:t>
            </w:r>
          </w:p>
        </w:tc>
      </w:tr>
    </w:tbl>
    <w:p/>
    <w:p>
      <w:pPr>
        <w:pStyle w:val="Heading2"/>
      </w:pPr>
      <w:r>
        <w:t>21.4 Additional data entities</w:t>
      </w:r>
    </w:p>
    <w:tbl>
      <w:tblPr>
        <w:tblStyle w:val="TableGrid"/>
        <w:tblW w:type="auto" w:w="0"/>
        <w:jc w:val="center"/>
        <w:tblLook w:firstColumn="1" w:firstRow="1" w:lastColumn="0" w:lastRow="0" w:noHBand="0" w:noVBand="1" w:val="04A0"/>
      </w:tblPr>
      <w:tblGrid>
        <w:gridCol w:w="5083"/>
        <w:gridCol w:w="5083"/>
      </w:tblGrid>
      <w:tr>
        <w:tc>
          <w:tcPr>
            <w:tcW w:type="dxa" w:w="5083"/>
            <w:shd w:fill="17324D"/>
          </w:tcPr>
          <w:p>
            <w:r>
              <w:rPr>
                <w:b/>
                <w:color w:val="FFFFFF"/>
                <w:sz w:val="15"/>
              </w:rPr>
              <w:t>Entity</w:t>
            </w:r>
          </w:p>
        </w:tc>
        <w:tc>
          <w:tcPr>
            <w:tcW w:type="dxa" w:w="5083"/>
            <w:shd w:fill="17324D"/>
          </w:tcPr>
          <w:p>
            <w:r>
              <w:rPr>
                <w:b/>
                <w:color w:val="FFFFFF"/>
                <w:sz w:val="15"/>
              </w:rPr>
              <w:t>Purpose / required fields</w:t>
            </w:r>
          </w:p>
        </w:tc>
      </w:tr>
      <w:tr>
        <w:tc>
          <w:tcPr>
            <w:tcW w:type="dxa" w:w="5083"/>
            <w:vAlign w:val="center"/>
          </w:tcPr>
          <w:p>
            <w:pPr>
              <w:spacing w:after="0"/>
            </w:pPr>
            <w:r>
              <w:rPr>
                <w:sz w:val="14"/>
              </w:rPr>
              <w:t>KPIDefinition</w:t>
            </w:r>
          </w:p>
        </w:tc>
        <w:tc>
          <w:tcPr>
            <w:tcW w:type="dxa" w:w="5083"/>
            <w:vAlign w:val="center"/>
          </w:tcPr>
          <w:p>
            <w:pPr>
              <w:spacing w:after="0"/>
            </w:pPr>
            <w:r>
              <w:rPr>
                <w:sz w:val="14"/>
              </w:rPr>
              <w:t>Code, version, owner, formula, unit, period, sources, inclusion/exclusion rules and approval.</w:t>
            </w:r>
          </w:p>
        </w:tc>
      </w:tr>
      <w:tr>
        <w:tc>
          <w:tcPr>
            <w:tcW w:type="dxa" w:w="5083"/>
            <w:vAlign w:val="center"/>
          </w:tcPr>
          <w:p>
            <w:pPr>
              <w:spacing w:after="0"/>
            </w:pPr>
            <w:r>
              <w:rPr>
                <w:sz w:val="14"/>
              </w:rPr>
              <w:t>DataFreshnessState</w:t>
            </w:r>
          </w:p>
        </w:tc>
        <w:tc>
          <w:tcPr>
            <w:tcW w:type="dxa" w:w="5083"/>
            <w:vAlign w:val="center"/>
          </w:tcPr>
          <w:p>
            <w:pPr>
              <w:spacing w:after="0"/>
            </w:pPr>
            <w:r>
              <w:rPr>
                <w:sz w:val="14"/>
              </w:rPr>
              <w:t>Dataset, source report, source-as-of/export/import times, last success, freshness and reconciliation status.</w:t>
            </w:r>
          </w:p>
        </w:tc>
      </w:tr>
      <w:tr>
        <w:tc>
          <w:tcPr>
            <w:tcW w:type="dxa" w:w="5083"/>
            <w:vAlign w:val="center"/>
          </w:tcPr>
          <w:p>
            <w:pPr>
              <w:spacing w:after="0"/>
            </w:pPr>
            <w:r>
              <w:rPr>
                <w:sz w:val="14"/>
              </w:rPr>
              <w:t>ManagementAction</w:t>
            </w:r>
          </w:p>
        </w:tc>
        <w:tc>
          <w:tcPr>
            <w:tcW w:type="dxa" w:w="5083"/>
            <w:vAlign w:val="center"/>
          </w:tcPr>
          <w:p>
            <w:pPr>
              <w:spacing w:after="0"/>
            </w:pPr>
            <w:r>
              <w:rPr>
                <w:sz w:val="14"/>
              </w:rPr>
              <w:t>Source entity, action type, owner, due date, priority, state, decision, evidence and closure.</w:t>
            </w:r>
          </w:p>
        </w:tc>
      </w:tr>
      <w:tr>
        <w:tc>
          <w:tcPr>
            <w:tcW w:type="dxa" w:w="5083"/>
            <w:vAlign w:val="center"/>
          </w:tcPr>
          <w:p>
            <w:pPr>
              <w:spacing w:after="0"/>
            </w:pPr>
            <w:r>
              <w:rPr>
                <w:sz w:val="14"/>
              </w:rPr>
              <w:t>Commitment</w:t>
            </w:r>
          </w:p>
        </w:tc>
        <w:tc>
          <w:tcPr>
            <w:tcW w:type="dxa" w:w="5083"/>
            <w:vAlign w:val="center"/>
          </w:tcPr>
          <w:p>
            <w:pPr>
              <w:spacing w:after="0"/>
            </w:pPr>
            <w:r>
              <w:rPr>
                <w:sz w:val="14"/>
              </w:rPr>
              <w:t>Owner, originating issue/meeting, due date, extension history, completion evidence and outcome.</w:t>
            </w:r>
          </w:p>
        </w:tc>
      </w:tr>
      <w:tr>
        <w:tc>
          <w:tcPr>
            <w:tcW w:type="dxa" w:w="5083"/>
            <w:vAlign w:val="center"/>
          </w:tcPr>
          <w:p>
            <w:pPr>
              <w:spacing w:after="0"/>
            </w:pPr>
            <w:r>
              <w:rPr>
                <w:sz w:val="14"/>
              </w:rPr>
              <w:t>EscalationEvent</w:t>
            </w:r>
          </w:p>
        </w:tc>
        <w:tc>
          <w:tcPr>
            <w:tcW w:type="dxa" w:w="5083"/>
            <w:vAlign w:val="center"/>
          </w:tcPr>
          <w:p>
            <w:pPr>
              <w:spacing w:after="0"/>
            </w:pPr>
            <w:r>
              <w:rPr>
                <w:sz w:val="14"/>
              </w:rPr>
              <w:t>Rule version, linked entity, recipient, level, sent/acknowledged/resolved timestamps.</w:t>
            </w:r>
          </w:p>
        </w:tc>
      </w:tr>
      <w:tr>
        <w:tc>
          <w:tcPr>
            <w:tcW w:type="dxa" w:w="5083"/>
            <w:vAlign w:val="center"/>
          </w:tcPr>
          <w:p>
            <w:pPr>
              <w:spacing w:after="0"/>
            </w:pPr>
            <w:r>
              <w:rPr>
                <w:sz w:val="14"/>
              </w:rPr>
              <w:t>ProductionTarget</w:t>
            </w:r>
          </w:p>
        </w:tc>
        <w:tc>
          <w:tcPr>
            <w:tcW w:type="dxa" w:w="5083"/>
            <w:vAlign w:val="center"/>
          </w:tcPr>
          <w:p>
            <w:pPr>
              <w:spacing w:after="0"/>
            </w:pPr>
            <w:r>
              <w:rPr>
                <w:sz w:val="14"/>
              </w:rPr>
              <w:t>Period, shift/grade/machine scope, target quantity/unit, source and approval/version.</w:t>
            </w:r>
          </w:p>
        </w:tc>
      </w:tr>
      <w:tr>
        <w:tc>
          <w:tcPr>
            <w:tcW w:type="dxa" w:w="5083"/>
            <w:vAlign w:val="center"/>
          </w:tcPr>
          <w:p>
            <w:pPr>
              <w:spacing w:after="0"/>
            </w:pPr>
            <w:r>
              <w:rPr>
                <w:sz w:val="14"/>
              </w:rPr>
              <w:t>LossEvent</w:t>
            </w:r>
          </w:p>
        </w:tc>
        <w:tc>
          <w:tcPr>
            <w:tcW w:type="dxa" w:w="5083"/>
            <w:vAlign w:val="center"/>
          </w:tcPr>
          <w:p>
            <w:pPr>
              <w:spacing w:after="0"/>
            </w:pPr>
            <w:r>
              <w:rPr>
                <w:sz w:val="14"/>
              </w:rPr>
              <w:t>Category, quantity/unit, machine/grade/shift, reason, evidence, source and classification approval.</w:t>
            </w:r>
          </w:p>
        </w:tc>
      </w:tr>
      <w:tr>
        <w:tc>
          <w:tcPr>
            <w:tcW w:type="dxa" w:w="5083"/>
            <w:vAlign w:val="center"/>
          </w:tcPr>
          <w:p>
            <w:pPr>
              <w:spacing w:after="0"/>
            </w:pPr>
            <w:r>
              <w:rPr>
                <w:sz w:val="14"/>
              </w:rPr>
              <w:t>ScenarioModel</w:t>
            </w:r>
          </w:p>
        </w:tc>
        <w:tc>
          <w:tcPr>
            <w:tcW w:type="dxa" w:w="5083"/>
            <w:vAlign w:val="center"/>
          </w:tcPr>
          <w:p>
            <w:pPr>
              <w:spacing w:after="0"/>
            </w:pPr>
            <w:r>
              <w:rPr>
                <w:sz w:val="14"/>
              </w:rPr>
              <w:t>Model version, assumptions, input snapshot IDs, outputs, uncertainty and creator.</w:t>
            </w:r>
          </w:p>
        </w:tc>
      </w:tr>
      <w:tr>
        <w:tc>
          <w:tcPr>
            <w:tcW w:type="dxa" w:w="5083"/>
            <w:vAlign w:val="center"/>
          </w:tcPr>
          <w:p>
            <w:pPr>
              <w:spacing w:after="0"/>
            </w:pPr>
            <w:r>
              <w:rPr>
                <w:sz w:val="14"/>
              </w:rPr>
              <w:t>AIAnswerTrace</w:t>
            </w:r>
          </w:p>
        </w:tc>
        <w:tc>
          <w:tcPr>
            <w:tcW w:type="dxa" w:w="5083"/>
            <w:vAlign w:val="center"/>
          </w:tcPr>
          <w:p>
            <w:pPr>
              <w:spacing w:after="0"/>
            </w:pPr>
            <w:r>
              <w:rPr>
                <w:sz w:val="14"/>
              </w:rPr>
              <w:t>Authorised source references, freshness, model/version and feedback; avoid unnecessary sensitive prompt retention.</w:t>
            </w:r>
          </w:p>
        </w:tc>
      </w:tr>
    </w:tbl>
    <w:p/>
    <w:p>
      <w:pPr>
        <w:pStyle w:val="Heading2"/>
      </w:pPr>
      <w:r>
        <w:t>21.5 KPI governance, AI safety and shared devices</w:t>
      </w:r>
    </w:p>
    <w:p>
      <w:pPr>
        <w:pStyle w:val="ListBullet"/>
      </w:pPr>
      <w:r>
        <w:t>Every KPI has an owner, formula, unit, period, source, refresh cadence and inclusion/exclusion rules.</w:t>
      </w:r>
    </w:p>
    <w:p>
      <w:pPr>
        <w:pStyle w:val="ListBullet"/>
      </w:pPr>
      <w:r>
        <w:t>Label each value as posted actual, operational event, imported snapshot, manual entry, estimate or forecast.</w:t>
      </w:r>
    </w:p>
    <w:p>
      <w:pPr>
        <w:pStyle w:val="ListBullet"/>
      </w:pPr>
      <w:r>
        <w:t>Targets, alert thresholds, QC rules, approval limits and cost allocations require management approval.</w:t>
      </w:r>
    </w:p>
    <w:p>
      <w:pPr>
        <w:pStyle w:val="ListBullet"/>
      </w:pPr>
      <w:r>
        <w:t>Every metric drills down to source records; imported finance data shows as-of and import times.</w:t>
      </w:r>
    </w:p>
    <w:p>
      <w:pPr>
        <w:pStyle w:val="ListBullet"/>
      </w:pPr>
      <w:r>
        <w:t>AI uses a permission-aware read-only layer; it cannot post bills, approve payments, alter QC or write to DataMan.</w:t>
      </w:r>
    </w:p>
    <w:p>
      <w:pPr>
        <w:pStyle w:val="ListBullet"/>
      </w:pPr>
      <w:r>
        <w:t>AI distinguishes facts, possible explanations and unknowns; stale/missing evidence must be disclosed.</w:t>
      </w:r>
    </w:p>
    <w:p>
      <w:pPr>
        <w:pStyle w:val="ListBullet"/>
      </w:pPr>
      <w:r>
        <w:t>Anomaly alerts are investigation leads, not accusations. Forecasts show assumptions and uncertainty.</w:t>
      </w:r>
    </w:p>
    <w:p>
      <w:pPr>
        <w:pStyle w:val="ListBullet"/>
      </w:pPr>
      <w:r>
        <w:t>Desktop and mobile share backend, identity, permissions and audit. Offline events remain queued until server acknowledgement; notifications are not approvals.</w:t>
      </w:r>
    </w:p>
    <w:p>
      <w:pPr>
        <w:pStyle w:val="Heading2"/>
      </w:pPr>
      <w:r>
        <w:t>21.6 Success measures and deferrals</w:t>
      </w:r>
    </w:p>
    <w:p>
      <w:pPr>
        <w:pStyle w:val="ListBullet"/>
      </w:pPr>
      <w:r>
        <w:t>Measure MD time spent gathering updates, event-to-visibility delay, exception age/ownership, dashboard reconciliation, import freshness, packet-to-review time, bill-to-posting-confirmation time, production variance/downtime/loss, overdue commitments and adoption by department.</w:t>
      </w:r>
    </w:p>
    <w:p>
      <w:pPr>
        <w:pStyle w:val="ListBullet"/>
      </w:pPr>
      <w:r>
        <w:t>Defer broad forecasting until reliable history exists; defer predictive maintenance until asset history/telemetry is trustworthy; do not automate accounting posting/payment; do not purchase sensors or launch external portals without an approved business case.</w:t>
      </w:r>
    </w:p>
    <w:p>
      <w:pPr>
        <w:pStyle w:val="ListBullet"/>
      </w:pPr>
      <w:r>
        <w:t>Do not add a KPI without an owner, source, formula and management use case.</w:t>
      </w:r>
    </w:p>
    <w:p>
      <w:r>
        <w:t>End of MD Intelligence and Automation Roadmap addendum.</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Kaygaon Paper Mill Digitisation Blueprint • Proposed design • Verify plant-specific rules before production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6374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