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86A42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Title: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Technical Analysis Report (FICTIONAL)</w:t>
      </w:r>
    </w:p>
    <w:p w14:paraId="28410F30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 Title: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>BioGenix</w:t>
      </w:r>
      <w:proofErr w:type="spellEnd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Labs v </w:t>
      </w:r>
      <w:proofErr w:type="spellStart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>NanoHealth</w:t>
      </w:r>
      <w:proofErr w:type="spellEnd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Solutions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Docket ID: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mock_010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Filing Date: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June 15, 2025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Expert Witness - Dr. Michelle Lin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April 1, 2025</w:t>
      </w:r>
    </w:p>
    <w:p w14:paraId="62F07A87" w14:textId="77777777" w:rsidR="00F3307C" w:rsidRPr="00F3307C" w:rsidRDefault="00F3307C" w:rsidP="00F330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pict w14:anchorId="0B327E7B">
          <v:rect id="_x0000_i1041" style="width:0;height:1.5pt" o:hralign="center" o:hrstd="t" o:hr="t" fillcolor="#a0a0a0" stroked="f"/>
        </w:pict>
      </w:r>
    </w:p>
    <w:p w14:paraId="3E9981EE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Introduction</w:t>
      </w:r>
    </w:p>
    <w:p w14:paraId="221A6F17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This report presents a comprehensive technical analysis of the patent infringement claims made by </w:t>
      </w:r>
      <w:proofErr w:type="spellStart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>BioGenix</w:t>
      </w:r>
      <w:proofErr w:type="spellEnd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Labs against </w:t>
      </w:r>
      <w:proofErr w:type="spellStart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>NanoHealth</w:t>
      </w:r>
      <w:proofErr w:type="spellEnd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Solutions, centering on U.S. Patent No. US11223344. The patent details advanced AI-driven genetic data analysis technologies, which </w:t>
      </w:r>
      <w:proofErr w:type="spellStart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>BioGenix</w:t>
      </w:r>
      <w:proofErr w:type="spellEnd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Labs alleges have been unlawfully incorporated into </w:t>
      </w:r>
      <w:proofErr w:type="spellStart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>NanoHealth</w:t>
      </w:r>
      <w:proofErr w:type="spellEnd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Solutions' </w:t>
      </w:r>
      <w:proofErr w:type="spellStart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>GeneMap</w:t>
      </w:r>
      <w:proofErr w:type="spellEnd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AI Suite.</w:t>
      </w:r>
    </w:p>
    <w:p w14:paraId="6B2480D9" w14:textId="77777777" w:rsidR="00F3307C" w:rsidRPr="00F3307C" w:rsidRDefault="00F3307C" w:rsidP="00F330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pict w14:anchorId="2B2AE6AA">
          <v:rect id="_x0000_i1042" style="width:0;height:1.5pt" o:hralign="center" o:hrstd="t" o:hr="t" fillcolor="#a0a0a0" stroked="f"/>
        </w:pict>
      </w:r>
    </w:p>
    <w:p w14:paraId="726FE736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Overview of Patent Claims</w:t>
      </w:r>
    </w:p>
    <w:p w14:paraId="4A05EF7D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>The patent claims under examination include:</w:t>
      </w:r>
    </w:p>
    <w:p w14:paraId="60C16566" w14:textId="77777777" w:rsidR="00F3307C" w:rsidRPr="00F3307C" w:rsidRDefault="00F3307C" w:rsidP="00F33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1: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Method for advanced genetic sequencing data analysis using artificial intelligence.</w:t>
      </w:r>
    </w:p>
    <w:p w14:paraId="765BF5D5" w14:textId="77777777" w:rsidR="00F3307C" w:rsidRPr="00F3307C" w:rsidRDefault="00F3307C" w:rsidP="00F33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2: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System for real-time genetic mutation identification and reporting.</w:t>
      </w:r>
    </w:p>
    <w:p w14:paraId="40F2EF47" w14:textId="77777777" w:rsidR="00F3307C" w:rsidRPr="00F3307C" w:rsidRDefault="00F3307C" w:rsidP="00F33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3: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Process for integrating genetic data with electronic health records.</w:t>
      </w:r>
    </w:p>
    <w:p w14:paraId="42D25D38" w14:textId="77777777" w:rsidR="00F3307C" w:rsidRPr="00F3307C" w:rsidRDefault="00F3307C" w:rsidP="00F330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Claim 4: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Technique for predictive genetic health analytics using AI.</w:t>
      </w:r>
    </w:p>
    <w:p w14:paraId="1B4F12CD" w14:textId="77777777" w:rsidR="00F3307C" w:rsidRPr="00F3307C" w:rsidRDefault="00F3307C" w:rsidP="00F330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pict w14:anchorId="27DFC128">
          <v:rect id="_x0000_i1043" style="width:0;height:1.5pt" o:hralign="center" o:hrstd="t" o:hr="t" fillcolor="#a0a0a0" stroked="f"/>
        </w:pict>
      </w:r>
    </w:p>
    <w:p w14:paraId="4390F3B3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Comparative Analysis of Technology</w:t>
      </w:r>
    </w:p>
    <w:p w14:paraId="2AE200D5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2363"/>
        <w:gridCol w:w="2558"/>
        <w:gridCol w:w="1996"/>
      </w:tblGrid>
      <w:tr w:rsidR="00F3307C" w:rsidRPr="00F3307C" w14:paraId="0BA0F859" w14:textId="77777777" w:rsidTr="00F330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6A6F3" w14:textId="77777777" w:rsidR="00F3307C" w:rsidRPr="00F3307C" w:rsidRDefault="00F3307C" w:rsidP="00F33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7F7B44" w14:textId="77777777" w:rsidR="00F3307C" w:rsidRPr="00F3307C" w:rsidRDefault="00F3307C" w:rsidP="00F33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330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BioGenix</w:t>
            </w:r>
            <w:proofErr w:type="spellEnd"/>
            <w:r w:rsidRPr="00F330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Labs (Plaintiff)</w:t>
            </w:r>
          </w:p>
        </w:tc>
        <w:tc>
          <w:tcPr>
            <w:tcW w:w="0" w:type="auto"/>
            <w:vAlign w:val="center"/>
            <w:hideMark/>
          </w:tcPr>
          <w:p w14:paraId="55A8A203" w14:textId="77777777" w:rsidR="00F3307C" w:rsidRPr="00F3307C" w:rsidRDefault="00F3307C" w:rsidP="00F33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F330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GeneMap</w:t>
            </w:r>
            <w:proofErr w:type="spellEnd"/>
            <w:r w:rsidRPr="00F330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AI Suite (Defendant)</w:t>
            </w:r>
          </w:p>
        </w:tc>
        <w:tc>
          <w:tcPr>
            <w:tcW w:w="0" w:type="auto"/>
            <w:vAlign w:val="center"/>
            <w:hideMark/>
          </w:tcPr>
          <w:p w14:paraId="415C43C7" w14:textId="77777777" w:rsidR="00F3307C" w:rsidRPr="00F3307C" w:rsidRDefault="00F3307C" w:rsidP="00F330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Possible Infringement</w:t>
            </w:r>
          </w:p>
        </w:tc>
      </w:tr>
      <w:tr w:rsidR="00F3307C" w:rsidRPr="00F3307C" w14:paraId="694F30F4" w14:textId="77777777" w:rsidTr="00F330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413A6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Genetic Sequencing Analysis</w:t>
            </w:r>
          </w:p>
        </w:tc>
        <w:tc>
          <w:tcPr>
            <w:tcW w:w="0" w:type="auto"/>
            <w:vAlign w:val="center"/>
            <w:hideMark/>
          </w:tcPr>
          <w:p w14:paraId="4F528C50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AI-driven deep learning models</w:t>
            </w:r>
          </w:p>
        </w:tc>
        <w:tc>
          <w:tcPr>
            <w:tcW w:w="0" w:type="auto"/>
            <w:vAlign w:val="center"/>
            <w:hideMark/>
          </w:tcPr>
          <w:p w14:paraId="2CDDBE11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AI-driven models</w:t>
            </w:r>
          </w:p>
        </w:tc>
        <w:tc>
          <w:tcPr>
            <w:tcW w:w="0" w:type="auto"/>
            <w:vAlign w:val="center"/>
            <w:hideMark/>
          </w:tcPr>
          <w:p w14:paraId="51D16652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F3307C" w:rsidRPr="00F3307C" w14:paraId="14F4C8E7" w14:textId="77777777" w:rsidTr="00F330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5E054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Mutation Identification</w:t>
            </w:r>
          </w:p>
        </w:tc>
        <w:tc>
          <w:tcPr>
            <w:tcW w:w="0" w:type="auto"/>
            <w:vAlign w:val="center"/>
            <w:hideMark/>
          </w:tcPr>
          <w:p w14:paraId="484BA845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reporting</w:t>
            </w:r>
          </w:p>
        </w:tc>
        <w:tc>
          <w:tcPr>
            <w:tcW w:w="0" w:type="auto"/>
            <w:vAlign w:val="center"/>
            <w:hideMark/>
          </w:tcPr>
          <w:p w14:paraId="198329EC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reporting</w:t>
            </w:r>
          </w:p>
        </w:tc>
        <w:tc>
          <w:tcPr>
            <w:tcW w:w="0" w:type="auto"/>
            <w:vAlign w:val="center"/>
            <w:hideMark/>
          </w:tcPr>
          <w:p w14:paraId="57EC07D1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F3307C" w:rsidRPr="00F3307C" w14:paraId="680457D0" w14:textId="77777777" w:rsidTr="00F330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EF95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Integration with EHR</w:t>
            </w:r>
          </w:p>
        </w:tc>
        <w:tc>
          <w:tcPr>
            <w:tcW w:w="0" w:type="auto"/>
            <w:vAlign w:val="center"/>
            <w:hideMark/>
          </w:tcPr>
          <w:p w14:paraId="63B2DA4E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Seamless integration</w:t>
            </w:r>
          </w:p>
        </w:tc>
        <w:tc>
          <w:tcPr>
            <w:tcW w:w="0" w:type="auto"/>
            <w:vAlign w:val="center"/>
            <w:hideMark/>
          </w:tcPr>
          <w:p w14:paraId="5F6DBE7F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Similar integration capabilities</w:t>
            </w:r>
          </w:p>
        </w:tc>
        <w:tc>
          <w:tcPr>
            <w:tcW w:w="0" w:type="auto"/>
            <w:vAlign w:val="center"/>
            <w:hideMark/>
          </w:tcPr>
          <w:p w14:paraId="1031F803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F3307C" w:rsidRPr="00F3307C" w14:paraId="6D6870B6" w14:textId="77777777" w:rsidTr="00F330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C6C5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Predictive Health Analytics</w:t>
            </w:r>
          </w:p>
        </w:tc>
        <w:tc>
          <w:tcPr>
            <w:tcW w:w="0" w:type="auto"/>
            <w:vAlign w:val="center"/>
            <w:hideMark/>
          </w:tcPr>
          <w:p w14:paraId="513B1EE0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predictive algorithms</w:t>
            </w:r>
          </w:p>
        </w:tc>
        <w:tc>
          <w:tcPr>
            <w:tcW w:w="0" w:type="auto"/>
            <w:vAlign w:val="center"/>
            <w:hideMark/>
          </w:tcPr>
          <w:p w14:paraId="641C50C3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Comparable predictive algorithms</w:t>
            </w:r>
          </w:p>
        </w:tc>
        <w:tc>
          <w:tcPr>
            <w:tcW w:w="0" w:type="auto"/>
            <w:vAlign w:val="center"/>
            <w:hideMark/>
          </w:tcPr>
          <w:p w14:paraId="2D533D6E" w14:textId="77777777" w:rsidR="00F3307C" w:rsidRPr="00F3307C" w:rsidRDefault="00F3307C" w:rsidP="00F3307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3307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</w:tbl>
    <w:p w14:paraId="5AB8E875" w14:textId="77777777" w:rsidR="00F3307C" w:rsidRPr="00F3307C" w:rsidRDefault="00F3307C" w:rsidP="00F330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4E01D440">
          <v:rect id="_x0000_i1044" style="width:0;height:1.5pt" o:hralign="center" o:hrstd="t" o:hr="t" fillcolor="#a0a0a0" stroked="f"/>
        </w:pict>
      </w:r>
    </w:p>
    <w:p w14:paraId="02BAB18A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Source Code Analysis</w:t>
      </w:r>
    </w:p>
    <w:p w14:paraId="4F39B73A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7436F979" w14:textId="77777777" w:rsidR="00F3307C" w:rsidRPr="00F3307C" w:rsidRDefault="00F3307C" w:rsidP="00F33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>A detailed review of the source code provided by both parties shows significant similarities in the AI algorithms used for genetic sequencing and mutation analysis.</w:t>
      </w:r>
    </w:p>
    <w:p w14:paraId="7C0D79C9" w14:textId="77777777" w:rsidR="00F3307C" w:rsidRPr="00F3307C" w:rsidRDefault="00F3307C" w:rsidP="00F330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Similar code structures and function calls raise concerns about potential infringement of </w:t>
      </w:r>
      <w:proofErr w:type="spellStart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>BioGenix's</w:t>
      </w:r>
      <w:proofErr w:type="spellEnd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proprietary technology.</w:t>
      </w:r>
    </w:p>
    <w:p w14:paraId="2C060457" w14:textId="77777777" w:rsidR="00F3307C" w:rsidRPr="00F3307C" w:rsidRDefault="00F3307C" w:rsidP="00F330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pict w14:anchorId="37388859">
          <v:rect id="_x0000_i1045" style="width:0;height:1.5pt" o:hralign="center" o:hrstd="t" o:hr="t" fillcolor="#a0a0a0" stroked="f"/>
        </w:pict>
      </w:r>
    </w:p>
    <w:p w14:paraId="7DE13BDE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Financial Impact Assessment</w:t>
      </w:r>
    </w:p>
    <w:p w14:paraId="44C2B1AE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The economic impact on </w:t>
      </w:r>
      <w:proofErr w:type="spellStart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>BioGenix</w:t>
      </w:r>
      <w:proofErr w:type="spellEnd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Labs due to the alleged infringement includes:</w:t>
      </w:r>
    </w:p>
    <w:p w14:paraId="7C2727C4" w14:textId="77777777" w:rsidR="00F3307C" w:rsidRPr="00F3307C" w:rsidRDefault="00F3307C" w:rsidP="00F33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>Market share loss and erosion of competitive edge in the genetic analysis market.</w:t>
      </w:r>
    </w:p>
    <w:p w14:paraId="052D75F4" w14:textId="77777777" w:rsidR="00F3307C" w:rsidRPr="00F3307C" w:rsidRDefault="00F3307C" w:rsidP="00F330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>Estimated financial damages are calculated to be $85,000,000, based on reduced sales and the defendant's market penetration.</w:t>
      </w:r>
    </w:p>
    <w:p w14:paraId="3C12CCE9" w14:textId="77777777" w:rsidR="00F3307C" w:rsidRPr="00F3307C" w:rsidRDefault="00F3307C" w:rsidP="00F330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pict w14:anchorId="0ED383CB">
          <v:rect id="_x0000_i1046" style="width:0;height:1.5pt" o:hralign="center" o:hrstd="t" o:hr="t" fillcolor="#a0a0a0" stroked="f"/>
        </w:pict>
      </w:r>
    </w:p>
    <w:p w14:paraId="384BD41F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Expert Conclusions</w:t>
      </w:r>
    </w:p>
    <w:p w14:paraId="50157C0F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findings from the technical analysis, there is strong evidence to support the allegation that </w:t>
      </w:r>
      <w:proofErr w:type="spellStart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>NanoHealth</w:t>
      </w:r>
      <w:proofErr w:type="spellEnd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Solutions has infringed on </w:t>
      </w:r>
      <w:proofErr w:type="spellStart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>BioGenix</w:t>
      </w:r>
      <w:proofErr w:type="spellEnd"/>
      <w:r w:rsidRPr="00F3307C">
        <w:rPr>
          <w:rFonts w:ascii="Times New Roman" w:eastAsia="Times New Roman" w:hAnsi="Times New Roman" w:cs="Times New Roman"/>
          <w:kern w:val="0"/>
          <w14:ligatures w14:val="none"/>
        </w:rPr>
        <w:t xml:space="preserve"> Labs' patented technologies:</w:t>
      </w:r>
    </w:p>
    <w:p w14:paraId="63451A46" w14:textId="77777777" w:rsidR="00F3307C" w:rsidRPr="00F3307C" w:rsidRDefault="00F3307C" w:rsidP="00F330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>The similarities in genetic data processing and analysis techniques are substantial and indicative of direct infringement.</w:t>
      </w:r>
    </w:p>
    <w:p w14:paraId="6D0DCC90" w14:textId="77777777" w:rsidR="00F3307C" w:rsidRPr="00F3307C" w:rsidRDefault="00F3307C" w:rsidP="00F330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>The case supports a claim for significant financial compensation and possibly injunctive relief against the continued use of the infringed methods.</w:t>
      </w:r>
    </w:p>
    <w:p w14:paraId="456DA80C" w14:textId="77777777" w:rsidR="00F3307C" w:rsidRPr="00F3307C" w:rsidRDefault="00F3307C" w:rsidP="00F330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pict w14:anchorId="6373C4D5">
          <v:rect id="_x0000_i1047" style="width:0;height:1.5pt" o:hralign="center" o:hrstd="t" o:hr="t" fillcolor="#a0a0a0" stroked="f"/>
        </w:pict>
      </w:r>
    </w:p>
    <w:p w14:paraId="1AD4B864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Supporting Documentation</w:t>
      </w:r>
    </w:p>
    <w:p w14:paraId="6DB29A9C" w14:textId="77777777" w:rsidR="00F3307C" w:rsidRPr="00F3307C" w:rsidRDefault="00F3307C" w:rsidP="00F330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>Detailed patent claim charts aligning the features of both products.</w:t>
      </w:r>
    </w:p>
    <w:p w14:paraId="77E23B0B" w14:textId="77777777" w:rsidR="00F3307C" w:rsidRPr="00F3307C" w:rsidRDefault="00F3307C" w:rsidP="00F330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>Source code comparison reports.</w:t>
      </w:r>
    </w:p>
    <w:p w14:paraId="3D00163F" w14:textId="77777777" w:rsidR="00F3307C" w:rsidRPr="00F3307C" w:rsidRDefault="00F3307C" w:rsidP="00F330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>Market analysis and financial impact reports.</w:t>
      </w:r>
    </w:p>
    <w:p w14:paraId="47625577" w14:textId="77777777" w:rsidR="00F3307C" w:rsidRPr="00F3307C" w:rsidRDefault="00F3307C" w:rsidP="00F330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t>Technical affidavits and expert witness depositions.</w:t>
      </w:r>
    </w:p>
    <w:p w14:paraId="22758342" w14:textId="77777777" w:rsidR="00F3307C" w:rsidRPr="00F3307C" w:rsidRDefault="00F3307C" w:rsidP="00F3307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pict w14:anchorId="6B530128">
          <v:rect id="_x0000_i1048" style="width:0;height:1.5pt" o:hralign="center" o:hrstd="t" o:hr="t" fillcolor="#a0a0a0" stroked="f"/>
        </w:pict>
      </w:r>
    </w:p>
    <w:p w14:paraId="11394A54" w14:textId="77777777" w:rsidR="00F3307C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</w:p>
    <w:p w14:paraId="04EB0A86" w14:textId="7881E06F" w:rsidR="00A16AF8" w:rsidRPr="00F3307C" w:rsidRDefault="00F3307C" w:rsidP="00F33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07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Dr. Michelle Lin, Ph.D.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br/>
        <w:t>Genetics and Biotechnology Expert</w:t>
      </w:r>
      <w:r w:rsidRPr="00F3307C">
        <w:rPr>
          <w:rFonts w:ascii="Times New Roman" w:eastAsia="Times New Roman" w:hAnsi="Times New Roman" w:cs="Times New Roman"/>
          <w:kern w:val="0"/>
          <w14:ligatures w14:val="none"/>
        </w:rPr>
        <w:br/>
        <w:t>555-987-6543</w:t>
      </w:r>
    </w:p>
    <w:sectPr w:rsidR="00A16AF8" w:rsidRPr="00F3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A7301"/>
    <w:multiLevelType w:val="multilevel"/>
    <w:tmpl w:val="8CE2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3569"/>
    <w:multiLevelType w:val="multilevel"/>
    <w:tmpl w:val="64D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02C87"/>
    <w:multiLevelType w:val="multilevel"/>
    <w:tmpl w:val="D80E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52C89"/>
    <w:multiLevelType w:val="multilevel"/>
    <w:tmpl w:val="9F0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259CA"/>
    <w:multiLevelType w:val="multilevel"/>
    <w:tmpl w:val="EB9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E2021"/>
    <w:multiLevelType w:val="multilevel"/>
    <w:tmpl w:val="8E3E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76D6C"/>
    <w:multiLevelType w:val="multilevel"/>
    <w:tmpl w:val="196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60B62"/>
    <w:multiLevelType w:val="multilevel"/>
    <w:tmpl w:val="A97E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B775A"/>
    <w:multiLevelType w:val="multilevel"/>
    <w:tmpl w:val="EEC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F65AE"/>
    <w:multiLevelType w:val="multilevel"/>
    <w:tmpl w:val="FDF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06622"/>
    <w:multiLevelType w:val="multilevel"/>
    <w:tmpl w:val="DCFE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209F9"/>
    <w:multiLevelType w:val="multilevel"/>
    <w:tmpl w:val="685A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F7865"/>
    <w:multiLevelType w:val="multilevel"/>
    <w:tmpl w:val="25EA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B10DB"/>
    <w:multiLevelType w:val="multilevel"/>
    <w:tmpl w:val="8852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02CEC"/>
    <w:multiLevelType w:val="multilevel"/>
    <w:tmpl w:val="441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563391">
    <w:abstractNumId w:val="3"/>
  </w:num>
  <w:num w:numId="2" w16cid:durableId="1921480386">
    <w:abstractNumId w:val="9"/>
  </w:num>
  <w:num w:numId="3" w16cid:durableId="1570967476">
    <w:abstractNumId w:val="6"/>
  </w:num>
  <w:num w:numId="4" w16cid:durableId="2062289612">
    <w:abstractNumId w:val="4"/>
  </w:num>
  <w:num w:numId="5" w16cid:durableId="2048336447">
    <w:abstractNumId w:val="12"/>
  </w:num>
  <w:num w:numId="6" w16cid:durableId="1655643649">
    <w:abstractNumId w:val="5"/>
  </w:num>
  <w:num w:numId="7" w16cid:durableId="96601390">
    <w:abstractNumId w:val="2"/>
  </w:num>
  <w:num w:numId="8" w16cid:durableId="2073114507">
    <w:abstractNumId w:val="11"/>
  </w:num>
  <w:num w:numId="9" w16cid:durableId="418648214">
    <w:abstractNumId w:val="1"/>
  </w:num>
  <w:num w:numId="10" w16cid:durableId="1017077231">
    <w:abstractNumId w:val="13"/>
  </w:num>
  <w:num w:numId="11" w16cid:durableId="1822229747">
    <w:abstractNumId w:val="10"/>
  </w:num>
  <w:num w:numId="12" w16cid:durableId="1788424429">
    <w:abstractNumId w:val="7"/>
  </w:num>
  <w:num w:numId="13" w16cid:durableId="1513447864">
    <w:abstractNumId w:val="8"/>
  </w:num>
  <w:num w:numId="14" w16cid:durableId="509875968">
    <w:abstractNumId w:val="0"/>
  </w:num>
  <w:num w:numId="15" w16cid:durableId="9133208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F8"/>
    <w:rsid w:val="00231780"/>
    <w:rsid w:val="003D644A"/>
    <w:rsid w:val="0053163D"/>
    <w:rsid w:val="008333B5"/>
    <w:rsid w:val="009303A1"/>
    <w:rsid w:val="00942FC0"/>
    <w:rsid w:val="00A16AF8"/>
    <w:rsid w:val="00F3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23D8"/>
  <w15:chartTrackingRefBased/>
  <w15:docId w15:val="{CEDA26FD-5236-4208-872D-B3EAFB1C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Garcia</dc:creator>
  <cp:keywords/>
  <dc:description/>
  <cp:lastModifiedBy>Frank Garcia</cp:lastModifiedBy>
  <cp:revision>2</cp:revision>
  <dcterms:created xsi:type="dcterms:W3CDTF">2025-02-10T00:16:00Z</dcterms:created>
  <dcterms:modified xsi:type="dcterms:W3CDTF">2025-02-10T00:16:00Z</dcterms:modified>
</cp:coreProperties>
</file>