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Benefits Guide 2026</w:t>
      </w:r>
    </w:p>
    <w:p>
      <w:r>
        <w:t xml:space="preserve">Version 2026.1 | Owner: Total Rewards</w:t>
      </w:r>
    </w:p>
    <w:p>
      <w:r>
        <w:t xml:space="preserve">Page 1 of 4 | Section: Health coverage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Health coverage</w:t>
      </w:r>
    </w:p>
    <w:p>
      <w:r>
        <w:t xml:space="preserve"/>
      </w:r>
    </w:p>
    <w:p>
      <w:r>
        <w:t xml:space="preserve">Policy statement 1: Health coverage begins on the first day of the month after the employee's start date.</w:t>
      </w:r>
    </w:p>
    <w:p>
      <w:r>
        <w:t xml:space="preserve"/>
      </w:r>
    </w:p>
    <w:p>
      <w:r>
        <w:t xml:space="preserve">Policy statement 2: A new employee has 30 calendar days from the start date to complete benefits enrollment.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Benefits Guide 2026</w:t>
      </w:r>
    </w:p>
    <w:p>
      <w:r>
        <w:t xml:space="preserve">Version 2026.1 | Owner: Total Rewards</w:t>
      </w:r>
    </w:p>
    <w:p>
      <w:r>
        <w:t xml:space="preserve">Page 2 of 4 | Section: Retirement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Retirement</w:t>
      </w:r>
    </w:p>
    <w:p>
      <w:r>
        <w:t xml:space="preserve"/>
      </w:r>
    </w:p>
    <w:p>
      <w:r>
        <w:t xml:space="preserve">Policy statement 1: The company contributes 4% of eligible pay when an employee contributes at least 5% of eligible pay to the retirement plan.</w:t>
      </w:r>
    </w:p>
    <w:p>
      <w:r>
        <w:t xml:space="preserve"/>
      </w:r>
    </w:p>
    <w:p>
      <w:r>
        <w:t xml:space="preserve">Policy statement 2: Company retirement-plan matching contributions are immediately 100% vested.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Benefits Guide 2026</w:t>
      </w:r>
    </w:p>
    <w:p>
      <w:r>
        <w:t xml:space="preserve">Version 2026.1 | Owner: Total Rewards</w:t>
      </w:r>
    </w:p>
    <w:p>
      <w:r>
        <w:t xml:space="preserve">Page 3 of 4 | Section: Wellness and education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Wellness and education</w:t>
      </w:r>
    </w:p>
    <w:p>
      <w:r>
        <w:t xml:space="preserve"/>
      </w:r>
    </w:p>
    <w:p>
      <w:r>
        <w:t xml:space="preserve">Policy statement 1: Eligible employees may receive up to USD 600 per calendar year for approved wellness expenses.</w:t>
      </w:r>
    </w:p>
    <w:p>
      <w:r>
        <w:t xml:space="preserve"/>
      </w:r>
    </w:p>
    <w:p>
      <w:r>
        <w:t xml:space="preserve">Policy statement 2: After 6 months of service, an employee may receive up to USD 5,000 per calendar year in approved tuition assistance.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Benefits Guide 2026</w:t>
      </w:r>
    </w:p>
    <w:p>
      <w:r>
        <w:t xml:space="preserve">Version 2026.1 | Owner: Total Rewards</w:t>
      </w:r>
    </w:p>
    <w:p>
      <w:r>
        <w:t xml:space="preserve">Page 4 of 4 | Section: Family and disability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Family and disability</w:t>
      </w:r>
    </w:p>
    <w:p>
      <w:r>
        <w:t xml:space="preserve"/>
      </w:r>
    </w:p>
    <w:p>
      <w:r>
        <w:t xml:space="preserve">Policy statement 1: An eligible parent receives 12 weeks of paid parental leave for a birth, adoption, or foster placement.</w:t>
      </w:r>
    </w:p>
    <w:p>
      <w:r>
        <w:t xml:space="preserve"/>
      </w:r>
    </w:p>
    <w:p>
      <w:r>
        <w:t xml:space="preserve">Policy statement 2: The short-term disability plan replaces 60% of base pay for up to 26 weeks, subject to the plan maximum.</w:t>
      </w:r>
    </w:p>
    <w:p>
      <w:r>
        <w:t xml:space="preserve"/>
      </w:r>
    </w:p>
    <w:p>
      <w:r>
        <w:t xml:space="preserve">Questions about this section should be directed to the document owner.</w:t>
      </w:r>
    </w:p>
    <w:sectPr>
      <w:pgSz w:w="12240" w:h="15840"/>
      <w:pgMar w:top="1440" w:right="1440" w:bottom="1440" w:left="1440"/>
    </w:sectPr>
  </w:body>
</w:document>
</file>