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Procurement and Vendor Standard 2026</w:t>
      </w:r>
    </w:p>
    <w:p>
      <w:r>
        <w:t xml:space="preserve">Version 2026.2 | Owner: Strategic Sourcing</w:t>
      </w:r>
    </w:p>
    <w:p>
      <w:r>
        <w:t xml:space="preserve">Page 1 of 4 | Section: Quotation thresholds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Quotation thresholds</w:t>
      </w:r>
    </w:p>
    <w:p>
      <w:r>
        <w:t xml:space="preserve"/>
      </w:r>
    </w:p>
    <w:p>
      <w:r>
        <w:t xml:space="preserve">Policy statement 1: A purchase below USD 5,000 requires one documented supplier quote.</w:t>
      </w:r>
    </w:p>
    <w:p>
      <w:r>
        <w:t xml:space="preserve"/>
      </w:r>
    </w:p>
    <w:p>
      <w:r>
        <w:t xml:space="preserve">Policy statement 2: A purchase from USD 5,000 through USD 25,000 requires at least three competitive quotes.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Procurement and Vendor Standard 2026</w:t>
      </w:r>
    </w:p>
    <w:p>
      <w:r>
        <w:t xml:space="preserve">Version 2026.2 | Owner: Strategic Sourcing</w:t>
      </w:r>
    </w:p>
    <w:p>
      <w:r>
        <w:t xml:space="preserve">Page 2 of 4 | Section: Formal sourcing and approval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Formal sourcing and approval</w:t>
      </w:r>
    </w:p>
    <w:p>
      <w:r>
        <w:t xml:space="preserve"/>
      </w:r>
    </w:p>
    <w:p>
      <w:r>
        <w:t xml:space="preserve">Policy statement 1: A purchase above USD 25,000 requires a formal request for proposals managed by Strategic Sourcing.</w:t>
      </w:r>
    </w:p>
    <w:p>
      <w:r>
        <w:t xml:space="preserve"/>
      </w:r>
    </w:p>
    <w:p>
      <w:r>
        <w:t xml:space="preserve">Policy statement 2: A purchase above USD 100,000 requires approval from both the Chief Financial Officer and the Procurement Director.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Procurement and Vendor Standard 2026</w:t>
      </w:r>
    </w:p>
    <w:p>
      <w:r>
        <w:t xml:space="preserve">Version 2026.2 | Owner: Strategic Sourcing</w:t>
      </w:r>
    </w:p>
    <w:p>
      <w:r>
        <w:t xml:space="preserve">Page 3 of 4 | Section: Vendor due diligence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Vendor due diligence</w:t>
      </w:r>
    </w:p>
    <w:p>
      <w:r>
        <w:t xml:space="preserve"/>
      </w:r>
    </w:p>
    <w:p>
      <w:r>
        <w:t xml:space="preserve">Policy statement 1: A vendor security risk assessment must be approved before a supplier receives Restricted data or production-system access.</w:t>
      </w:r>
    </w:p>
    <w:p>
      <w:r>
        <w:t xml:space="preserve"/>
      </w:r>
    </w:p>
    <w:p>
      <w:r>
        <w:t xml:space="preserve">Policy statement 2: Strategic Sourcing screens every active vendor against sanctions lists at least annually.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Procurement and Vendor Standard 2026</w:t>
      </w:r>
    </w:p>
    <w:p>
      <w:r>
        <w:t xml:space="preserve">Version 2026.2 | Owner: Strategic Sourcing</w:t>
      </w:r>
    </w:p>
    <w:p>
      <w:r>
        <w:t xml:space="preserve">Page 4 of 4 | Section: Contracts and records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Contracts and records</w:t>
      </w:r>
    </w:p>
    <w:p>
      <w:r>
        <w:t xml:space="preserve"/>
      </w:r>
    </w:p>
    <w:p>
      <w:r>
        <w:t xml:space="preserve">Policy statement 1: Only an officer listed in the corporate authority matrix may sign a supplier contract; a project role alone does not grant signing authority.</w:t>
      </w:r>
    </w:p>
    <w:p>
      <w:r>
        <w:t xml:space="preserve"/>
      </w:r>
    </w:p>
    <w:p>
      <w:r>
        <w:t xml:space="preserve">Policy statement 2: Procurement records must be retained for 7 years after contract expiration or termination.</w:t>
      </w:r>
    </w:p>
    <w:p>
      <w:r>
        <w:t xml:space="preserve"/>
      </w:r>
    </w:p>
    <w:p>
      <w:r>
        <w:t xml:space="preserve">Questions about this section should be directed to the document owner.</w:t>
      </w:r>
    </w:p>
    <w:sectPr>
      <w:pgSz w:w="12240" w:h="15840"/>
      <w:pgMar w:top="1440" w:right="1440" w:bottom="1440" w:left="1440"/>
    </w:sectPr>
  </w:body>
</w:document>
</file>