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bookmarkStart w:id="0" w:name="_GoBack"/>
      <w:bookmarkEnd w:id="0"/>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74D61B30"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bookmarkStart w:id="1" w:name="NOME"/>
            <w:r w:rsidR="002D6BC5" w:rsidRPr="002D6BC5">
              <w:rPr>
                <w:rFonts w:asciiTheme="majorHAnsi" w:hAnsiTheme="majorHAnsi" w:cstheme="majorHAnsi"/>
              </w:rPr>
              <w:t>Nome</w:t>
            </w:r>
            <w:bookmarkEnd w:id="1"/>
          </w:p>
        </w:tc>
      </w:tr>
      <w:tr w:rsidR="00A1285F" w:rsidRPr="00D90484" w14:paraId="12DD8ABB" w14:textId="77777777" w:rsidTr="00A67B25">
        <w:trPr>
          <w:trHeight w:val="685"/>
        </w:trPr>
        <w:tc>
          <w:tcPr>
            <w:tcW w:w="1273" w:type="pct"/>
            <w:gridSpan w:val="2"/>
          </w:tcPr>
          <w:p w14:paraId="763E3FB8" w14:textId="3F5763A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bookmarkStart w:id="2" w:name="NACIONALIDADE"/>
            <w:r w:rsidR="002D6BC5">
              <w:rPr>
                <w:rFonts w:asciiTheme="majorHAnsi" w:hAnsiTheme="majorHAnsi" w:cstheme="majorHAnsi"/>
              </w:rPr>
              <w:t>Nacionalidade</w:t>
            </w:r>
            <w:bookmarkEnd w:id="2"/>
          </w:p>
        </w:tc>
        <w:tc>
          <w:tcPr>
            <w:tcW w:w="1076" w:type="pct"/>
            <w:gridSpan w:val="3"/>
          </w:tcPr>
          <w:p w14:paraId="4D1F5B12" w14:textId="6DC8A38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bookmarkStart w:id="3" w:name="ESTADOCIVIL"/>
            <w:r w:rsidR="002D6BC5">
              <w:rPr>
                <w:rFonts w:asciiTheme="majorHAnsi" w:hAnsiTheme="majorHAnsi" w:cstheme="majorHAnsi"/>
              </w:rPr>
              <w:t>Estado Civil</w:t>
            </w:r>
            <w:bookmarkEnd w:id="3"/>
          </w:p>
        </w:tc>
        <w:tc>
          <w:tcPr>
            <w:tcW w:w="963" w:type="pct"/>
            <w:gridSpan w:val="4"/>
          </w:tcPr>
          <w:p w14:paraId="46F5AAAA" w14:textId="09D6CBD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bookmarkStart w:id="4" w:name="PROFISSAO"/>
            <w:r w:rsidR="002D6BC5">
              <w:rPr>
                <w:rFonts w:asciiTheme="majorHAnsi" w:hAnsiTheme="majorHAnsi" w:cstheme="majorHAnsi"/>
              </w:rPr>
              <w:t>Profissão</w:t>
            </w:r>
            <w:bookmarkEnd w:id="4"/>
          </w:p>
        </w:tc>
        <w:tc>
          <w:tcPr>
            <w:tcW w:w="1687" w:type="pct"/>
          </w:tcPr>
          <w:p w14:paraId="59A10F87" w14:textId="57B0F4B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bookmarkStart w:id="5" w:name="DATADENASCIMENTO"/>
            <w:r w:rsidR="002D6BC5">
              <w:rPr>
                <w:rFonts w:asciiTheme="majorHAnsi" w:hAnsiTheme="majorHAnsi" w:cstheme="majorHAnsi"/>
              </w:rPr>
              <w:t>00/00/00</w:t>
            </w:r>
            <w:bookmarkEnd w:id="5"/>
          </w:p>
        </w:tc>
      </w:tr>
      <w:tr w:rsidR="00A1285F" w:rsidRPr="00D90484" w14:paraId="41FC243A" w14:textId="77777777" w:rsidTr="00A67B25">
        <w:trPr>
          <w:trHeight w:val="695"/>
        </w:trPr>
        <w:tc>
          <w:tcPr>
            <w:tcW w:w="1811" w:type="pct"/>
            <w:gridSpan w:val="3"/>
          </w:tcPr>
          <w:p w14:paraId="581FF5DC" w14:textId="230304D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bookmarkStart w:id="6" w:name="CPF"/>
            <w:r w:rsidR="002D6BC5">
              <w:rPr>
                <w:rFonts w:asciiTheme="majorHAnsi" w:hAnsiTheme="majorHAnsi" w:cstheme="majorHAnsi"/>
              </w:rPr>
              <w:t>000.000.000-00</w:t>
            </w:r>
            <w:bookmarkEnd w:id="6"/>
          </w:p>
        </w:tc>
        <w:tc>
          <w:tcPr>
            <w:tcW w:w="1110" w:type="pct"/>
            <w:gridSpan w:val="4"/>
          </w:tcPr>
          <w:p w14:paraId="5D27CF2A" w14:textId="3B8ECA5D"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bookmarkStart w:id="7" w:name="IDENTIDADE"/>
            <w:r w:rsidR="002D6BC5">
              <w:rPr>
                <w:rFonts w:asciiTheme="majorHAnsi" w:hAnsiTheme="majorHAnsi" w:cstheme="majorHAnsi"/>
              </w:rPr>
              <w:t>0000</w:t>
            </w:r>
            <w:bookmarkEnd w:id="7"/>
          </w:p>
        </w:tc>
        <w:tc>
          <w:tcPr>
            <w:tcW w:w="2078" w:type="pct"/>
            <w:gridSpan w:val="3"/>
          </w:tcPr>
          <w:p w14:paraId="5B435AB8" w14:textId="1655B92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bookmarkStart w:id="8" w:name="ORGEXP"/>
            <w:r w:rsidR="002D6BC5">
              <w:rPr>
                <w:rFonts w:asciiTheme="majorHAnsi" w:hAnsiTheme="majorHAnsi" w:cstheme="majorHAnsi"/>
              </w:rPr>
              <w:t>XXX</w:t>
            </w:r>
            <w:bookmarkEnd w:id="8"/>
          </w:p>
        </w:tc>
      </w:tr>
      <w:tr w:rsidR="00A1285F" w:rsidRPr="00D90484" w14:paraId="775B732F" w14:textId="77777777" w:rsidTr="00A67B25">
        <w:trPr>
          <w:trHeight w:val="697"/>
        </w:trPr>
        <w:tc>
          <w:tcPr>
            <w:tcW w:w="5000" w:type="pct"/>
            <w:gridSpan w:val="10"/>
          </w:tcPr>
          <w:p w14:paraId="0106A7AE" w14:textId="699E77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bookmarkStart w:id="9" w:name="ENDERECO"/>
            <w:r w:rsidR="00B83C59">
              <w:rPr>
                <w:rFonts w:asciiTheme="majorHAnsi" w:hAnsiTheme="majorHAnsi" w:cstheme="majorHAnsi"/>
              </w:rPr>
              <w:t>Endereço</w:t>
            </w:r>
            <w:bookmarkEnd w:id="9"/>
          </w:p>
        </w:tc>
      </w:tr>
      <w:tr w:rsidR="00A1285F" w:rsidRPr="00D90484" w14:paraId="677D8820" w14:textId="77777777" w:rsidTr="00A67B25">
        <w:trPr>
          <w:trHeight w:val="690"/>
        </w:trPr>
        <w:tc>
          <w:tcPr>
            <w:tcW w:w="1051" w:type="pct"/>
          </w:tcPr>
          <w:p w14:paraId="0A5EBC07" w14:textId="3BF3B03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bookmarkStart w:id="10" w:name="TELEFONE"/>
            <w:r w:rsidR="00B83C59">
              <w:rPr>
                <w:rFonts w:asciiTheme="majorHAnsi" w:hAnsiTheme="majorHAnsi" w:cstheme="majorHAnsi"/>
              </w:rPr>
              <w:t>Telefone</w:t>
            </w:r>
            <w:bookmarkEnd w:id="10"/>
          </w:p>
        </w:tc>
        <w:tc>
          <w:tcPr>
            <w:tcW w:w="992" w:type="pct"/>
            <w:gridSpan w:val="3"/>
          </w:tcPr>
          <w:p w14:paraId="6F601169" w14:textId="76AFFE3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bookmarkStart w:id="11" w:name="CEP"/>
            <w:r w:rsidR="00B83C59">
              <w:rPr>
                <w:rFonts w:asciiTheme="majorHAnsi" w:hAnsiTheme="majorHAnsi" w:cstheme="majorHAnsi"/>
              </w:rPr>
              <w:t>CEP</w:t>
            </w:r>
            <w:bookmarkEnd w:id="11"/>
          </w:p>
        </w:tc>
        <w:tc>
          <w:tcPr>
            <w:tcW w:w="674" w:type="pct"/>
            <w:gridSpan w:val="2"/>
          </w:tcPr>
          <w:p w14:paraId="5388E42D" w14:textId="75BB5C9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bookmarkStart w:id="12" w:name="CIDADE"/>
            <w:r w:rsidR="00B83C59">
              <w:rPr>
                <w:rFonts w:asciiTheme="majorHAnsi" w:hAnsiTheme="majorHAnsi" w:cstheme="majorHAnsi"/>
              </w:rPr>
              <w:t>Goiânia</w:t>
            </w:r>
            <w:bookmarkEnd w:id="12"/>
          </w:p>
        </w:tc>
        <w:tc>
          <w:tcPr>
            <w:tcW w:w="413" w:type="pct"/>
            <w:gridSpan w:val="2"/>
          </w:tcPr>
          <w:p w14:paraId="45A67614" w14:textId="54F02F6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bookmarkStart w:id="13" w:name="UF"/>
            <w:r w:rsidR="00B83C59">
              <w:rPr>
                <w:rFonts w:asciiTheme="majorHAnsi" w:hAnsiTheme="majorHAnsi" w:cstheme="majorHAnsi"/>
              </w:rPr>
              <w:t>UF</w:t>
            </w:r>
            <w:bookmarkEnd w:id="13"/>
          </w:p>
        </w:tc>
        <w:tc>
          <w:tcPr>
            <w:tcW w:w="1869" w:type="pct"/>
            <w:gridSpan w:val="2"/>
          </w:tcPr>
          <w:p w14:paraId="1E0CAE0A" w14:textId="6490C86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bookmarkStart w:id="14" w:name="EMAIL"/>
            <w:r w:rsidR="00B83C59">
              <w:rPr>
                <w:rFonts w:asciiTheme="majorHAnsi" w:hAnsiTheme="majorHAnsi" w:cstheme="majorHAnsi"/>
              </w:rPr>
              <w:t>E-mail</w:t>
            </w:r>
            <w:bookmarkEnd w:id="14"/>
          </w:p>
        </w:tc>
      </w:tr>
      <w:tr w:rsidR="00A1285F" w:rsidRPr="00D90484" w14:paraId="1D3BDD18" w14:textId="77777777" w:rsidTr="00A67B25">
        <w:trPr>
          <w:trHeight w:val="695"/>
        </w:trPr>
        <w:tc>
          <w:tcPr>
            <w:tcW w:w="2350" w:type="pct"/>
            <w:gridSpan w:val="5"/>
          </w:tcPr>
          <w:p w14:paraId="55DC334D" w14:textId="3FC4B94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bookmarkStart w:id="15" w:name="TORRE"/>
            <w:r w:rsidR="00B83C59">
              <w:rPr>
                <w:rFonts w:asciiTheme="majorHAnsi" w:hAnsiTheme="majorHAnsi" w:cstheme="majorHAnsi"/>
              </w:rPr>
              <w:t>Bloco</w:t>
            </w:r>
            <w:bookmarkEnd w:id="15"/>
            <w:r w:rsidR="00B83C59">
              <w:rPr>
                <w:rFonts w:asciiTheme="majorHAnsi" w:hAnsiTheme="majorHAnsi" w:cstheme="majorHAnsi"/>
              </w:rPr>
              <w:t xml:space="preserve"> – </w:t>
            </w:r>
            <w:bookmarkStart w:id="16" w:name="APTO"/>
            <w:r w:rsidR="00B83C59">
              <w:rPr>
                <w:rFonts w:asciiTheme="majorHAnsi" w:hAnsiTheme="majorHAnsi" w:cstheme="majorHAnsi"/>
              </w:rPr>
              <w:t>Apto</w:t>
            </w:r>
            <w:bookmarkEnd w:id="16"/>
            <w:r w:rsidR="00B83C59">
              <w:rPr>
                <w:rFonts w:asciiTheme="majorHAnsi" w:hAnsiTheme="majorHAnsi" w:cstheme="majorHAnsi"/>
              </w:rPr>
              <w:t xml:space="preserve"> - </w:t>
            </w:r>
            <w:bookmarkStart w:id="17" w:name="COTA"/>
            <w:r w:rsidR="00B83C59">
              <w:rPr>
                <w:rFonts w:asciiTheme="majorHAnsi" w:hAnsiTheme="majorHAnsi" w:cstheme="majorHAnsi"/>
              </w:rPr>
              <w:t>Cota</w:t>
            </w:r>
            <w:bookmarkEnd w:id="17"/>
          </w:p>
        </w:tc>
        <w:tc>
          <w:tcPr>
            <w:tcW w:w="2650" w:type="pct"/>
            <w:gridSpan w:val="5"/>
          </w:tcPr>
          <w:p w14:paraId="7BA8FE97" w14:textId="20478B5E"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F87784">
              <w:rPr>
                <w:rFonts w:asciiTheme="majorHAnsi" w:hAnsiTheme="majorHAnsi" w:cstheme="majorHAnsi"/>
              </w:rPr>
              <w:t>PORTO ALTO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7A134043" w:rsidR="00A1285F" w:rsidRPr="002F6A47" w:rsidRDefault="008B0445" w:rsidP="00A1285F">
      <w:pPr>
        <w:spacing w:after="0" w:line="240" w:lineRule="auto"/>
        <w:rPr>
          <w:rFonts w:asciiTheme="majorHAnsi" w:hAnsiTheme="majorHAnsi" w:cstheme="majorHAnsi"/>
        </w:rPr>
      </w:pPr>
      <w:bookmarkStart w:id="18" w:name="SALADEVENDAS2"/>
      <w:r>
        <w:rPr>
          <w:rFonts w:asciiTheme="majorHAnsi" w:hAnsiTheme="majorHAnsi" w:cstheme="majorHAnsi"/>
        </w:rPr>
        <w:t>__________</w:t>
      </w:r>
      <w:bookmarkEnd w:id="18"/>
      <w:r w:rsidR="00A1285F" w:rsidRPr="002F6A47">
        <w:rPr>
          <w:rFonts w:asciiTheme="majorHAnsi" w:hAnsiTheme="majorHAnsi" w:cstheme="majorHAnsi"/>
        </w:rPr>
        <w:t xml:space="preserve">, </w:t>
      </w:r>
      <w:bookmarkStart w:id="19" w:name="DATA"/>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19"/>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85FB75E"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bookmarkStart w:id="20" w:name="NOME2"/>
      <w:r w:rsidR="00A02208">
        <w:rPr>
          <w:rFonts w:asciiTheme="majorHAnsi" w:hAnsiTheme="majorHAnsi" w:cstheme="majorHAnsi"/>
        </w:rPr>
        <w:t>Nome</w:t>
      </w:r>
      <w:bookmarkEnd w:id="20"/>
    </w:p>
    <w:p w14:paraId="6E97531E" w14:textId="7379B1BB"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bookmarkStart w:id="21" w:name="CPF2"/>
      <w:r w:rsidR="00A02208" w:rsidRPr="00A02208">
        <w:rPr>
          <w:rFonts w:asciiTheme="majorHAnsi" w:hAnsiTheme="majorHAnsi" w:cstheme="majorHAnsi"/>
        </w:rPr>
        <w:t>CPF</w:t>
      </w:r>
      <w:bookmarkEnd w:id="21"/>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1F5D5D0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bookmarkStart w:id="22" w:name="CORRETOR"/>
      <w:r w:rsidR="0098623A">
        <w:rPr>
          <w:rFonts w:asciiTheme="majorHAnsi" w:hAnsiTheme="majorHAnsi" w:cstheme="majorHAnsi"/>
        </w:rPr>
        <w:t>Nome</w:t>
      </w:r>
      <w:bookmarkEnd w:id="22"/>
    </w:p>
    <w:p w14:paraId="0E75860C" w14:textId="52C712D4" w:rsidR="00A1285F" w:rsidRPr="0098623A" w:rsidRDefault="00A1285F" w:rsidP="00A1285F">
      <w:pPr>
        <w:spacing w:after="0" w:line="240" w:lineRule="auto"/>
        <w:ind w:right="3258"/>
        <w:rPr>
          <w:rFonts w:asciiTheme="majorHAnsi" w:hAnsiTheme="majorHAnsi" w:cstheme="majorHAnsi"/>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98623A">
        <w:rPr>
          <w:rFonts w:asciiTheme="majorHAnsi" w:hAnsiTheme="majorHAnsi" w:cstheme="majorHAnsi"/>
          <w:b/>
        </w:rPr>
        <w:t xml:space="preserve"> </w:t>
      </w:r>
      <w:bookmarkStart w:id="23" w:name="CRECI"/>
      <w:r w:rsidR="0098623A">
        <w:rPr>
          <w:rFonts w:asciiTheme="majorHAnsi" w:hAnsiTheme="majorHAnsi" w:cstheme="majorHAnsi"/>
        </w:rPr>
        <w:t>C</w:t>
      </w:r>
      <w:r w:rsidR="00926170">
        <w:rPr>
          <w:rFonts w:asciiTheme="majorHAnsi" w:hAnsiTheme="majorHAnsi" w:cstheme="majorHAnsi"/>
        </w:rPr>
        <w:t>RECI</w:t>
      </w:r>
      <w:bookmarkEnd w:id="23"/>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lastRenderedPageBreak/>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w:t>
      </w:r>
      <w:proofErr w:type="spellStart"/>
      <w:r w:rsidRPr="002F6A47">
        <w:rPr>
          <w:rFonts w:ascii="Cambria" w:hAnsi="Cambria"/>
          <w:sz w:val="21"/>
          <w:szCs w:val="21"/>
        </w:rPr>
        <w:t>Select</w:t>
      </w:r>
      <w:proofErr w:type="spellEnd"/>
      <w:r w:rsidRPr="002F6A47">
        <w:rPr>
          <w:rFonts w:ascii="Cambria" w:hAnsi="Cambria"/>
          <w:sz w:val="21"/>
          <w:szCs w:val="21"/>
        </w:rPr>
        <w:t xml:space="preserve">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0442E067" w:rsidR="00A1285F" w:rsidRPr="002F6A47" w:rsidRDefault="008B0445" w:rsidP="00A1285F">
      <w:pPr>
        <w:spacing w:after="0" w:line="240" w:lineRule="auto"/>
        <w:rPr>
          <w:rFonts w:asciiTheme="majorHAnsi" w:hAnsiTheme="majorHAnsi" w:cstheme="majorHAnsi"/>
        </w:rPr>
      </w:pPr>
      <w:bookmarkStart w:id="24" w:name="SALADEVENDAS"/>
      <w:r>
        <w:rPr>
          <w:rFonts w:asciiTheme="majorHAnsi" w:hAnsiTheme="majorHAnsi" w:cstheme="majorHAnsi"/>
        </w:rPr>
        <w:t>__________</w:t>
      </w:r>
      <w:bookmarkEnd w:id="24"/>
      <w:r w:rsidR="00A1285F" w:rsidRPr="002F6A47">
        <w:rPr>
          <w:rFonts w:asciiTheme="majorHAnsi" w:hAnsiTheme="majorHAnsi" w:cstheme="majorHAnsi"/>
        </w:rPr>
        <w:t xml:space="preserve">, </w:t>
      </w:r>
      <w:bookmarkStart w:id="25" w:name="DATA2"/>
      <w:r w:rsidR="00A1285F" w:rsidRPr="002F6A47">
        <w:rPr>
          <w:rFonts w:asciiTheme="majorHAnsi" w:hAnsiTheme="majorHAnsi" w:cstheme="majorHAnsi"/>
        </w:rPr>
        <w:t xml:space="preserve">_______ de ___________________________ </w:t>
      </w:r>
      <w:proofErr w:type="spellStart"/>
      <w:r w:rsidR="00A1285F" w:rsidRPr="002F6A47">
        <w:rPr>
          <w:rFonts w:asciiTheme="majorHAnsi" w:hAnsiTheme="majorHAnsi" w:cstheme="majorHAnsi"/>
        </w:rPr>
        <w:t>de</w:t>
      </w:r>
      <w:proofErr w:type="spellEnd"/>
      <w:r w:rsidR="00A1285F" w:rsidRPr="002F6A47">
        <w:rPr>
          <w:rFonts w:asciiTheme="majorHAnsi" w:hAnsiTheme="majorHAnsi" w:cstheme="majorHAnsi"/>
        </w:rPr>
        <w:t xml:space="preserve"> _________</w:t>
      </w:r>
      <w:bookmarkEnd w:id="25"/>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45FCEB7"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bookmarkStart w:id="26" w:name="NOME3"/>
      <w:r w:rsidR="007F6A3F" w:rsidRPr="007F6A3F">
        <w:rPr>
          <w:rFonts w:asciiTheme="majorHAnsi" w:hAnsiTheme="majorHAnsi" w:cstheme="majorHAnsi"/>
        </w:rPr>
        <w:t>Nome</w:t>
      </w:r>
      <w:bookmarkEnd w:id="26"/>
    </w:p>
    <w:p w14:paraId="7E05DC42" w14:textId="4F4CD79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bookmarkStart w:id="27" w:name="CPF3"/>
      <w:r w:rsidR="007F6A3F">
        <w:rPr>
          <w:rFonts w:asciiTheme="majorHAnsi" w:hAnsiTheme="majorHAnsi" w:cstheme="majorHAnsi"/>
        </w:rPr>
        <w:t>CPF</w:t>
      </w:r>
      <w:bookmarkEnd w:id="27"/>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3BC69AB"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bookmarkStart w:id="28" w:name="CORRETOR2"/>
      <w:r w:rsidR="007F6A3F">
        <w:rPr>
          <w:rFonts w:asciiTheme="majorHAnsi" w:hAnsiTheme="majorHAnsi" w:cstheme="majorHAnsi"/>
        </w:rPr>
        <w:t>Nome</w:t>
      </w:r>
      <w:bookmarkEnd w:id="28"/>
    </w:p>
    <w:p w14:paraId="1A92473E" w14:textId="11583A36" w:rsidR="005823A0" w:rsidRPr="007F6A3F" w:rsidRDefault="00A1285F" w:rsidP="00716D17">
      <w:pPr>
        <w:spacing w:after="0" w:line="240" w:lineRule="auto"/>
        <w:ind w:right="3258"/>
        <w:rPr>
          <w:vertAlign w:val="subscript"/>
        </w:rPr>
      </w:pPr>
      <w:proofErr w:type="spellStart"/>
      <w:r w:rsidRPr="002F6A47">
        <w:rPr>
          <w:rFonts w:asciiTheme="majorHAnsi" w:hAnsiTheme="majorHAnsi" w:cstheme="majorHAnsi"/>
          <w:b/>
        </w:rPr>
        <w:t>Creci</w:t>
      </w:r>
      <w:proofErr w:type="spellEnd"/>
      <w:r w:rsidRPr="002F6A47">
        <w:rPr>
          <w:rFonts w:asciiTheme="majorHAnsi" w:hAnsiTheme="majorHAnsi" w:cstheme="majorHAnsi"/>
          <w:b/>
        </w:rPr>
        <w:t>:</w:t>
      </w:r>
      <w:r w:rsidR="007F6A3F">
        <w:rPr>
          <w:rFonts w:asciiTheme="majorHAnsi" w:hAnsiTheme="majorHAnsi" w:cstheme="majorHAnsi"/>
          <w:b/>
        </w:rPr>
        <w:t xml:space="preserve"> </w:t>
      </w:r>
      <w:bookmarkStart w:id="29" w:name="CRECI2"/>
      <w:r w:rsidR="007F6A3F">
        <w:rPr>
          <w:rFonts w:asciiTheme="majorHAnsi" w:hAnsiTheme="majorHAnsi" w:cstheme="majorHAnsi"/>
        </w:rPr>
        <w:t>CRECI</w:t>
      </w:r>
      <w:bookmarkEnd w:id="29"/>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D7E2" w14:textId="77777777" w:rsidR="00270E4D" w:rsidRDefault="00270E4D" w:rsidP="0002461E">
      <w:pPr>
        <w:spacing w:after="0" w:line="240" w:lineRule="auto"/>
      </w:pPr>
      <w:r>
        <w:separator/>
      </w:r>
    </w:p>
  </w:endnote>
  <w:endnote w:type="continuationSeparator" w:id="0">
    <w:p w14:paraId="73AE7E8A" w14:textId="77777777" w:rsidR="00270E4D" w:rsidRDefault="00270E4D"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1CD5F" w14:textId="77777777" w:rsidR="00270E4D" w:rsidRDefault="00270E4D" w:rsidP="0002461E">
      <w:pPr>
        <w:spacing w:after="0" w:line="240" w:lineRule="auto"/>
      </w:pPr>
      <w:r>
        <w:separator/>
      </w:r>
    </w:p>
  </w:footnote>
  <w:footnote w:type="continuationSeparator" w:id="0">
    <w:p w14:paraId="365BC2FA" w14:textId="77777777" w:rsidR="00270E4D" w:rsidRDefault="00270E4D"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270E4D">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270E4D">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270E4D">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0E4D"/>
    <w:rsid w:val="00271242"/>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87784"/>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2928</Words>
  <Characters>15816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30</cp:revision>
  <cp:lastPrinted>2022-04-28T20:06:00Z</cp:lastPrinted>
  <dcterms:created xsi:type="dcterms:W3CDTF">2022-05-02T12:39:00Z</dcterms:created>
  <dcterms:modified xsi:type="dcterms:W3CDTF">2022-11-18T12:46:00Z</dcterms:modified>
</cp:coreProperties>
</file>