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Supporting Information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learning for low-band-gap three-dimensional metal–organic frameworks: prospective DFT validation of a chemically audited hypothetical catalogue</w:t>
      </w:r>
    </w:p>
    <w:p>
      <w:pPr>
        <w:spacing w:after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Carlos H. Guerrero Navarro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Maryam Ghotbi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, Perla B. Balbuena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a,b,c,*</w:t>
      </w:r>
    </w:p>
    <w:p>
      <w:pPr>
        <w:spacing w:after="40"/>
        <w:jc w:val="left"/>
      </w:pPr>
      <w:r>
        <w:rPr>
          <w:rFonts w:ascii="Calibri" w:cs="Calibri" w:eastAsia="Calibri" w:hAnsi="Calibri"/>
          <w:i/>
          <w:iCs/>
          <w:sz w:val="20"/>
          <w:szCs w:val="20"/>
          <w:vertAlign w:val="superscript"/>
        </w:rPr>
        <w:t xml:space="preserve">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Department of Chemical Engineering, Texas A&amp;M University, College Station, Texas 77843, United States</w:t>
      </w:r>
    </w:p>
    <w:p>
      <w:pPr>
        <w:spacing w:after="40"/>
        <w:jc w:val="left"/>
      </w:pPr>
      <w:r>
        <w:rPr>
          <w:rFonts w:ascii="Calibri" w:cs="Calibri" w:eastAsia="Calibri" w:hAnsi="Calibri"/>
          <w:i/>
          <w:iCs/>
          <w:sz w:val="20"/>
          <w:szCs w:val="20"/>
          <w:vertAlign w:val="superscript"/>
        </w:rPr>
        <w:t xml:space="preserve">b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Department of Chemistry, Texas A&amp;M University, College Station, Texas 77843, United States</w:t>
      </w:r>
    </w:p>
    <w:p>
      <w:pPr>
        <w:spacing w:after="40"/>
        <w:jc w:val="left"/>
      </w:pPr>
      <w:r>
        <w:rPr>
          <w:rFonts w:ascii="Calibri" w:cs="Calibri" w:eastAsia="Calibri" w:hAnsi="Calibri"/>
          <w:i/>
          <w:iCs/>
          <w:sz w:val="20"/>
          <w:szCs w:val="20"/>
          <w:vertAlign w:val="superscript"/>
        </w:rPr>
        <w:t xml:space="preserve">c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Department of Materials Science and Engineering, Texas A&amp;M University, College Station, Texas 77843, United States</w:t>
      </w:r>
    </w:p>
    <w:p>
      <w:pPr>
        <w:spacing w:after="40"/>
        <w:jc w:val="lef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* Corresponding author: balbuena@tamu.edu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tables and figures in this document are produced by the scripts of the public repository (https://github.com/humbertogn-coder/MOF_3D_Generator) from the data files deposited with the article; the script that produces each item is named in its caption.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S1. Building blocks, quality control and catalogue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PORMAKE 0.2.3 library was audited with scripts/01_audit_pormake_bbs.py: 648 nodes (528 containing a metal, 298 with carboxylate connection points only) and 219 edges. Nodes were retained when all connection points are carboxylates and the oxidation state implied by charge balance with dianionic dicarboxylates is +2 (Table S1). The edges are carboxylate-free spacers; the carboxylate groups belong to the node, so the assembled linker is the spacer plus two carboxylates (Table S2). Every node–linker–net combination was built with scripts/02_generate_catalogue.py and filtered by the QC rules of Section 2.1 of the main text (Table S3); the composition of the resulting catalogue is given in Table S4. The generator reproduces the compositions of three known frameworks (Table S5).</w:t>
      </w: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S1. </w:t>
      </w:r>
      <w:r>
        <w:rPr>
          <w:rFonts w:ascii="Calibri" w:cs="Calibri" w:eastAsia="Calibri" w:hAnsi="Calibri"/>
          <w:sz w:val="19"/>
          <w:szCs w:val="19"/>
        </w:rPr>
        <w:t xml:space="preserve">Metal nodes used in the catalogue (scripts/01_audit_pormake_bbs.py, data/pormake_audit/nodes.csv). Composition as in the PORMAKE building block; every connection point is a carboxylate and the implied metal oxidation state is +2.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2109"/>
        <w:gridCol w:w="2373"/>
        <w:gridCol w:w="791"/>
        <w:gridCol w:w="1186"/>
        <w:gridCol w:w="1582"/>
      </w:tblGrid>
      <w:tr>
        <w:trPr>
          <w:tblHeader/>
        </w:trPr>
        <w:tc>
          <w:tcPr>
            <w:tcW w:type="dxa" w:w="131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PORMAKE node</w:t>
            </w:r>
          </w:p>
        </w:tc>
        <w:tc>
          <w:tcPr>
            <w:tcW w:type="dxa" w:w="210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Composition</w:t>
            </w:r>
          </w:p>
        </w:tc>
        <w:tc>
          <w:tcPr>
            <w:tcW w:type="dxa" w:w="237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Family</w:t>
            </w:r>
          </w:p>
        </w:tc>
        <w:tc>
          <w:tcPr>
            <w:tcW w:type="dxa" w:w="791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Metal</w:t>
            </w:r>
          </w:p>
        </w:tc>
        <w:tc>
          <w:tcPr>
            <w:tcW w:type="dxa" w:w="118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Nets</w:t>
            </w:r>
          </w:p>
        </w:tc>
        <w:tc>
          <w:tcPr>
            <w:tcW w:type="dxa" w:w="158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Frameworks passing QC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N317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paddlewheel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-paddlewheel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cds, nbo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N409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paddlewheel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-paddlewheel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cds, nbo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N355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paddlewheel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-paddlewheel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cds, nbo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N288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paddlewheel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-paddlewheel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Mn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cds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N153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paddlewheel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-paddlewheel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cds, nbo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N398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-tetrahedral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dia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N649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-tetrahedral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dia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N256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-tetrahedral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dia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N491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pcu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N334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pcu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N406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Mg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(closed-shell s-block reference)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Mg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pcu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N548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Mn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pcu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N382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pcu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N35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bcu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N350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bcu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31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N16</w:t>
            </w:r>
          </w:p>
        </w:tc>
        <w:tc>
          <w:tcPr>
            <w:tcW w:type="dxa" w:w="210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791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</w:p>
        </w:tc>
        <w:tc>
          <w:tcPr>
            <w:tcW w:type="dxa" w:w="118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pcu</w:t>
            </w:r>
          </w:p>
        </w:tc>
        <w:tc>
          <w:tcPr>
            <w:tcW w:type="dxa" w:w="158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S2. </w:t>
      </w:r>
      <w:r>
        <w:rPr>
          <w:rFonts w:ascii="Calibri" w:cs="Calibri" w:eastAsia="Calibri" w:hAnsi="Calibri"/>
          <w:sz w:val="19"/>
          <w:szCs w:val="19"/>
        </w:rPr>
        <w:t xml:space="preserve">Edge building blocks and the dicarboxylate linkers they form once joined to two carboxylate nodes. "BDC-type" linkers have one aromatic ring, "BPDC-type" linkers two.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26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PORMAKE edge</w:t>
            </w:r>
          </w:p>
        </w:tc>
        <w:tc>
          <w:tcPr>
            <w:tcW w:type="dxa" w:w="390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Assembled dicarboxylate linker</w:t>
            </w:r>
          </w:p>
        </w:tc>
        <w:tc>
          <w:tcPr>
            <w:tcW w:type="dxa" w:w="260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Label</w:t>
            </w:r>
          </w:p>
        </w:tc>
        <w:tc>
          <w:tcPr>
            <w:tcW w:type="dxa" w:w="156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Frameworks passing QC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E107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phenylpyridine dicarboxylate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BPDC-type, Nring1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E14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1,4-benzenedicarboxylate (BDC)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BDC-type, H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E145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octafluoro-BPDC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BPDC-type,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E166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pyridine-2,5-dicarboxylate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BDC-type, Nring1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E228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2,3,5,6-tetrafluoro-BDC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BDC-type,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E34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4,4'-biphenyldicarboxylate (BPDC)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BPDC-type, H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E35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bipyridine dicarboxylate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BPDC-type, Nring2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E72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2-amino-BDC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BDC-type,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S3. </w:t>
      </w:r>
      <w:r>
        <w:rPr>
          <w:rFonts w:ascii="Calibri" w:cs="Calibri" w:eastAsia="Calibri" w:hAnsi="Calibri"/>
          <w:sz w:val="19"/>
          <w:szCs w:val="19"/>
        </w:rPr>
        <w:t xml:space="preserve">Structural quality-control criteria and the number of the 37 rejected frameworks that fail each one (a framework can fail several; data/catalogue/catalogue.csv). The remaining criteria of Section 2.1 (composition, cell length, atom count, node RMSD) rejected no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6"/>
        <w:gridCol w:w="3404"/>
      </w:tblGrid>
      <w:tr>
        <w:trPr>
          <w:tblHeader/>
        </w:trPr>
        <w:tc>
          <w:tcPr>
            <w:tcW w:type="dxa" w:w="595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QC criterion</w:t>
            </w:r>
          </w:p>
        </w:tc>
        <w:tc>
          <w:tcPr>
            <w:tcW w:type="dxa" w:w="340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Frameworks failing it (of 37 rejected)</w:t>
            </w:r>
          </w:p>
        </w:tc>
      </w:tr>
      <w:tr>
        <w:tc>
          <w:tcPr>
            <w:tcW w:type="dxa" w:w="59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density outside 0.20–3.0 g cm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perscript"/>
              </w:rPr>
              <w:t xml:space="preserve">−3</w:t>
            </w:r>
          </w:p>
        </w:tc>
        <w:tc>
          <w:tcPr>
            <w:tcW w:type="dxa" w:w="3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59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heavy–heavy or H–H pair closer than 1.00 Å</w:t>
            </w:r>
          </w:p>
        </w:tc>
        <w:tc>
          <w:tcPr>
            <w:tcW w:type="dxa" w:w="3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59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more than one connected component</w:t>
            </w:r>
          </w:p>
        </w:tc>
        <w:tc>
          <w:tcPr>
            <w:tcW w:type="dxa" w:w="3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59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 atom without exactly one neighbour</w:t>
            </w:r>
          </w:p>
        </w:tc>
        <w:tc>
          <w:tcPr>
            <w:tcW w:type="dxa" w:w="3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9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 atom with organic coordination number outside 2–4</w:t>
            </w:r>
          </w:p>
        </w:tc>
        <w:tc>
          <w:tcPr>
            <w:tcW w:type="dxa" w:w="3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9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non-bonded contact shorter than 0.8 × Σ 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cov</w:t>
            </w:r>
          </w:p>
        </w:tc>
        <w:tc>
          <w:tcPr>
            <w:tcW w:type="dxa" w:w="3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95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any pair closer than 0.70 Å</w:t>
            </w:r>
          </w:p>
        </w:tc>
        <w:tc>
          <w:tcPr>
            <w:tcW w:type="dxa" w:w="340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S4. </w:t>
      </w:r>
      <w:r>
        <w:rPr>
          <w:rFonts w:ascii="Calibri" w:cs="Calibri" w:eastAsia="Calibri" w:hAnsi="Calibri"/>
          <w:sz w:val="19"/>
          <w:szCs w:val="19"/>
        </w:rPr>
        <w:t xml:space="preserve">Composition of the catalogue after quality control: number of frameworks per node family, net and metal (data/catalogue/passed.csv). Each cell counts up to eight linkers.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840"/>
        <w:gridCol w:w="720"/>
        <w:gridCol w:w="720"/>
        <w:gridCol w:w="720"/>
        <w:gridCol w:w="720"/>
        <w:gridCol w:w="720"/>
        <w:gridCol w:w="720"/>
        <w:gridCol w:w="720"/>
        <w:gridCol w:w="840"/>
      </w:tblGrid>
      <w:tr>
        <w:trPr>
          <w:tblHeader/>
        </w:trPr>
        <w:tc>
          <w:tcPr>
            <w:tcW w:type="dxa" w:w="264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Node family</w:t>
            </w:r>
          </w:p>
        </w:tc>
        <w:tc>
          <w:tcPr>
            <w:tcW w:type="dxa" w:w="84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Net</w:t>
            </w:r>
          </w:p>
        </w:tc>
        <w:tc>
          <w:tcPr>
            <w:tcW w:type="dxa" w:w="7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</w:t>
            </w:r>
          </w:p>
        </w:tc>
        <w:tc>
          <w:tcPr>
            <w:tcW w:type="dxa" w:w="7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Cu</w:t>
            </w:r>
          </w:p>
        </w:tc>
        <w:tc>
          <w:tcPr>
            <w:tcW w:type="dxa" w:w="7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</w:t>
            </w:r>
          </w:p>
        </w:tc>
        <w:tc>
          <w:tcPr>
            <w:tcW w:type="dxa" w:w="7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Mg</w:t>
            </w:r>
          </w:p>
        </w:tc>
        <w:tc>
          <w:tcPr>
            <w:tcW w:type="dxa" w:w="7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Mn</w:t>
            </w:r>
          </w:p>
        </w:tc>
        <w:tc>
          <w:tcPr>
            <w:tcW w:type="dxa" w:w="7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Ni</w:t>
            </w:r>
          </w:p>
        </w:tc>
        <w:tc>
          <w:tcPr>
            <w:tcW w:type="dxa" w:w="7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Zn</w:t>
            </w:r>
          </w:p>
        </w:tc>
        <w:tc>
          <w:tcPr>
            <w:tcW w:type="dxa" w:w="84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-paddlewheel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cds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-paddlewheel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nbo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-tetrahedral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dia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pcu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bcu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pcu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S5. </w:t>
      </w:r>
      <w:r>
        <w:rPr>
          <w:rFonts w:ascii="Calibri" w:cs="Calibri" w:eastAsia="Calibri" w:hAnsi="Calibri"/>
          <w:sz w:val="19"/>
          <w:szCs w:val="19"/>
        </w:rPr>
        <w:t xml:space="preserve">Reproduction of known frameworks by the generator (results/validation_known_mofs.csv). The QMOF values are averages over the QMOF entries with the same composition; the generated frameworks are less dense because PORMAKE places the building blocks on an idealised 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1"/>
        <w:gridCol w:w="1847"/>
        <w:gridCol w:w="1108"/>
        <w:gridCol w:w="739"/>
        <w:gridCol w:w="1108"/>
        <w:gridCol w:w="985"/>
        <w:gridCol w:w="1108"/>
        <w:gridCol w:w="862"/>
      </w:tblGrid>
      <w:tr>
        <w:trPr>
          <w:tblHeader/>
        </w:trPr>
        <w:tc>
          <w:tcPr>
            <w:tcW w:type="dxa" w:w="1601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Known MOF</w:t>
            </w:r>
          </w:p>
        </w:tc>
        <w:tc>
          <w:tcPr>
            <w:tcW w:type="dxa" w:w="1847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Formula (cell)</w:t>
            </w:r>
          </w:p>
        </w:tc>
        <w:tc>
          <w:tcPr>
            <w:tcW w:type="dxa" w:w="110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Composition reproduced</w:t>
            </w:r>
          </w:p>
        </w:tc>
        <w:tc>
          <w:tcPr>
            <w:tcW w:type="dxa" w:w="73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Passes QC</w:t>
            </w:r>
          </w:p>
        </w:tc>
        <w:tc>
          <w:tcPr>
            <w:tcW w:type="dxa" w:w="110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Density built (g cm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perscript"/>
              </w:rPr>
              <w:t xml:space="preserve">−3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9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Density QMOF</w:t>
            </w:r>
          </w:p>
        </w:tc>
        <w:tc>
          <w:tcPr>
            <w:tcW w:type="dxa" w:w="110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QMOF PBE gap (eV)</w:t>
            </w:r>
          </w:p>
        </w:tc>
        <w:tc>
          <w:tcPr>
            <w:tcW w:type="dxa" w:w="86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QMOF entries</w:t>
            </w:r>
          </w:p>
        </w:tc>
      </w:tr>
      <w:tr>
        <w:tc>
          <w:tcPr>
            <w:tcW w:type="dxa" w:w="16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MOF-5 (IRMOF-1)</w:t>
            </w:r>
          </w:p>
        </w:tc>
        <w:tc>
          <w:tcPr>
            <w:tcW w:type="dxa" w:w="18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12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13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3.52</w:t>
            </w:r>
          </w:p>
        </w:tc>
        <w:tc>
          <w:tcPr>
            <w:tcW w:type="dxa" w:w="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6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IRMOF-10</w:t>
            </w:r>
          </w:p>
        </w:tc>
        <w:tc>
          <w:tcPr>
            <w:tcW w:type="dxa" w:w="18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13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0.29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0.32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3.13</w:t>
            </w:r>
          </w:p>
        </w:tc>
        <w:tc>
          <w:tcPr>
            <w:tcW w:type="dxa" w:w="8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601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IRMOF-3</w:t>
            </w:r>
          </w:p>
        </w:tc>
        <w:tc>
          <w:tcPr>
            <w:tcW w:type="dxa" w:w="1847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15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13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3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110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2.35</w:t>
            </w:r>
          </w:p>
        </w:tc>
        <w:tc>
          <w:tcPr>
            <w:tcW w:type="dxa" w:w="86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S2. Surrogate model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Eleven regressors and the matching classifiers were trained on 80 % of the 20,372 QMOF entries with a PBE gap and evaluated on the remaining 20 % (scripts/00_qmof_benchmark.py; split stratified by gap &lt; 1 eV, random_state = 42). Table S6 reports feature set C; Table S7 reports the ExtraTrees results for all five feature sets; Table S8 lists the hyperparameters. Fig. S1 shows the parity plot of the selected model on the hold-out set, Fig. S2 its SHAP feature importances, Fig. S3 the mean prediction of the initial surrogate by metal and substituent, and Fig. S4 the acquisition landscape of iteration 0.</w:t>
      </w: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S6. </w:t>
      </w:r>
      <w:r>
        <w:rPr>
          <w:rFonts w:ascii="Calibri" w:cs="Calibri" w:eastAsia="Calibri" w:hAnsi="Calibri"/>
          <w:sz w:val="19"/>
          <w:szCs w:val="19"/>
        </w:rPr>
        <w:t xml:space="preserve">Benchmark on feature set C (64 descriptors), QMOF hold-out set of 4,075 structures. Regression metrics refer to the PBE gap; classification metrics to the 1 eV threshold (positive class: gap &lt; 1 eV). "Dummy" predicts the training mean (regression) or the majority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2"/>
        <w:gridCol w:w="769"/>
        <w:gridCol w:w="898"/>
        <w:gridCol w:w="898"/>
        <w:gridCol w:w="1026"/>
        <w:gridCol w:w="2052"/>
        <w:gridCol w:w="898"/>
        <w:gridCol w:w="769"/>
      </w:tblGrid>
      <w:tr>
        <w:trPr>
          <w:tblHeader/>
        </w:trPr>
        <w:tc>
          <w:tcPr>
            <w:tcW w:type="dxa" w:w="205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Regressor</w:t>
            </w:r>
          </w:p>
        </w:tc>
        <w:tc>
          <w:tcPr>
            <w:tcW w:type="dxa" w:w="76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perscript"/>
              </w:rPr>
              <w:t xml:space="preserve">2</w:t>
            </w:r>
          </w:p>
        </w:tc>
        <w:tc>
          <w:tcPr>
            <w:tcW w:type="dxa" w:w="89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MAE (eV)</w:t>
            </w:r>
          </w:p>
        </w:tc>
        <w:tc>
          <w:tcPr>
            <w:tcW w:type="dxa" w:w="89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RMSE (eV)</w:t>
            </w:r>
          </w:p>
        </w:tc>
        <w:tc>
          <w:tcPr>
            <w:tcW w:type="dxa" w:w="102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Spearman ρ</w:t>
            </w:r>
          </w:p>
        </w:tc>
        <w:tc>
          <w:tcPr>
            <w:tcW w:type="dxa" w:w="205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Classifier</w:t>
            </w:r>
          </w:p>
        </w:tc>
        <w:tc>
          <w:tcPr>
            <w:tcW w:type="dxa" w:w="89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ROC AUC</w:t>
            </w:r>
          </w:p>
        </w:tc>
        <w:tc>
          <w:tcPr>
            <w:tcW w:type="dxa" w:w="76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1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Ridge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0.54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LogisticRegression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ElasticNet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0.54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LogisticRegression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KNN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KNN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SVR_RBF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0.83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SVC_RBF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RandomForest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0.41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RandomForest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ExtraTrees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0.56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ExtraTrees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GradientBoosting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GradientBoosting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HistGradientBoosting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0.83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HistGradientBoosting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MLP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0.83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MLP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XGBoost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0.41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XGBoost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LightGBM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0.41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LightGBM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</w:tr>
      <w:tr>
        <w:tc>
          <w:tcPr>
            <w:tcW w:type="dxa" w:w="205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DummyMean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-0.00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  <w:tc>
          <w:tcPr>
            <w:tcW w:type="dxa" w:w="102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205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DummyMostFrequent</w:t>
            </w:r>
          </w:p>
        </w:tc>
        <w:tc>
          <w:tcPr>
            <w:tcW w:type="dxa" w:w="89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76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S7. </w:t>
      </w:r>
      <w:r>
        <w:rPr>
          <w:rFonts w:ascii="Calibri" w:cs="Calibri" w:eastAsia="Calibri" w:hAnsi="Calibri"/>
          <w:sz w:val="19"/>
          <w:szCs w:val="19"/>
        </w:rPr>
        <w:t xml:space="preserve">Feature sets and the hold-out performance of ExtraTrees on each (regression R</w:t>
      </w:r>
      <w:r>
        <w:rPr>
          <w:rFonts w:ascii="Calibri" w:cs="Calibri" w:eastAsia="Calibri" w:hAnsi="Calibri"/>
          <w:sz w:val="19"/>
          <w:szCs w:val="19"/>
          <w:vertAlign w:val="superscript"/>
        </w:rPr>
        <w:t xml:space="preserve">2</w:t>
      </w:r>
      <w:r>
        <w:rPr>
          <w:rFonts w:ascii="Calibri" w:cs="Calibri" w:eastAsia="Calibri" w:hAnsi="Calibri"/>
          <w:sz w:val="19"/>
          <w:szCs w:val="19"/>
        </w:rPr>
        <w:t xml:space="preserve"> and MAE; ROC AUC of the matching classifier). Set C was selected; set E uses PBE-derived inputs that are not available for hypothetical frameworks.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6"/>
        <w:gridCol w:w="885"/>
        <w:gridCol w:w="5312"/>
        <w:gridCol w:w="885"/>
        <w:gridCol w:w="885"/>
        <w:gridCol w:w="885"/>
      </w:tblGrid>
      <w:tr>
        <w:trPr>
          <w:tblHeader/>
        </w:trPr>
        <w:tc>
          <w:tcPr>
            <w:tcW w:type="dxa" w:w="50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Set</w:t>
            </w:r>
          </w:p>
        </w:tc>
        <w:tc>
          <w:tcPr>
            <w:tcW w:type="dxa" w:w="8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Features</w:t>
            </w:r>
          </w:p>
        </w:tc>
        <w:tc>
          <w:tcPr>
            <w:tcW w:type="dxa" w:w="531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Content</w:t>
            </w:r>
          </w:p>
        </w:tc>
        <w:tc>
          <w:tcPr>
            <w:tcW w:type="dxa" w:w="8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(ET)</w:t>
            </w:r>
          </w:p>
        </w:tc>
        <w:tc>
          <w:tcPr>
            <w:tcW w:type="dxa" w:w="8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MAE (eV)</w:t>
            </w:r>
          </w:p>
        </w:tc>
        <w:tc>
          <w:tcPr>
            <w:tcW w:type="dxa" w:w="8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ROC AUC</w:t>
            </w:r>
          </w:p>
        </w:tc>
      </w:tr>
      <w:tr>
        <w:tc>
          <w:tcPr>
            <w:tcW w:type="dxa" w:w="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n_atoms, density, PLD, LCD, cell volume, LCD − PLD, LCD/PLD, volume per atom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</w:tr>
      <w:tr>
        <w:tc>
          <w:tcPr>
            <w:tcW w:type="dxa" w:w="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5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+ aggregate composition (metal counts and fractions, open-shell 3d flag and fraction, C/N/O/H per atom, ratios, heteroatom fraction, mean and std of Z and electronegativity)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0.43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</w:tr>
      <w:tr>
        <w:tc>
          <w:tcPr>
            <w:tcW w:type="dxa" w:w="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5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 + fractions of 34 common elements (selected)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</w:tr>
      <w:tr>
        <w:tc>
          <w:tcPr>
            <w:tcW w:type="dxa" w:w="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64 + 4</w:t>
            </w:r>
          </w:p>
        </w:tc>
        <w:tc>
          <w:tcPr>
            <w:tcW w:type="dxa" w:w="5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 + categorical topology, primary metal, crystal system and node SMILES (one-hot)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</w:tr>
      <w:tr>
        <w:tc>
          <w:tcPr>
            <w:tcW w:type="dxa" w:w="50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68 + 4</w:t>
            </w:r>
          </w:p>
        </w:tc>
        <w:tc>
          <w:tcPr>
            <w:tcW w:type="dxa" w:w="531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 + four PBE-derived quantities per atom (energy, vdW, electronic, |magmom|); reference only, leakage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</w:t>
            </w:r>
          </w:p>
        </w:tc>
        <w:tc>
          <w:tcPr>
            <w:tcW w:type="dxa" w:w="8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S8. </w:t>
      </w:r>
      <w:r>
        <w:rPr>
          <w:rFonts w:ascii="Calibri" w:cs="Calibri" w:eastAsia="Calibri" w:hAnsi="Calibri"/>
          <w:sz w:val="19"/>
          <w:szCs w:val="19"/>
        </w:rPr>
        <w:t xml:space="preserve">Hyperparameters of the surrogate and of the active-learning ensemble (scripts/05_train_predict.py, src/mofal/surrogate.py).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129"/>
        <w:gridCol w:w="3304"/>
      </w:tblGrid>
      <w:tr>
        <w:trPr>
          <w:tblHeader/>
        </w:trPr>
        <w:tc>
          <w:tcPr>
            <w:tcW w:type="dxa" w:w="1927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412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330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Regressor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ExtraTreesRegressor (scikit-learn 1.9)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feature set C, 64 descriptors</w:t>
            </w: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n_estimators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 ensemble member</w:t>
            </w: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max_features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sqrt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min_samples_leaf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Ensemble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members, seeds 42, 123, 456, 789, 2024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μ = mean of member means</w:t>
            </w: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Uncertainty σ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standard deviation over the 1,500 trees of the five members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spread of member means (0.03 eV) also reported</w:t>
            </w: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Benchmark split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80/20, stratified by gap &lt; 1 eV, random_state = 42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same split for all models and feature sets</w:t>
            </w: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 values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median imputation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</w:p>
        </w:tc>
      </w:tr>
      <w:tr>
        <w:tc>
          <w:tcPr>
            <w:tcW w:type="dxa" w:w="1927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OOD flag</w:t>
            </w:r>
          </w:p>
        </w:tc>
        <w:tc>
          <w:tcPr>
            <w:tcW w:type="dxa" w:w="412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density, PLD, n_atoms, metal fraction or C per atom outside the 5–95 % range of QMOF</w:t>
            </w:r>
          </w:p>
        </w:tc>
        <w:tc>
          <w:tcPr>
            <w:tcW w:type="dxa" w:w="330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89 of 131 frameworks flagged</w:t>
            </w:r>
          </w:p>
        </w:tc>
      </w:tr>
    </w:tbl>
    <w:p>
      <w:pPr>
        <w:spacing w:after="160"/>
      </w:pPr>
    </w:p>
    <w:p>
      <w:pPr>
        <w:keepNext/>
        <w:spacing w:after="60" w:before="200"/>
        <w:jc w:val="center"/>
      </w:pPr>
      <w:r>
        <w:drawing>
          <wp:inline distT="0" distB="0" distL="0" distR="0">
            <wp:extent cx="36004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S1. </w:t>
      </w:r>
      <w:r>
        <w:rPr>
          <w:rFonts w:ascii="Calibri" w:cs="Calibri" w:eastAsia="Calibri" w:hAnsi="Calibri"/>
          <w:sz w:val="19"/>
          <w:szCs w:val="19"/>
        </w:rPr>
        <w:t xml:space="preserve">Parity plot of the ExtraTrees regressor (feature set C) on the QMOF hold-out set (scripts/11_make_figures.py). Colour, point density on a logarithmic scale; dashed line, y = x.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243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S2. </w:t>
      </w:r>
      <w:r>
        <w:rPr>
          <w:rFonts w:ascii="Calibri" w:cs="Calibri" w:eastAsia="Calibri" w:hAnsi="Calibri"/>
          <w:sz w:val="19"/>
          <w:szCs w:val="19"/>
        </w:rPr>
        <w:t xml:space="preserve">Mean absolute SHAP value (eV) of the twenty most important descriptors of the ExtraTrees surrogate on a 300-structure sample of the QMOF hold-out set (scripts/11_make_figures.py; results/surrogate/shap_mean_abs.csv).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243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S3. </w:t>
      </w:r>
      <w:r>
        <w:rPr>
          <w:rFonts w:ascii="Calibri" w:cs="Calibri" w:eastAsia="Calibri" w:hAnsi="Calibri"/>
          <w:sz w:val="19"/>
          <w:szCs w:val="19"/>
        </w:rPr>
        <w:t xml:space="preserve">Mean predicted PBE gap of the initial surrogate for the 131 catalogue frameworks by metal and linker substituent, averaged over nets (scripts/11_make_figures.py). Empty cells are combinations absent from the catalogue.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43243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S4. </w:t>
      </w:r>
      <w:r>
        <w:rPr>
          <w:rFonts w:ascii="Calibri" w:cs="Calibri" w:eastAsia="Calibri" w:hAnsi="Calibri"/>
          <w:sz w:val="19"/>
          <w:szCs w:val="19"/>
        </w:rPr>
        <w:t xml:space="preserve">Acquisition landscape of iteration 0: predicted gap μ against uncertainty σ for the 131 frameworks, coloured by net; stars mark the eleven frameworks sent to DFT (scripts/11_make_figures.py; data/al/iter0/acquisition_ranking.csv).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S3. Acquisition and batch selection</w:t>
      </w: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S9. </w:t>
      </w:r>
      <w:r>
        <w:rPr>
          <w:rFonts w:ascii="Calibri" w:cs="Calibri" w:eastAsia="Calibri" w:hAnsi="Calibri"/>
          <w:sz w:val="19"/>
          <w:szCs w:val="19"/>
        </w:rPr>
        <w:t xml:space="preserve">Batch selection per iteration (scripts/06_select_batch.py; data/al/iter&lt;k&gt;/selection_rules.json). "Eligible candidates" are the frameworks not yet computed that satisfy the eligibility rules; the caps are applied in score order. Iteration 0 added two closed-shell references to nine frameworks chosen by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728"/>
        <w:gridCol w:w="832"/>
        <w:gridCol w:w="520"/>
        <w:gridCol w:w="1664"/>
        <w:gridCol w:w="2496"/>
        <w:gridCol w:w="1664"/>
        <w:gridCol w:w="832"/>
      </w:tblGrid>
      <w:tr>
        <w:trPr>
          <w:tblHeader/>
        </w:trPr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Iteration</w:t>
            </w:r>
          </w:p>
        </w:tc>
        <w:tc>
          <w:tcPr>
            <w:tcW w:type="dxa" w:w="72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Labels in training</w:t>
            </w:r>
          </w:p>
        </w:tc>
        <w:tc>
          <w:tcPr>
            <w:tcW w:type="dxa" w:w="83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Eligible candidates</w:t>
            </w:r>
          </w:p>
        </w:tc>
        <w:tc>
          <w:tcPr>
            <w:tcW w:type="dxa" w:w="5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Batch</w:t>
            </w:r>
          </w:p>
        </w:tc>
        <w:tc>
          <w:tcPr>
            <w:tcW w:type="dxa" w:w="166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Diversity caps</w:t>
            </w:r>
          </w:p>
        </w:tc>
        <w:tc>
          <w:tcPr>
            <w:tcW w:type="dxa" w:w="249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Eligibility rules</w:t>
            </w:r>
          </w:p>
        </w:tc>
        <w:tc>
          <w:tcPr>
            <w:tcW w:type="dxa" w:w="166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Forced</w:t>
            </w:r>
          </w:p>
        </w:tc>
        <w:tc>
          <w:tcPr>
            <w:tcW w:type="dxa" w:w="83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κ / α / β</w:t>
            </w:r>
          </w:p>
        </w:tc>
      </w:tr>
      <w:tr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131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per net, 2 per metal</w:t>
            </w:r>
          </w:p>
        </w:tc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MOF-5, 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 (closed-shell references)</w:t>
            </w:r>
          </w:p>
        </w:tc>
        <w:tc>
          <w:tcPr>
            <w:tcW w:type="dxa" w:w="8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 / 0.3 / 0.5</w:t>
            </w:r>
          </w:p>
        </w:tc>
      </w:tr>
      <w:tr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8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per net, 2 per metal, 4 per substituent</w:t>
            </w:r>
          </w:p>
        </w:tc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family 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paddlewheel:cds:Zn; ≤ 160 atoms</w:t>
            </w:r>
          </w:p>
        </w:tc>
        <w:tc>
          <w:tcPr>
            <w:tcW w:type="dxa" w:w="1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 (anchor of the metal series)</w:t>
            </w:r>
          </w:p>
        </w:tc>
        <w:tc>
          <w:tcPr>
            <w:tcW w:type="dxa" w:w="8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 / 0.3 / 0.5</w:t>
            </w:r>
          </w:p>
        </w:tc>
      </w:tr>
      <w:tr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83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6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per net, 2 per metal, 4 per substituent</w:t>
            </w:r>
          </w:p>
        </w:tc>
        <w:tc>
          <w:tcPr>
            <w:tcW w:type="dxa" w:w="249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family 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; paddlewheel:cds:Zn; paddlewheel:cds:Mn; 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:bcu:Fe; ≤ 160 atoms</w:t>
            </w:r>
          </w:p>
        </w:tc>
        <w:tc>
          <w:tcPr>
            <w:tcW w:type="dxa" w:w="166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83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 / 0.3 / 0.5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S4. DFT protocol and results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Table S10 lists the VASP parameters. Table S11 gives the complete record of the 18 accepted labels, Table S12 every spin solution computed, Table S13 the nine frameworks without a label, Table S14 the band-edge projections on all site groups and Table S15 the computational cost per iteration. Fig. S5 shows the spin-resolved density of states of all 18 labelled frameworks.</w:t>
      </w: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S10. </w:t>
      </w:r>
      <w:r>
        <w:rPr>
          <w:rFonts w:ascii="Calibri" w:cs="Calibri" w:eastAsia="Calibri" w:hAnsi="Calibri"/>
          <w:sz w:val="19"/>
          <w:szCs w:val="19"/>
        </w:rPr>
        <w:t xml:space="preserve">VASP 6.3.2 parameters (src/mofal/vasp.py). PAW data sets: Mn_pv, Fe_pv, Ni_pv, Cu_pv, Mg_pv, Co, Zn, C, H, N, O, F from potpaw_PBE.52. A relaxation is accepted as converged when a restarted round reports "reached required accuracy"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2403"/>
        <w:gridCol w:w="2530"/>
        <w:gridCol w:w="2403"/>
      </w:tblGrid>
      <w:tr>
        <w:trPr>
          <w:tblHeader/>
        </w:trPr>
        <w:tc>
          <w:tcPr>
            <w:tcW w:type="dxa" w:w="20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240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Relaxation</w:t>
            </w:r>
          </w:p>
        </w:tc>
        <w:tc>
          <w:tcPr>
            <w:tcW w:type="dxa" w:w="253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Static</w:t>
            </w:r>
          </w:p>
        </w:tc>
        <w:tc>
          <w:tcPr>
            <w:tcW w:type="dxa" w:w="240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Broken-symmetry static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Functional / dispersion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 + D3(BJ)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 + D3(BJ)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 + D3(BJ)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PAW set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potpaw_PBE.52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potpaw_PBE.52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potpaw_PBE.52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ENCUT (eV)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520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520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520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EDIFF (eV)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× 10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perscript"/>
              </w:rPr>
              <w:t xml:space="preserve">−5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× 10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perscript"/>
              </w:rPr>
              <w:t xml:space="preserve">−6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× 10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perscript"/>
              </w:rPr>
              <w:t xml:space="preserve">−6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NELM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ISPIN / MAGMOM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/ high-spin FM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/ high-spin FM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/ ±max(HS, 2) per M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unit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ISYM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default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LMAXMIX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ALGO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 (All for Fe, Co, Ni)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 (All for Fe, Co, Ni)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Normal (All for Fe, Co, Ni)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ISMEAR / SIGMA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/ 0.01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−5 if ≥ 4 k-points and ALGO ≠ All, else 0 / 0.01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static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IBRION / ISIF / NSW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/ 3 / 600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−1 / – / 0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−1 / – / 0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EDIFFG (eV Å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perscript"/>
              </w:rPr>
              <w:t xml:space="preserve">−1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−0.05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k-points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Γ if all 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≥ 12 Å, else Γ-centred 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= round(25 Å / 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Γ-centred 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= round(25 Å / a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 static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LORBIT / NEDOS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 / 3001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 / 3001</w:t>
            </w:r>
          </w:p>
        </w:tc>
      </w:tr>
      <w:tr>
        <w:tc>
          <w:tcPr>
            <w:tcW w:type="dxa" w:w="20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KPAR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if ≥ 2 k-points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if ≥ 2 k-points</w:t>
            </w:r>
          </w:p>
        </w:tc>
        <w:tc>
          <w:tcPr>
            <w:tcW w:type="dxa" w:w="240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if ≥ 2 k-points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S11. </w:t>
      </w:r>
      <w:r>
        <w:rPr>
          <w:rFonts w:ascii="Calibri" w:cs="Calibri" w:eastAsia="Calibri" w:hAnsi="Calibri"/>
          <w:sz w:val="19"/>
          <w:szCs w:val="19"/>
        </w:rPr>
        <w:t xml:space="preserve">Complete record of the 18 accepted labels (results/final/table_labels.csv). "Start of label run": initial magnetic moments of the static calculation that provided the label (fm, high-spin ferromagnetic; afmbs, broken-symmetry start in the same folder; afm2, broken-symmetry sibling run of iteration 0). ΔE is the energy of that solution relative to the ferromagnetic-start solution; M</w:t>
      </w:r>
      <w:r>
        <w:rPr>
          <w:rFonts w:ascii="Calibri" w:cs="Calibri" w:eastAsia="Calibri" w:hAnsi="Calibri"/>
          <w:sz w:val="19"/>
          <w:szCs w:val="19"/>
          <w:vertAlign w:val="subscript"/>
        </w:rPr>
        <w:t xml:space="preserve">tot</w:t>
      </w:r>
      <w:r>
        <w:rPr>
          <w:rFonts w:ascii="Calibri" w:cs="Calibri" w:eastAsia="Calibri" w:hAnsi="Calibri"/>
          <w:sz w:val="19"/>
          <w:szCs w:val="19"/>
        </w:rPr>
        <w:t xml:space="preserve"> the total moment; F</w:t>
      </w:r>
      <w:r>
        <w:rPr>
          <w:rFonts w:ascii="Calibri" w:cs="Calibri" w:eastAsia="Calibri" w:hAnsi="Calibri"/>
          <w:sz w:val="19"/>
          <w:szCs w:val="19"/>
          <w:vertAlign w:val="subscript"/>
        </w:rPr>
        <w:t xml:space="preserve">max</w:t>
      </w:r>
      <w:r>
        <w:rPr>
          <w:rFonts w:ascii="Calibri" w:cs="Calibri" w:eastAsia="Calibri" w:hAnsi="Calibri"/>
          <w:sz w:val="19"/>
          <w:szCs w:val="19"/>
        </w:rPr>
        <w:t xml:space="preserve"> the largest residual force of the relaxation; ΔV the volume change relative to the generated structure; VB and CB metal d the metal d fraction of the projected weight within 0.25 eV of the band edges; QMOF PBE the mean QMOF gap of the known framework; core-h the core-hours spent on the framework including restarts.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9"/>
        <w:gridCol w:w="418"/>
        <w:gridCol w:w="585"/>
        <w:gridCol w:w="585"/>
        <w:gridCol w:w="752"/>
        <w:gridCol w:w="669"/>
        <w:gridCol w:w="585"/>
        <w:gridCol w:w="585"/>
        <w:gridCol w:w="669"/>
        <w:gridCol w:w="501"/>
        <w:gridCol w:w="501"/>
        <w:gridCol w:w="501"/>
        <w:gridCol w:w="585"/>
        <w:gridCol w:w="585"/>
      </w:tblGrid>
      <w:tr>
        <w:trPr>
          <w:tblHeader/>
        </w:trPr>
        <w:tc>
          <w:tcPr>
            <w:tcW w:type="dxa" w:w="183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41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Iter.</w:t>
            </w:r>
          </w:p>
        </w:tc>
        <w:tc>
          <w:tcPr>
            <w:tcW w:type="dxa" w:w="5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 (eV)</w:t>
            </w:r>
          </w:p>
        </w:tc>
        <w:tc>
          <w:tcPr>
            <w:tcW w:type="dxa" w:w="5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Direct</w:t>
            </w:r>
          </w:p>
        </w:tc>
        <w:tc>
          <w:tcPr>
            <w:tcW w:type="dxa" w:w="75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Start of label run</w:t>
            </w:r>
          </w:p>
        </w:tc>
        <w:tc>
          <w:tcPr>
            <w:tcW w:type="dxa" w:w="66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ΔE vs FM start (eV)</w:t>
            </w:r>
          </w:p>
        </w:tc>
        <w:tc>
          <w:tcPr>
            <w:tcW w:type="dxa" w:w="5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tot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(μ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B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5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Relax. stopped</w:t>
            </w:r>
          </w:p>
        </w:tc>
        <w:tc>
          <w:tcPr>
            <w:tcW w:type="dxa" w:w="66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max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(eV Å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perscript"/>
              </w:rPr>
              <w:t xml:space="preserve">−1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501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ΔV (%)</w:t>
            </w:r>
          </w:p>
        </w:tc>
        <w:tc>
          <w:tcPr>
            <w:tcW w:type="dxa" w:w="501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metal d</w:t>
            </w:r>
          </w:p>
        </w:tc>
        <w:tc>
          <w:tcPr>
            <w:tcW w:type="dxa" w:w="501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metal d</w:t>
            </w:r>
          </w:p>
        </w:tc>
        <w:tc>
          <w:tcPr>
            <w:tcW w:type="dxa" w:w="5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QMOF PBE (eV)</w:t>
            </w:r>
          </w:p>
        </w:tc>
        <w:tc>
          <w:tcPr>
            <w:tcW w:type="dxa" w:w="5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Core-h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2.514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0.048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2.35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-ring-BPDC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2.750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0.046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-11.3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94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N-ring-BPDC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3.029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0.049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N-ring-BDC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3.114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0.049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3.518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0.027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-5.8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191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0.332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0.050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-7.0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828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N-ring-BDC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0.372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-14.5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634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0.379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0.048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-10.3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556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0.533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0.128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-8.5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1,815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0.014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0.224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0.84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1,849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0.065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0.172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-7.3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1,775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0.339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afmbs-start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0.029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616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0.687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afm2-start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-0.43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0.082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1,774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-BPDC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afmbs-start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-0.45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0.044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5.1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345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0.904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afm2-start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-0.41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0.028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613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0.668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afmbs-start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-0.26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0.105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816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0.035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fm-start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0.046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10.9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0.73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0.87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375</w:t>
            </w:r>
          </w:p>
        </w:tc>
      </w:tr>
      <w:tr>
        <w:tc>
          <w:tcPr>
            <w:tcW w:type="dxa" w:w="183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41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0.046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75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fm-start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16.0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0.049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5.8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01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294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S12. </w:t>
      </w:r>
      <w:r>
        <w:rPr>
          <w:rFonts w:ascii="Calibri" w:cs="Calibri" w:eastAsia="Calibri" w:hAnsi="Calibri"/>
          <w:sz w:val="19"/>
          <w:szCs w:val="19"/>
        </w:rPr>
        <w:t xml:space="preserve">All spin solutions computed for the paddlewheel frameworks (data/dft/spin_solutions.csv). E, total energy; ΔE, energy relative to the ferromagnetic-start solution of the same framework; Σ|m</w:t>
      </w:r>
      <w:r>
        <w:rPr>
          <w:rFonts w:ascii="Calibri" w:cs="Calibri" w:eastAsia="Calibri" w:hAnsi="Calibri"/>
          <w:sz w:val="19"/>
          <w:szCs w:val="19"/>
          <w:vertAlign w:val="subscript"/>
        </w:rPr>
        <w:t xml:space="preserve">M</w:t>
      </w:r>
      <w:r>
        <w:rPr>
          <w:rFonts w:ascii="Calibri" w:cs="Calibri" w:eastAsia="Calibri" w:hAnsi="Calibri"/>
          <w:sz w:val="19"/>
          <w:szCs w:val="19"/>
        </w:rPr>
        <w:t xml:space="preserve">|, sum of the absolute metal moments; M</w:t>
      </w:r>
      <w:r>
        <w:rPr>
          <w:rFonts w:ascii="Calibri" w:cs="Calibri" w:eastAsia="Calibri" w:hAnsi="Calibri"/>
          <w:sz w:val="19"/>
          <w:szCs w:val="19"/>
          <w:vertAlign w:val="subscript"/>
        </w:rPr>
        <w:t xml:space="preserve">tot</w:t>
      </w:r>
      <w:r>
        <w:rPr>
          <w:rFonts w:ascii="Calibri" w:cs="Calibri" w:eastAsia="Calibri" w:hAnsi="Calibri"/>
          <w:sz w:val="19"/>
          <w:szCs w:val="19"/>
        </w:rPr>
        <w:t xml:space="preserve">, total moment; "label" marks the solution used as the training label (lowest energy among the converged solutions). Solutions whose SCF did not converge are listed but not compared.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7"/>
        <w:gridCol w:w="957"/>
        <w:gridCol w:w="957"/>
        <w:gridCol w:w="745"/>
        <w:gridCol w:w="745"/>
        <w:gridCol w:w="851"/>
        <w:gridCol w:w="851"/>
        <w:gridCol w:w="957"/>
        <w:gridCol w:w="638"/>
        <w:gridCol w:w="532"/>
      </w:tblGrid>
      <w:tr>
        <w:trPr>
          <w:tblHeader/>
        </w:trPr>
        <w:tc>
          <w:tcPr>
            <w:tcW w:type="dxa" w:w="2127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957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Initial moments</w:t>
            </w:r>
          </w:p>
        </w:tc>
        <w:tc>
          <w:tcPr>
            <w:tcW w:type="dxa" w:w="957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 (eV)</w:t>
            </w:r>
          </w:p>
        </w:tc>
        <w:tc>
          <w:tcPr>
            <w:tcW w:type="dxa" w:w="74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ΔE (eV)</w:t>
            </w:r>
          </w:p>
        </w:tc>
        <w:tc>
          <w:tcPr>
            <w:tcW w:type="dxa" w:w="74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 (eV)</w:t>
            </w:r>
          </w:p>
        </w:tc>
        <w:tc>
          <w:tcPr>
            <w:tcW w:type="dxa" w:w="851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Σ|m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M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| (μ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B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851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tot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(μ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B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957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State</w:t>
            </w:r>
          </w:p>
        </w:tc>
        <w:tc>
          <w:tcPr>
            <w:tcW w:type="dxa" w:w="63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SCF conv.</w:t>
            </w:r>
          </w:p>
        </w:tc>
        <w:tc>
          <w:tcPr>
            <w:tcW w:type="dxa" w:w="53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-522.641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0.226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NM (low spin)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-522.641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0.226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NM (low spin)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afm2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-523.072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-0.432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0.687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2.12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-453.482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0.257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NM (low spin)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-453.798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-0.316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0.527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2.21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afm2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-453.897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-0.415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0.904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2.12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-488.426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0.142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3.94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-488.687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-0.261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0.668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NM (low spin)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-473.409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0.272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1.07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-473.425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-0.015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0.339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1.08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-493.639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0.046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14.24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-492.800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+0.840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0.078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14.01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-BPDC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-751.346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0.249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NM (low spin)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-BPDC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-751.800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-0.454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0.890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2.15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N-ring-BPDC (no label)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-745.664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0.022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1.60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1.68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N-ring-BPDC (no label)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-731.769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+13.896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0.623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2.22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-2.00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-474.073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+0.000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0.035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14.15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label</w:t>
            </w:r>
          </w:p>
        </w:tc>
      </w:tr>
      <w:tr>
        <w:tc>
          <w:tcPr>
            <w:tcW w:type="dxa" w:w="2127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afmbs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-472.759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+1.314</w:t>
            </w:r>
          </w:p>
        </w:tc>
        <w:tc>
          <w:tcPr>
            <w:tcW w:type="dxa" w:w="74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0.058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13.31</w:t>
            </w:r>
          </w:p>
        </w:tc>
        <w:tc>
          <w:tcPr>
            <w:tcW w:type="dxa" w:w="851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-0.00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AFM</w:t>
            </w:r>
          </w:p>
        </w:tc>
        <w:tc>
          <w:tcPr>
            <w:tcW w:type="dxa" w:w="63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53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S13. </w:t>
      </w:r>
      <w:r>
        <w:rPr>
          <w:rFonts w:ascii="Calibri" w:cs="Calibri" w:eastAsia="Calibri" w:hAnsi="Calibri"/>
          <w:sz w:val="19"/>
          <w:szCs w:val="19"/>
        </w:rPr>
        <w:t xml:space="preserve">Frameworks computed without obtaining a label (results/final/table_excluded.csv). μ ± σ is the prediction of the surrogate that selected the framework; ΔV and Δangle are measured on the last available geometry; the core-hours include every attempt.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520"/>
        <w:gridCol w:w="624"/>
        <w:gridCol w:w="1144"/>
        <w:gridCol w:w="1976"/>
        <w:gridCol w:w="624"/>
        <w:gridCol w:w="728"/>
        <w:gridCol w:w="728"/>
        <w:gridCol w:w="728"/>
      </w:tblGrid>
      <w:tr>
        <w:trPr>
          <w:tblHeader/>
        </w:trPr>
        <w:tc>
          <w:tcPr>
            <w:tcW w:type="dxa" w:w="228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5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Iter.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Atoms</w:t>
            </w:r>
          </w:p>
        </w:tc>
        <w:tc>
          <w:tcPr>
            <w:tcW w:type="dxa" w:w="114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μ ± σ (eV)</w:t>
            </w:r>
          </w:p>
        </w:tc>
        <w:tc>
          <w:tcPr>
            <w:tcW w:type="dxa" w:w="197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Outcome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ΔV (%)</w:t>
            </w:r>
          </w:p>
        </w:tc>
        <w:tc>
          <w:tcPr>
            <w:tcW w:type="dxa" w:w="72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Δangle (°)</w:t>
            </w:r>
          </w:p>
        </w:tc>
        <w:tc>
          <w:tcPr>
            <w:tcW w:type="dxa" w:w="72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Ionic steps</w:t>
            </w:r>
          </w:p>
        </w:tc>
        <w:tc>
          <w:tcPr>
            <w:tcW w:type="dxa" w:w="72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Core-h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BDC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2.22 ± 0.37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collapse/shear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-15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1,152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dia,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304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 ± 0.70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SCF not converged (relaxation)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2,304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nbo,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0.71 ± 0.66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unstable relaxation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2,304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pcu, BDC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0.75 ± 0.40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collapse/shear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-51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1,152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pcu, N-ring-BDC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0.64 ± 0.34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collapse/shear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-49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1,152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BDC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136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0.37 ± 0.30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collapse/shear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-25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1,536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 ± 0.51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collapse/shear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-21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126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768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N-ring-BPDC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104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 ± 0.69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SCF not converged (static)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758</w:t>
            </w:r>
          </w:p>
        </w:tc>
      </w:tr>
      <w:tr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114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0.42 ± 0.27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relaxation unfinished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235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768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S14. </w:t>
      </w:r>
      <w:r>
        <w:rPr>
          <w:rFonts w:ascii="Calibri" w:cs="Calibri" w:eastAsia="Calibri" w:hAnsi="Calibri"/>
          <w:sz w:val="19"/>
          <w:szCs w:val="19"/>
        </w:rPr>
        <w:t xml:space="preserve">Band-edge character of the 18 labels: fraction of the site- and orbital-projected weight within 0.25 eV of the VBM and CBM (both spins, k-weighted) on the metal (all orbitals and d only), the μ</w:t>
      </w:r>
      <w:r>
        <w:rPr>
          <w:rFonts w:ascii="Calibri" w:cs="Calibri" w:eastAsia="Calibri" w:hAnsi="Calibri"/>
          <w:sz w:val="19"/>
          <w:szCs w:val="19"/>
          <w:vertAlign w:val="subscript"/>
        </w:rPr>
        <w:t xml:space="preserve">4</w:t>
      </w:r>
      <w:r>
        <w:rPr>
          <w:rFonts w:ascii="Calibri" w:cs="Calibri" w:eastAsia="Calibri" w:hAnsi="Calibri"/>
          <w:sz w:val="19"/>
          <w:szCs w:val="19"/>
        </w:rPr>
        <w:t xml:space="preserve">-oxide, the carboxylate O and the linker backbone (scripts/17_band_edge_character.py).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blHeader/>
        </w:trPr>
        <w:tc>
          <w:tcPr>
            <w:tcW w:type="dxa" w:w="249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 (eV)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metal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metal d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μ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-O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O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carb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linker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metal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metal d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μ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-O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O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carb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linker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long-N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long-N-ring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H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H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long-F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</w:tr>
      <w:tr>
        <w:tc>
          <w:tcPr>
            <w:tcW w:type="dxa" w:w="249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S15. </w:t>
      </w:r>
      <w:r>
        <w:rPr>
          <w:rFonts w:ascii="Calibri" w:cs="Calibri" w:eastAsia="Calibri" w:hAnsi="Calibri"/>
          <w:sz w:val="19"/>
          <w:szCs w:val="19"/>
        </w:rPr>
        <w:t xml:space="preserve">Computational cost per iteration from the SLURM logs (data/dft/compute_log.csv): number of jobs, wall-clock hours and core-hours (wall-clock × cores per node). Jobs that reached the walltime are counted at their limit.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995"/>
        <w:gridCol w:w="1123"/>
        <w:gridCol w:w="1872"/>
        <w:gridCol w:w="1872"/>
      </w:tblGrid>
      <w:tr>
        <w:trPr>
          <w:tblHeader/>
        </w:trPr>
        <w:tc>
          <w:tcPr>
            <w:tcW w:type="dxa" w:w="149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Iteration</w:t>
            </w:r>
          </w:p>
        </w:tc>
        <w:tc>
          <w:tcPr>
            <w:tcW w:type="dxa" w:w="299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Cluster (cores per node)</w:t>
            </w:r>
          </w:p>
        </w:tc>
        <w:tc>
          <w:tcPr>
            <w:tcW w:type="dxa" w:w="112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Jobs</w:t>
            </w:r>
          </w:p>
        </w:tc>
        <w:tc>
          <w:tcPr>
            <w:tcW w:type="dxa" w:w="187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Wall-clock hours</w:t>
            </w:r>
          </w:p>
        </w:tc>
        <w:tc>
          <w:tcPr>
            <w:tcW w:type="dxa" w:w="187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Core-hours</w:t>
            </w:r>
          </w:p>
        </w:tc>
      </w:tr>
      <w:tr>
        <w:tc>
          <w:tcPr>
            <w:tcW w:type="dxa" w:w="1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FASTER (64)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268</w:t>
            </w:r>
          </w:p>
        </w:tc>
      </w:tr>
      <w:tr>
        <w:tc>
          <w:tcPr>
            <w:tcW w:type="dxa" w:w="1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Grace (48)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329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15,813</w:t>
            </w:r>
          </w:p>
        </w:tc>
      </w:tr>
      <w:tr>
        <w:tc>
          <w:tcPr>
            <w:tcW w:type="dxa" w:w="1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FASTER (64)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4,782</w:t>
            </w:r>
          </w:p>
        </w:tc>
      </w:tr>
      <w:tr>
        <w:tc>
          <w:tcPr>
            <w:tcW w:type="dxa" w:w="1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FASTER (64)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3,741</w:t>
            </w:r>
          </w:p>
        </w:tc>
      </w:tr>
      <w:tr>
        <w:tc>
          <w:tcPr>
            <w:tcW w:type="dxa" w:w="149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299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466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24,604</w:t>
            </w:r>
          </w:p>
        </w:tc>
      </w:tr>
    </w:tbl>
    <w:p>
      <w:pPr>
        <w:spacing w:after="160"/>
      </w:pPr>
    </w:p>
    <w:p>
      <w:pPr>
        <w:keepNext/>
        <w:spacing w:after="60" w:before="200"/>
        <w:jc w:val="center"/>
      </w:pPr>
      <w:r>
        <w:drawing>
          <wp:inline distT="0" distB="0" distL="0" distR="0">
            <wp:extent cx="5943600" cy="715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S5. </w:t>
      </w:r>
      <w:r>
        <w:rPr>
          <w:rFonts w:ascii="Calibri" w:cs="Calibri" w:eastAsia="Calibri" w:hAnsi="Calibri"/>
          <w:sz w:val="19"/>
          <w:szCs w:val="19"/>
        </w:rPr>
        <w:t xml:space="preserve">Spin-resolved density of states (spin up positive, spin down negative; Gaussian broadening 0.05 eV) of the 18 labelled frameworks relative to the VBM, with projections on the four site groups (scripts/19_dos_figures.py). Grey, total DOS; dotted lines, VBM and CBM.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S5. Periodic GFN1-xTB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Table S16 summarises GFN1-xTB against the PBE and HSE06 gaps of a random subset of 2,000 QMOF structures, computed as periodic crystals and as finite clusters (Fig. S6; scripts/13_xtb_validation.py and 14_xtb_analysis.py). Table S17 lists the xTB gaps of the 18 labelled frameworks at three geometries (scripts/16_xtb_candidates.py) and Table S18 compares the character of the xTB frontier orbitals with the DFT band edges of the Zn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O frameworks (scripts/17_band_edge_character.py).</w:t>
      </w: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S16. </w:t>
      </w:r>
      <w:r>
        <w:rPr>
          <w:rFonts w:ascii="Calibri" w:cs="Calibri" w:eastAsia="Calibri" w:hAnsi="Calibri"/>
          <w:sz w:val="19"/>
          <w:szCs w:val="19"/>
        </w:rPr>
        <w:t xml:space="preserve">GFN1-xTB band gaps of the QMOF subset against PBE and, where available, HSE06 reference gaps, for periodic and finite-cluster treatments and by electronic group (results/xtb/xtb_summary.csv). The last column is the ROC AUC of the xTB gap as a classifier of reference gaps below 1 eV.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720"/>
        <w:gridCol w:w="840"/>
        <w:gridCol w:w="840"/>
        <w:gridCol w:w="960"/>
        <w:gridCol w:w="1200"/>
        <w:gridCol w:w="1200"/>
      </w:tblGrid>
      <w:tr>
        <w:trPr>
          <w:tblHeader/>
        </w:trPr>
        <w:tc>
          <w:tcPr>
            <w:tcW w:type="dxa" w:w="144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108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Treatment</w:t>
            </w:r>
          </w:p>
        </w:tc>
        <w:tc>
          <w:tcPr>
            <w:tcW w:type="dxa" w:w="108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Reference</w:t>
            </w:r>
          </w:p>
        </w:tc>
        <w:tc>
          <w:tcPr>
            <w:tcW w:type="dxa" w:w="72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84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MAE (eV)</w:t>
            </w:r>
          </w:p>
        </w:tc>
        <w:tc>
          <w:tcPr>
            <w:tcW w:type="dxa" w:w="84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Bias (eV)</w:t>
            </w:r>
          </w:p>
        </w:tc>
        <w:tc>
          <w:tcPr>
            <w:tcW w:type="dxa" w:w="96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Spearman ρ</w:t>
            </w:r>
          </w:p>
        </w:tc>
        <w:tc>
          <w:tcPr>
            <w:tcW w:type="dxa" w:w="120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xTB gap &lt; 0.1 eV (%)</w:t>
            </w:r>
          </w:p>
        </w:tc>
        <w:tc>
          <w:tcPr>
            <w:tcW w:type="dxa" w:w="1200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ROC AUC (ref. &lt; 1 eV)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1828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-1.22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97.6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HSE06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-3.42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97.1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0.52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periodic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1998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+0.37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0.83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periodic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HSE06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854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-1.44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closed-shell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-2.15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97.5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closed-shell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HSE06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4.49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-4.49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96.2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closed-shell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periodic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+0.10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closed-shell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periodic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HSE06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-1.34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open-shell 3d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1072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-0.57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97.7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0.51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open-shell 3d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cluster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HSE06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-2.81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97.6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0.47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open-shell 3d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periodic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PBE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1205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+0.54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open-shell 3d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periodic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HSE06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-1.50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-0.01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S17. </w:t>
      </w:r>
      <w:r>
        <w:rPr>
          <w:rFonts w:ascii="Calibri" w:cs="Calibri" w:eastAsia="Calibri" w:hAnsi="Calibri"/>
          <w:sz w:val="19"/>
          <w:szCs w:val="19"/>
        </w:rPr>
        <w:t xml:space="preserve">Periodic GFN1-xTB gaps (eV) of the 18 labelled frameworks at the DFT-relaxed geometry (Γ point and, where the supercell has at most 700 atoms, the supercell equivalent to the static k-mesh), at the CHGNet geometry and at the as-assembled PORMAKE geometry, with the PBE-D3(BJ) label and the surrogate prediction (results/xtb_candidates/xtb_vs_dft_vs_surrogate.csv).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1094"/>
        <w:gridCol w:w="1094"/>
        <w:gridCol w:w="1094"/>
        <w:gridCol w:w="1216"/>
        <w:gridCol w:w="1094"/>
        <w:gridCol w:w="1094"/>
      </w:tblGrid>
      <w:tr>
        <w:trPr>
          <w:tblHeader/>
        </w:trPr>
        <w:tc>
          <w:tcPr>
            <w:tcW w:type="dxa" w:w="267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109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PBE-D3 label (eV)</w:t>
            </w:r>
          </w:p>
        </w:tc>
        <w:tc>
          <w:tcPr>
            <w:tcW w:type="dxa" w:w="109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Surrogate μ (eV)</w:t>
            </w:r>
          </w:p>
        </w:tc>
        <w:tc>
          <w:tcPr>
            <w:tcW w:type="dxa" w:w="109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xTB, DFT geom. (Γ)</w:t>
            </w:r>
          </w:p>
        </w:tc>
        <w:tc>
          <w:tcPr>
            <w:tcW w:type="dxa" w:w="121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xTB, DFT geom., k-mesh</w:t>
            </w:r>
          </w:p>
        </w:tc>
        <w:tc>
          <w:tcPr>
            <w:tcW w:type="dxa" w:w="109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xTB, CHGNet geom.</w:t>
            </w:r>
          </w:p>
        </w:tc>
        <w:tc>
          <w:tcPr>
            <w:tcW w:type="dxa" w:w="109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xTB, as assembled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0.47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0.31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1.10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0.21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0.56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0.14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0.15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0.13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0.18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3.52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3.36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2.87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N-ring-BDC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0.37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0.28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0.17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1.02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1.74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1.73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1.33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1.17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0.19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0.15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0.24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1.22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1.22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1.07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-ring-BPDC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2.75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1.60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2.70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2.52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2.04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2.51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1.92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2.68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2.66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2.52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2.82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1.11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bcu, 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0.35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0.33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F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-BPDC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0.15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0.16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0.16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0.19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cds, N-ring-BDC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0.51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0.98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0.97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1.14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N-ring-BPDC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3.03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1.90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2.81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2.71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2.76</w:t>
            </w:r>
          </w:p>
        </w:tc>
      </w:tr>
      <w:tr>
        <w:tc>
          <w:tcPr>
            <w:tcW w:type="dxa" w:w="267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 pcu, N-ring-BDC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3.11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2.34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2.89</w:t>
            </w:r>
          </w:p>
        </w:tc>
        <w:tc>
          <w:tcPr>
            <w:tcW w:type="dxa" w:w="121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2.88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2.69</w:t>
            </w:r>
          </w:p>
        </w:tc>
        <w:tc>
          <w:tcPr>
            <w:tcW w:type="dxa" w:w="109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2.91</w:t>
            </w:r>
          </w:p>
        </w:tc>
      </w:tr>
    </w:tbl>
    <w:p>
      <w:pPr>
        <w:spacing w:after="160"/>
      </w:pP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S18. </w:t>
      </w:r>
      <w:r>
        <w:rPr>
          <w:rFonts w:ascii="Calibri" w:cs="Calibri" w:eastAsia="Calibri" w:hAnsi="Calibri"/>
          <w:sz w:val="19"/>
          <w:szCs w:val="19"/>
        </w:rPr>
        <w:t xml:space="preserve">Character of the frontier orbitals of the Zn</w:t>
      </w:r>
      <w:r>
        <w:rPr>
          <w:rFonts w:ascii="Calibri" w:cs="Calibri" w:eastAsia="Calibri" w:hAnsi="Calibri"/>
          <w:sz w:val="19"/>
          <w:szCs w:val="19"/>
          <w:vertAlign w:val="subscript"/>
        </w:rPr>
        <w:t xml:space="preserve">4</w:t>
      </w:r>
      <w:r>
        <w:rPr>
          <w:rFonts w:ascii="Calibri" w:cs="Calibri" w:eastAsia="Calibri" w:hAnsi="Calibri"/>
          <w:sz w:val="19"/>
          <w:szCs w:val="19"/>
        </w:rPr>
        <w:t xml:space="preserve">O frameworks: fraction of the DFT projected weight within 0.25 eV of the band edges (DFT) and of the GFN1-xTB Mulliken population of the orbitals within 0.25 eV of the HOMO and LUMO (xTB) on the linker backbone, the carboxylate O and the μ</w:t>
      </w:r>
      <w:r>
        <w:rPr>
          <w:rFonts w:ascii="Calibri" w:cs="Calibri" w:eastAsia="Calibri" w:hAnsi="Calibri"/>
          <w:sz w:val="19"/>
          <w:szCs w:val="19"/>
          <w:vertAlign w:val="subscript"/>
        </w:rPr>
        <w:t xml:space="preserve">4</w:t>
      </w:r>
      <w:r>
        <w:rPr>
          <w:rFonts w:ascii="Calibri" w:cs="Calibri" w:eastAsia="Calibri" w:hAnsi="Calibri"/>
          <w:sz w:val="19"/>
          <w:szCs w:val="19"/>
        </w:rPr>
        <w:t xml:space="preserve">-oxide; the metal fraction is below 0.03 in all cases (results/band_edges/xtb_vs_dft_band_edges.csv).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blHeader/>
        </w:trPr>
        <w:tc>
          <w:tcPr>
            <w:tcW w:type="dxa" w:w="1872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Zn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 framework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 DFT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Gap xTB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linker DFT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linker xTB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O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carb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DFT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O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carb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xTB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μ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-O DFT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VB μ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-O xTB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linker DFT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linker xTB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O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carb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DFT</w:t>
            </w:r>
          </w:p>
        </w:tc>
        <w:tc>
          <w:tcPr>
            <w:tcW w:type="dxa" w:w="624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CB O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  <w:vertAlign w:val="subscript"/>
              </w:rPr>
              <w:t xml:space="preserve">carb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 xTB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0.17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long-N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long-N-ring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N-ring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0.27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0.15</w:t>
            </w:r>
          </w:p>
        </w:tc>
      </w:tr>
      <w:tr>
        <w:tc>
          <w:tcPr>
            <w:tcW w:type="dxa" w:w="1872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0.20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0.82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624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0.17</w:t>
            </w:r>
          </w:p>
        </w:tc>
      </w:tr>
    </w:tbl>
    <w:p>
      <w:pPr>
        <w:spacing w:after="160"/>
      </w:pPr>
    </w:p>
    <w:p>
      <w:pPr>
        <w:keepNext/>
        <w:spacing w:after="60" w:before="200"/>
        <w:jc w:val="center"/>
      </w:pPr>
      <w:r>
        <w:drawing>
          <wp:inline distT="0" distB="0" distL="0" distR="0">
            <wp:extent cx="5400675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S6. </w:t>
      </w:r>
      <w:r>
        <w:rPr>
          <w:rFonts w:ascii="Calibri" w:cs="Calibri" w:eastAsia="Calibri" w:hAnsi="Calibri"/>
          <w:sz w:val="19"/>
          <w:szCs w:val="19"/>
        </w:rPr>
        <w:t xml:space="preserve">GFN1-xTB gaps of the QMOF subset against the PBE reference for the periodic and the finite-cluster treatment, by electronic group (scripts/14_xtb_analysis.py). The cluster treatment collapses the gaps regardless of chemistry.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S6. Retrospective active-learning benchmark</w:t>
      </w: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S19. </w:t>
      </w:r>
      <w:r>
        <w:rPr>
          <w:rFonts w:ascii="Calibri" w:cs="Calibri" w:eastAsia="Calibri" w:hAnsi="Calibri"/>
          <w:sz w:val="19"/>
          <w:szCs w:val="19"/>
        </w:rPr>
        <w:t xml:space="preserve">Retrospective benchmark on QMOF after 23 labels (the budget of this work) and after 53 labels: mean ± standard deviation over 20 repeats of the number of labelled structures with PBE gap below 0.5 eV, the number below 1 eV, the recall of the ten lowest gaps in the pool of 150, and the MAE on a fixed external out-of-distribution test set, overall and for gaps below 1 eV (scripts/15_retrospective_al.py; results/retro_al/retro_al_headline.csv). The expected number of hits below 0.5 eV for random selection is 4.0 at 23 labels and 9.1 at 53.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1"/>
        <w:gridCol w:w="2607"/>
        <w:gridCol w:w="1303"/>
        <w:gridCol w:w="1066"/>
        <w:gridCol w:w="1185"/>
        <w:gridCol w:w="1185"/>
        <w:gridCol w:w="1303"/>
      </w:tblGrid>
      <w:tr>
        <w:trPr>
          <w:tblHeader/>
        </w:trPr>
        <w:tc>
          <w:tcPr>
            <w:tcW w:type="dxa" w:w="711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Labels</w:t>
            </w:r>
          </w:p>
        </w:tc>
        <w:tc>
          <w:tcPr>
            <w:tcW w:type="dxa" w:w="2607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Strategy</w:t>
            </w:r>
          </w:p>
        </w:tc>
        <w:tc>
          <w:tcPr>
            <w:tcW w:type="dxa" w:w="130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Hits &lt; 0.5 eV</w:t>
            </w:r>
          </w:p>
        </w:tc>
        <w:tc>
          <w:tcPr>
            <w:tcW w:type="dxa" w:w="106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Hits &lt; 1 eV</w:t>
            </w:r>
          </w:p>
        </w:tc>
        <w:tc>
          <w:tcPr>
            <w:tcW w:type="dxa" w:w="11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Recall of 10 lowest</w:t>
            </w:r>
          </w:p>
        </w:tc>
        <w:tc>
          <w:tcPr>
            <w:tcW w:type="dxa" w:w="1185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OOD test MAE (eV)</w:t>
            </w:r>
          </w:p>
        </w:tc>
        <w:tc>
          <w:tcPr>
            <w:tcW w:type="dxa" w:w="130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OOD test MAE, gap &lt; 1 eV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random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 ± 1.8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7.9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0.15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0.455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0.399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greedy (lowest μ)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14.1 ± 2.7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22.2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0.54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0.462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0.393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LCB (μ − σ)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13.8 ± 2.5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20.6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0.56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0.454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0.394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this work (LCB + novelty + caps)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12.5 ± 2.9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19.9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0.456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0.392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this work, no retraining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12.6 ± 2.9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19.4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0.462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0.396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uncertainty (highest σ)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 ± 0.9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0.02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0.445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0.403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random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8.2 ± 3.0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17.9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0.31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0.448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0.401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greedy (lowest μ)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21.5 ± 3.4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42.7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0.449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0.390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LCB (μ − σ)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21.6 ± 3.5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41.6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0.443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0.391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this work (LCB + novelty + caps)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20.9 ± 3.5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38.7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0.446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0.391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this work, no retraining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20.4 ± 3.8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37.5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0.462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0.396</w:t>
            </w:r>
          </w:p>
        </w:tc>
      </w:tr>
      <w:tr>
        <w:tc>
          <w:tcPr>
            <w:tcW w:type="dxa" w:w="711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2607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uncertainty (highest σ)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3.8 ± 1.6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7.8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0.17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0.437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0.409</w:t>
            </w:r>
          </w:p>
        </w:tc>
      </w:tr>
    </w:tbl>
    <w:p>
      <w:pPr>
        <w:spacing w:after="16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S7. PBE and HSE06 band gaps in QMOF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the 10,810 QMOF structures that have both a PBE and an HSE06 gap, Table S20 and Fig. S7 compare the two by electronic group and by primary metal (scripts/12_qmof_pbe_vs_hse06.py). The relevant quantity for this work is the fraction of structures with a PBE gap below 1 eV that keep a small HSE06 gap.</w:t>
      </w:r>
    </w:p>
    <w:p>
      <w:pPr>
        <w:keepNext/>
        <w:spacing w:after="80" w:before="20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S20. </w:t>
      </w:r>
      <w:r>
        <w:rPr>
          <w:rFonts w:ascii="Calibri" w:cs="Calibri" w:eastAsia="Calibri" w:hAnsi="Calibri"/>
          <w:sz w:val="19"/>
          <w:szCs w:val="19"/>
        </w:rPr>
        <w:t xml:space="preserve">PBE and HSE06 band gaps in QMOF by electronic group and primary metal (results/qmof_pbe_vs_hse06/). "Open-shell 3d" means a primary metal from Ti to Cu. The last two columns give the percentage of structures with PBE gap below 1 eV whose HSE06 gap is below 1 and 2 eV.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749"/>
        <w:gridCol w:w="998"/>
        <w:gridCol w:w="998"/>
        <w:gridCol w:w="1123"/>
        <w:gridCol w:w="998"/>
        <w:gridCol w:w="1123"/>
        <w:gridCol w:w="1123"/>
      </w:tblGrid>
      <w:tr>
        <w:trPr>
          <w:tblHeader/>
        </w:trPr>
        <w:tc>
          <w:tcPr>
            <w:tcW w:type="dxa" w:w="2246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QMOF subset (primary metal)</w:t>
            </w:r>
          </w:p>
        </w:tc>
        <w:tc>
          <w:tcPr>
            <w:tcW w:type="dxa" w:w="749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99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Median PBE (eV)</w:t>
            </w:r>
          </w:p>
        </w:tc>
        <w:tc>
          <w:tcPr>
            <w:tcW w:type="dxa" w:w="99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Median HSE06 (eV)</w:t>
            </w:r>
          </w:p>
        </w:tc>
        <w:tc>
          <w:tcPr>
            <w:tcW w:type="dxa" w:w="112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Median HSE06 − PBE (eV)</w:t>
            </w:r>
          </w:p>
        </w:tc>
        <w:tc>
          <w:tcPr>
            <w:tcW w:type="dxa" w:w="998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 with PBE &lt; 1 eV</w:t>
            </w:r>
          </w:p>
        </w:tc>
        <w:tc>
          <w:tcPr>
            <w:tcW w:type="dxa" w:w="112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of which HSE06 &lt; 1 eV (%)</w:t>
            </w:r>
          </w:p>
        </w:tc>
        <w:tc>
          <w:tcPr>
            <w:tcW w:type="dxa" w:w="1123"/>
            <w:tcBorders>
              <w:top w:val="single" w:color="52514e" w:sz="4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of which HSE06 &lt; 2 eV (%)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open-shell 3d (Ti-Cu)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2927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0.89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3.24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2.22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1901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14.8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other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7883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2.80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4.04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1.24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189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16.4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41.8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Mn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379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0.92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2.99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2.11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208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1.9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28.9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Fe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112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0.98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3.09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1.81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12.3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Co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406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3.57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2.79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296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1.7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5.1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Ni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243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1.13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3.71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2.54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87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Cu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1713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0.88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3.15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2.15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1215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15.6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Zn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1668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2.81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4.08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1.24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13.3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60.0</w:t>
            </w:r>
          </w:p>
        </w:tc>
      </w:tr>
      <w:tr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 Mg</w:t>
            </w:r>
          </w:p>
        </w:tc>
        <w:tc>
          <w:tcPr>
            <w:tcW w:type="dxa" w:w="749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3.28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4.58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1.33</w:t>
            </w:r>
          </w:p>
        </w:tc>
        <w:tc>
          <w:tcPr>
            <w:tcW w:type="dxa" w:w="998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123"/>
            <w:tcBorders>
              <w:top w:val="none" w:color="FFFFFF" w:sz="0"/>
              <w:left w:val="none" w:color="FFFFFF" w:sz="0"/>
              <w:bottom w:val="single" w:color="52514e" w:sz="4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spacing w:after="160"/>
      </w:pPr>
    </w:p>
    <w:p>
      <w:pPr>
        <w:keepNext/>
        <w:spacing w:after="60" w:before="200"/>
        <w:jc w:val="center"/>
      </w:pPr>
      <w:r>
        <w:drawing>
          <wp:inline distT="0" distB="0" distL="0" distR="0">
            <wp:extent cx="5038725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Figure S7. </w:t>
      </w:r>
      <w:r>
        <w:rPr>
          <w:rFonts w:ascii="Calibri" w:cs="Calibri" w:eastAsia="Calibri" w:hAnsi="Calibri"/>
          <w:sz w:val="19"/>
          <w:szCs w:val="19"/>
        </w:rPr>
        <w:t xml:space="preserve">HSE06 against PBE band gaps for the QMOF structures that have both, by electronic group (scripts/12_qmof_pbe_vs_hse06.py).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bae796013e18e027d764cffdf66d8d2f3f8aca.png"/><Relationship Id="rId8" Type="http://schemas.openxmlformats.org/officeDocument/2006/relationships/image" Target="media/aa7a1b96c08a24df3854770b0329cabc1b791fdd.png"/><Relationship Id="rId9" Type="http://schemas.openxmlformats.org/officeDocument/2006/relationships/image" Target="media/32965ebeec9be8ddb889cb1912e246ee73631119.png"/><Relationship Id="rId10" Type="http://schemas.openxmlformats.org/officeDocument/2006/relationships/image" Target="media/57c2dafbd3cdd9434fb747c9a7002fb700073e72.png"/><Relationship Id="rId11" Type="http://schemas.openxmlformats.org/officeDocument/2006/relationships/image" Target="media/deb1bf4099d9ac938cf3d5a986004f84aab57cdf.png"/><Relationship Id="rId12" Type="http://schemas.openxmlformats.org/officeDocument/2006/relationships/image" Target="media/b4ca06a93e3139ac91e1487febbd0fb49c717237.png"/><Relationship Id="rId13" Type="http://schemas.openxmlformats.org/officeDocument/2006/relationships/image" Target="media/26d68eb87074498e6b1c62427f2de1b930922a2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Information</dc:title>
  <dc:creator>C. H. Guerrero Navarro</dc:creator>
  <cp:lastModifiedBy>Un-named</cp:lastModifiedBy>
  <cp:revision>1</cp:revision>
  <dcterms:created xsi:type="dcterms:W3CDTF">2026-10-17T00:18:54.350Z</dcterms:created>
  <dcterms:modified xsi:type="dcterms:W3CDTF">2026-10-17T00:18:54.351Z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