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FC12" w14:textId="77777777" w:rsidR="00642AB4" w:rsidRPr="00642AB4" w:rsidRDefault="00642AB4" w:rsidP="00642AB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642AB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Reseña Profesional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Oswaldo Lorenzana Núñez</w:t>
      </w:r>
    </w:p>
    <w:p w14:paraId="3732130F" w14:textId="023CF630" w:rsidR="00642AB4" w:rsidRPr="00642AB4" w:rsidRDefault="00642AB4" w:rsidP="00642AB4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Doctor en Ciencias de la Educación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>, egresado de</w:t>
      </w:r>
      <w:r w:rsidR="006752C1">
        <w:rPr>
          <w:rFonts w:ascii="Arial" w:eastAsia="Times New Roman" w:hAnsi="Arial" w:cs="Arial"/>
          <w:sz w:val="24"/>
          <w:szCs w:val="24"/>
          <w:lang w:eastAsia="es-ES"/>
        </w:rPr>
        <w:t xml:space="preserve"> la Escuela Normal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Justo Sierra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, con una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Maestría en Administración e Innovación del Turismo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 por el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Instituto Politécnico Nacional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 y una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Licenciatura en Administración en Servicios Turísticos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 por la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Universidad Autónoma de Guerrero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. Su formación académica se complementa con certificaciones internacionales en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Comercio Electrónico, Marketing Digital y Gestión de Proyectos de Conservación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>, obtenidas en universidades de España.</w:t>
      </w:r>
    </w:p>
    <w:p w14:paraId="1711FC18" w14:textId="77777777" w:rsidR="00642AB4" w:rsidRPr="00642AB4" w:rsidRDefault="00642AB4" w:rsidP="00642AB4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Cuenta con una destacada trayectoria en el ámbito académico y de investigación. Se ha desempeñado como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docente en la Facultad de Turismo de la Universidad Autónoma de Guerrero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, participando en proyectos de innovación turística, sustentabilidad y educación ambiental. Ha sido ponente en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congresos nacionales e internacionales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, abordando temas como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turismo comunitario, estrategias de marketing digital y conservación del patrimonio turístico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2800EFCC" w14:textId="77777777" w:rsidR="00642AB4" w:rsidRPr="00642AB4" w:rsidRDefault="00642AB4" w:rsidP="00642AB4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Su experiencia profesional incluye la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coordinación de estudios sobre el potencial turístico de la Costa Chica de Guerrero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, el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análisis del perfil del turista en Acapulco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 y el desarrollo de estrategias para la promoción de destinos a través de herramientas digitales. Además, ha trabajado con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análisis estadístico y georreferenciación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 aplicados a la planificación turística, utilizando software como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IBM SPSS y ArcGIS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6FC3F19" w14:textId="77777777" w:rsidR="00642AB4" w:rsidRPr="00642AB4" w:rsidRDefault="00642AB4" w:rsidP="00642AB4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En el ámbito de la gestión sustentable, ha desarrollado investigaciones sobre el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impacto del turismo en comunidades locales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, promoviendo modelos de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turismo sostenible e inclusión social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. Ha colaborado con el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Sistema de Investigación y Estadísticas Turísticas del Estado (SIETE)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 de la Secretaría de Turismo Estatal, contribuyendo al diseño de estrategias basadas en datos para fortalecer la actividad turística con un enfoque sustentable.</w:t>
      </w:r>
    </w:p>
    <w:p w14:paraId="560D81B1" w14:textId="77777777" w:rsidR="00642AB4" w:rsidRPr="00642AB4" w:rsidRDefault="00642AB4" w:rsidP="00642AB4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42AB4">
        <w:rPr>
          <w:rFonts w:ascii="Arial" w:eastAsia="Times New Roman" w:hAnsi="Arial" w:cs="Arial"/>
          <w:sz w:val="24"/>
          <w:szCs w:val="24"/>
          <w:lang w:eastAsia="es-ES"/>
        </w:rPr>
        <w:t xml:space="preserve">Su compromiso con la enseñanza, la investigación y la aplicación de modelos sostenibles en el turismo lo ha llevado a seguir especializándose en la </w:t>
      </w:r>
      <w:r w:rsidRPr="00642AB4">
        <w:rPr>
          <w:rFonts w:ascii="Arial" w:eastAsia="Times New Roman" w:hAnsi="Arial" w:cs="Arial"/>
          <w:bCs/>
          <w:sz w:val="24"/>
          <w:szCs w:val="24"/>
          <w:lang w:eastAsia="es-ES"/>
        </w:rPr>
        <w:t>gestión sustentable del turismo</w:t>
      </w:r>
      <w:r w:rsidRPr="00642AB4">
        <w:rPr>
          <w:rFonts w:ascii="Arial" w:eastAsia="Times New Roman" w:hAnsi="Arial" w:cs="Arial"/>
          <w:sz w:val="24"/>
          <w:szCs w:val="24"/>
          <w:lang w:eastAsia="es-ES"/>
        </w:rPr>
        <w:t>, con el objetivo de generar soluciones innovadoras para el desarrollo equilibrado de los destinos turísticos.</w:t>
      </w:r>
    </w:p>
    <w:p w14:paraId="5F353472" w14:textId="77777777" w:rsidR="00BF1204" w:rsidRPr="00642AB4" w:rsidRDefault="00BF1204" w:rsidP="00642AB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BF1204" w:rsidRPr="00642AB4" w:rsidSect="00BF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B4"/>
    <w:rsid w:val="00396C51"/>
    <w:rsid w:val="005E44A3"/>
    <w:rsid w:val="00642AB4"/>
    <w:rsid w:val="006752C1"/>
    <w:rsid w:val="00B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35C8"/>
  <w15:docId w15:val="{C0FA053A-D751-4C12-B2D5-F3BA8C63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204"/>
  </w:style>
  <w:style w:type="paragraph" w:styleId="Ttulo3">
    <w:name w:val="heading 3"/>
    <w:basedOn w:val="Normal"/>
    <w:link w:val="Ttulo3Car"/>
    <w:uiPriority w:val="9"/>
    <w:qFormat/>
    <w:rsid w:val="00642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2AB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4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42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2025-03-21T06:16:00Z</dcterms:created>
  <dcterms:modified xsi:type="dcterms:W3CDTF">2025-03-21T06:16:00Z</dcterms:modified>
</cp:coreProperties>
</file>