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4"/>
        <w:spacing w:before="0" w:after="60" w:line="264" w:lineRule="auto"/>
        <w:jc w:val="center"/>
      </w:pPr>
      <w:r>
        <w:rPr>
          <w:rFonts w:ascii="Times New Roman" w:hAnsi="Times New Roman" w:eastAsia="SimSun"/>
          <w:b/>
          <w:sz w:val="36"/>
        </w:rPr>
        <w:t>图谱增强的扑翼飞行器设计问答方法</w:t>
      </w:r>
    </w:p>
    <w:p>
      <w:pPr>
        <w:pStyle w:val="68"/>
        <w:spacing w:before="0" w:after="120" w:line="264" w:lineRule="auto"/>
        <w:jc w:val="center"/>
      </w:pPr>
      <w:r>
        <w:rPr>
          <w:rFonts w:ascii="Times New Roman" w:hAnsi="Times New Roman" w:eastAsia="SimSun"/>
          <w:b w:val="0"/>
          <w:sz w:val="26"/>
        </w:rPr>
        <w:t>A Graph-Augmented Method for Design Question Answering of Flapping-Wing Aircraft</w:t>
      </w:r>
    </w:p>
    <w:p>
      <w:pPr>
        <w:pStyle w:val="56"/>
        <w:spacing w:after="80" w:line="269" w:lineRule="auto"/>
      </w:pPr>
      <w:r>
        <w:rPr>
          <w:rFonts w:ascii="Times New Roman" w:hAnsi="Times New Roman" w:eastAsia="SimSun"/>
          <w:sz w:val="19"/>
        </w:rPr>
        <w:t>针对仿生扑翼飞行器概念设计阶段知识来源分散、样机经验难以复用、任务约束与参考方案之间缺少可解释映射等问题，提出一种图谱增强的设计问答方法 BioBridge-GraphRAG。该方法以生物原型与工程样机双层知识图谱为结构化记忆，以大语言模型为推理控制器，将图谱路径检索、物理工具调用和候选方案召回统一组织为可追溯推理链。首先，构建包含 Organism、FlappingWingVehicle、Performance、Equipment、Application 等节点类型的领域知识图谱，并以气动、运动学、形态和尺度 4 类 MIMICS 关系刻画生物原型与工程样机之间的跨域仿生映射；其次，将重量估算、尺度律预测、Strouhal 数校验和 Reynolds 数校验封装为可调用工具，使自然语言问答能够受到物理量纲与一阶可行性约束；进一步，构建飞行器—特征—任务三阶张量，通过 CP 分解与混合相似度实现候选样机粗筛，并在候选集合上执行图路径精排。基于自建 FWMAV-QA 数据集设计知识查询、方案推荐、消融实验和案例分析协议。所提方法为仿生扑翼飞行器概念设计中的知识问答、方案检索和可解释推荐提供了一种可复现技术框架。</w:t>
      </w:r>
    </w:p>
    <w:p>
      <w:pPr>
        <w:pStyle w:val="57"/>
        <w:spacing w:after="60" w:line="264" w:lineRule="auto"/>
      </w:pPr>
      <w:r>
        <w:rPr>
          <w:rFonts w:ascii="Times New Roman" w:hAnsi="Times New Roman" w:eastAsia="SimSun"/>
          <w:sz w:val="19"/>
        </w:rPr>
        <w:t>关键词：知识图谱；大语言模型；扑翼飞行器；图检索增强生成；张量分解；概念设计</w:t>
      </w:r>
    </w:p>
    <w:p>
      <w:pPr>
        <w:pStyle w:val="57"/>
        <w:spacing w:after="60" w:line="264" w:lineRule="auto"/>
      </w:pPr>
      <w:r>
        <w:rPr>
          <w:rFonts w:ascii="Times New Roman" w:hAnsi="Times New Roman" w:eastAsia="SimSun"/>
          <w:sz w:val="19"/>
        </w:rPr>
        <w:t>中图分类号：V279；TP391　　文献标识码：A</w:t>
      </w:r>
    </w:p>
    <w:p>
      <w:pPr>
        <w:pStyle w:val="74"/>
        <w:spacing w:after="80" w:line="269" w:lineRule="auto"/>
      </w:pPr>
      <w:r>
        <w:rPr>
          <w:rFonts w:ascii="Times New Roman" w:hAnsi="Times New Roman" w:eastAsia="SimSun"/>
          <w:sz w:val="19"/>
        </w:rPr>
        <w:t>A graph-augmented design question answering method, named BioBridge-GraphRAG, is proposed for the conceptual design of bio-inspired flapping-wing aircraft. The method addresses three common difficulties in early-stage design: scattered domain knowledge, weak reuse of historical prototype experience, and limited explainability between mission constraints and recommended reference vehicles. BioBridge-GraphRAG uses a bilayer knowledge graph of biological prototypes and engineering vehicles as structured memory, and employs a large language model as the reasoning controller. Graph-path retrieval, physics-tool invocation, and candidate recall are integrated into a traceable reasoning chain. A domain knowledge graph is first constructed with node types such as Organism, FlappingWingVehicle, Performance, Equipment, and Application. Four MIMICS relations, namely aerodynamic, kinematic, morphological, and scale similarities, are used to represent cross-domain bio-inspired mappings. Weight estimation, scaling-law prediction, Strouhal-number checking, and Reynolds-number checking are then encapsulated as callable tools, enabling natural-language answers to be constrained by dimensional consistency and first-order physical feasibility. Furthermore, a vehicle-feature-mission tensor is built and decomposed by CP factorization for coarse candidate recall, followed by graph-path reranking on the candidate set. Experiments are designed on the self-built FWMAV-QA benchmark, covering knowledge queries, design recommendation, ablation studies, and case analysis. The proposed method provides a reproducible framework for explainable knowledge question answering and design recommendation in flapping-wing aircraft conceptual design.</w:t>
      </w:r>
    </w:p>
    <w:p>
      <w:pPr>
        <w:pStyle w:val="75"/>
        <w:spacing w:after="100" w:line="264" w:lineRule="auto"/>
      </w:pPr>
      <w:r>
        <w:rPr>
          <w:rFonts w:ascii="Times New Roman" w:hAnsi="Times New Roman" w:eastAsia="SimSun"/>
          <w:sz w:val="19"/>
        </w:rPr>
        <w:t>Key words: knowledge graph; large language model; flapping-wing aircraft; graph retrieval-augmented generation; tensor decomposition; conceptual design</w:t>
      </w:r>
    </w:p>
    <w:p>
      <w:pPr>
        <w:pStyle w:val="60"/>
        <w:spacing w:before="160" w:after="80" w:line="264" w:lineRule="auto"/>
        <w:jc w:val="left"/>
      </w:pPr>
      <w:r>
        <w:rPr>
          <w:rFonts w:ascii="Times New Roman" w:hAnsi="Times New Roman" w:eastAsia="SimSun"/>
          <w:b/>
          <w:sz w:val="26"/>
        </w:rPr>
        <w:t>引言</w:t>
      </w:r>
    </w:p>
    <w:p>
      <w:pPr>
        <w:spacing w:after="60" w:line="276" w:lineRule="auto"/>
        <w:ind w:firstLine="420"/>
      </w:pPr>
      <w:r>
        <w:rPr>
          <w:rFonts w:ascii="Times New Roman" w:hAnsi="Times New Roman" w:eastAsia="SimSun"/>
          <w:sz w:val="21"/>
        </w:rPr>
        <w:t>仿生扑翼飞行器通过模拟鸟类、昆虫和蝙蝠等飞行生物的扑翼运动获取升力与推力，兼具尺度小、低速机动能力强、环境适应性好等特点，在复杂环境侦察、生态监测、狭小空间巡检和人机协同等场景中具有应用潜力[1-4]。与固定翼、旋翼飞行器相比，扑翼飞行器在非定常气动、柔性结构、驱动传动和控制耦合方面更为复杂，其概念设计通常需要综合生物原型、历史样机、任务载荷、续航需求、尺度律和低 Reynolds 数气动特性等多类知识。现有方案构思往往依赖“文献检索—经验比对—参数估算—样机验证”的人工迭代流程，存在知识分散、证据追溯困难、跨样机经验复用不足等问题。</w:t>
      </w:r>
    </w:p>
    <w:p>
      <w:pPr>
        <w:spacing w:after="60" w:line="276" w:lineRule="auto"/>
        <w:ind w:firstLine="420"/>
      </w:pPr>
      <w:r>
        <w:rPr>
          <w:rFonts w:ascii="Times New Roman" w:hAnsi="Times New Roman" w:eastAsia="SimSun"/>
          <w:sz w:val="21"/>
        </w:rPr>
        <w:t>知识图谱能够以实体、关系和属性的形式组织多源异构知识，并为检索、推理和解释提供结构化基础。近年来，知识图谱已被用于飞机电源系统故障诊断、航空电子装备智能诊断以及高速飞行器多学科知识分析等航空航天场景[5-7]，也在工程设计知识复用、生物启发设计和复杂产品决策支持中表现出较强的可解释性[8-11]。然而，仿生扑翼飞行器的知识组织具有明显特殊性：生物层的体重、翼展、扑频、飞行速度和悬停能力等参数通常以区间或经验范围形式出现；工程层的样机、部件、任务场景和实验性能记录具有系统工程属性；二者之间的核心语义不是简单的“包含”或“引用”，而是“某一工程样机在何种维度上借鉴了某一生物原型”。若仅采用单层产品知识库，难以表达和查询这种跨域仿生映射。</w:t>
      </w:r>
    </w:p>
    <w:p>
      <w:pPr>
        <w:spacing w:after="60" w:line="276" w:lineRule="auto"/>
        <w:ind w:firstLine="420"/>
      </w:pPr>
      <w:r>
        <w:rPr>
          <w:rFonts w:ascii="Times New Roman" w:hAnsi="Times New Roman" w:eastAsia="SimSun"/>
          <w:sz w:val="21"/>
        </w:rPr>
        <w:t>大语言模型具备较强的自然语言理解和生成能力，为设计知识问答带来新的交互方式。检索增强生成（Retrieval-Augmented Generation, RAG）通过外部知识检索缓解模型幻觉[12]，图检索增强生成（Graph Retrieval-Augmented Generation, GraphRAG）进一步利用知识图谱或图结构索引提供结构化证据[13-16]。已有研究主要面向开放域问答、长文档摘要或通用知识推理，较少处理工程设计中常见的“语义证据、数值公式、任务约束”混合问题。对于扑翼飞行器设计问答，系统不仅要回答“某样机参数是多少”，还要判断“给定载荷和续航目标是否物理可行”，并说明“为什么推荐某一参考样机”。这要求问答系统同时具备结构化证据检索、物理量计算和方案排序能力。</w:t>
      </w:r>
    </w:p>
    <w:p>
      <w:pPr>
        <w:spacing w:after="60" w:line="276" w:lineRule="auto"/>
        <w:ind w:firstLine="420"/>
      </w:pPr>
      <w:r>
        <w:rPr>
          <w:rFonts w:ascii="Times New Roman" w:hAnsi="Times New Roman" w:eastAsia="SimSun"/>
          <w:sz w:val="21"/>
        </w:rPr>
        <w:t>围绕上述需求，本文提出 BioBridge-GraphRAG。该方法以生物—工程双层知识图谱表达仿生映射，以大语言模型规划图谱检索路径和工具调用顺序，以物理工具约束数值判断，以张量分解完成候选样机快速召回。与单纯依赖大语言模型的问答系统相比，所提方法强调知识来源可追溯；与传统知识图谱问答相比，能够处理自然语言任务约束并调用物理公式；与纯向量 RAG 相比，显式保留实体关系、多跳路径和工程解释。</w:t>
      </w:r>
    </w:p>
    <w:p>
      <w:pPr>
        <w:spacing w:after="60" w:line="276" w:lineRule="auto"/>
        <w:ind w:firstLine="420"/>
      </w:pPr>
      <w:r>
        <w:rPr>
          <w:rFonts w:ascii="Times New Roman" w:hAnsi="Times New Roman" w:eastAsia="SimSun"/>
          <w:sz w:val="21"/>
        </w:rPr>
        <w:t>本文主要贡献如下：</w:t>
      </w:r>
    </w:p>
    <w:p>
      <w:pPr>
        <w:spacing w:after="60" w:line="276" w:lineRule="auto"/>
        <w:ind w:firstLine="420"/>
      </w:pPr>
      <w:r>
        <w:rPr>
          <w:rFonts w:ascii="Times New Roman" w:hAnsi="Times New Roman" w:eastAsia="SimSun"/>
          <w:sz w:val="21"/>
        </w:rPr>
        <w:t>（1）构建仿生扑翼飞行器生物—工程双层知识图谱。图谱包含 612 个节点和 625 条关系，通过 4 类 MIMICS 相似关系刻画生物原型与工程样机之间的气动、运动学、形态和尺度映射。</w:t>
      </w:r>
    </w:p>
    <w:p>
      <w:pPr>
        <w:spacing w:after="60" w:line="276" w:lineRule="auto"/>
        <w:ind w:firstLine="420"/>
      </w:pPr>
      <w:r>
        <w:rPr>
          <w:rFonts w:ascii="Times New Roman" w:hAnsi="Times New Roman" w:eastAsia="SimSun"/>
          <w:sz w:val="21"/>
        </w:rPr>
        <w:t>（2）提出尺度律工具增强的图路径推理方法。将重量估算、尺度律预测、Strouhal 数和 Reynolds 数校验封装为可调用工具，使大语言模型在多跳路径推理中能够进行物理一致性检查。</w:t>
      </w:r>
    </w:p>
    <w:p>
      <w:pPr>
        <w:spacing w:after="60" w:line="276" w:lineRule="auto"/>
        <w:ind w:firstLine="420"/>
      </w:pPr>
      <w:r>
        <w:rPr>
          <w:rFonts w:ascii="Times New Roman" w:hAnsi="Times New Roman" w:eastAsia="SimSun"/>
          <w:sz w:val="21"/>
        </w:rPr>
        <w:t>（3）提出面向方案推荐的张量粗筛—路径精排流程。将样机性能、部件配置和任务场景组织为飞行器—特征—任务张量，通过 CP 分解得到候选嵌入，并在候选集合上执行图路径推理和物理校验。</w:t>
      </w:r>
    </w:p>
    <w:p>
      <w:pPr>
        <w:spacing w:after="60" w:line="276" w:lineRule="auto"/>
        <w:ind w:firstLine="420"/>
      </w:pPr>
      <w:r>
        <w:rPr>
          <w:rFonts w:ascii="Times New Roman" w:hAnsi="Times New Roman" w:eastAsia="SimSun"/>
          <w:sz w:val="21"/>
        </w:rPr>
        <w:t>（4）构建 FWMAV-QA 中文测评数据集。数据集覆盖知识定义、属性查询、多实体对比、多跳推理、简单方案推荐和复杂约束推荐 6 类任务，可用于评估扑翼飞行器领域智能问答系统。</w:t>
      </w:r>
    </w:p>
    <w:p>
      <w:pPr>
        <w:pStyle w:val="60"/>
        <w:spacing w:before="160" w:after="80" w:line="264" w:lineRule="auto"/>
        <w:jc w:val="left"/>
      </w:pPr>
      <w:r>
        <w:rPr>
          <w:rFonts w:ascii="Times New Roman" w:hAnsi="Times New Roman" w:eastAsia="SimSun"/>
          <w:b/>
          <w:sz w:val="26"/>
        </w:rPr>
        <w:t>1 BioBridge-GraphRAG总体框架</w:t>
      </w:r>
    </w:p>
    <w:p>
      <w:pPr>
        <w:spacing w:after="60" w:line="276" w:lineRule="auto"/>
        <w:ind w:firstLine="420"/>
      </w:pPr>
      <w:r>
        <w:rPr>
          <w:rFonts w:ascii="Times New Roman" w:hAnsi="Times New Roman" w:eastAsia="SimSun"/>
          <w:sz w:val="21"/>
        </w:rPr>
        <w:t>BioBridge-GraphRAG 面向两类典型输入：知识查询和方案推荐。知识查询包括概念解释、样机属性查询、跨样机对比和跨域可行性分析；方案推荐则要求系统在给定重量、翼展、续航、载荷、任务类型或生物原型约束时，返回可参考的历史样机及推荐依据。图 1 给出了系统总体框架。</w:t>
      </w:r>
    </w:p>
    <w:p>
      <w:pPr>
        <w:spacing w:before="80" w:after="60"/>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fig1_framework_refined.png"/>
                    <pic:cNvPicPr/>
                  </pic:nvPicPr>
                  <pic:blipFill>
                    <a:blip r:embed="rId20"/>
                    <a:stretch>
                      <a:fillRect/>
                    </a:stretch>
                  </pic:blipFill>
                  <pic:spPr>
                    <a:xfrm>
                      <a:off x="0" y="0"/>
                      <a:ext cx="5580000" cy="3487500"/>
                    </a:xfrm>
                    <a:prstGeom prst="rect"/>
                  </pic:spPr>
                </pic:pic>
              </a:graphicData>
            </a:graphic>
          </wp:inline>
        </w:drawing>
      </w:r>
    </w:p>
    <w:p>
      <w:pPr>
        <w:pStyle w:val="36"/>
        <w:spacing w:before="40" w:after="20" w:line="252" w:lineRule="auto"/>
        <w:jc w:val="center"/>
      </w:pPr>
      <w:r>
        <w:rPr>
          <w:rFonts w:ascii="Times New Roman" w:hAnsi="Times New Roman" w:eastAsia="SimSun"/>
          <w:sz w:val="18"/>
        </w:rPr>
        <w:t>图 1 BioBridge-GraphRAG 总体框架</w:t>
      </w:r>
    </w:p>
    <w:p>
      <w:pPr>
        <w:pStyle w:val="41"/>
        <w:spacing w:before="40" w:after="20" w:line="252" w:lineRule="auto"/>
        <w:jc w:val="center"/>
      </w:pPr>
      <w:r>
        <w:rPr>
          <w:rFonts w:ascii="Times New Roman" w:hAnsi="Times New Roman" w:eastAsia="SimSun"/>
          <w:sz w:val="17"/>
        </w:rPr>
        <w:t>Fig. 1 Overall framework of BioBridge-GraphRAG</w:t>
      </w:r>
    </w:p>
    <w:p>
      <w:pPr>
        <w:spacing w:after="60" w:line="276" w:lineRule="auto"/>
        <w:ind w:firstLine="420"/>
      </w:pPr>
      <w:r>
        <w:rPr>
          <w:rFonts w:ascii="Times New Roman" w:hAnsi="Times New Roman" w:eastAsia="SimSun"/>
          <w:sz w:val="21"/>
        </w:rPr>
        <w:t>系统由 3 个核心层次组成。第一层是生物—工程双层知识图谱，保存样机、部件、性能、任务和生物原型等结构化事实；第二层是物理工具库，处理大语言模型不擅长的数值估算和量纲校验；第三层是张量候选召回模块，在方案推荐任务中快速给出 Top-K 候选样机。大语言模型处于控制层，负责识别用户意图、规划图谱关系路径、选择是否调用物理工具，并将图谱证据与工具结果综合成自然语言答案。</w:t>
      </w:r>
    </w:p>
    <w:p>
      <w:pPr>
        <w:spacing w:after="60" w:line="276" w:lineRule="auto"/>
        <w:ind w:firstLine="420"/>
      </w:pPr>
      <w:r>
        <w:rPr>
          <w:rFonts w:ascii="Times New Roman" w:hAnsi="Times New Roman" w:eastAsia="SimSun"/>
          <w:sz w:val="21"/>
        </w:rPr>
        <w:t>设用户查询为 q，知识图谱为 G=(V,E)，工具集合为 T，张量召回器为 R。对于知识查询任务，系统先从 q 中识别实体、属性或关系意图，然后在 G 中检索相关路径，并在涉及物理量判断时调用 T 完成计算。对于方案推荐任务，系统先调用 R 返回候选集合 C_K，再对候选样机执行图谱证据检索和物理可行性校验，最终输出排序后的推荐集合 C_3。该设计将“找到候选”和“解释理由”分离：前者由张量粗筛保证覆盖，后者由图路径推理和物理工具保证可解释性。</w:t>
      </w:r>
    </w:p>
    <w:p>
      <w:pPr>
        <w:pStyle w:val="60"/>
        <w:spacing w:before="160" w:after="80" w:line="264" w:lineRule="auto"/>
        <w:jc w:val="left"/>
      </w:pPr>
      <w:r>
        <w:rPr>
          <w:rFonts w:ascii="Times New Roman" w:hAnsi="Times New Roman" w:eastAsia="SimSun"/>
          <w:b/>
          <w:sz w:val="26"/>
        </w:rPr>
        <w:t>2 生物—工程双层知识图谱构建</w:t>
      </w:r>
    </w:p>
    <w:p>
      <w:pPr>
        <w:pStyle w:val="62"/>
        <w:spacing w:before="120" w:after="60" w:line="264" w:lineRule="auto"/>
      </w:pPr>
      <w:r>
        <w:rPr>
          <w:rFonts w:ascii="Times New Roman" w:hAnsi="Times New Roman" w:eastAsia="SimSun"/>
          <w:b/>
          <w:sz w:val="22"/>
        </w:rPr>
        <w:t>2.1 本体设计</w:t>
      </w:r>
    </w:p>
    <w:p>
      <w:pPr>
        <w:spacing w:after="60" w:line="276" w:lineRule="auto"/>
        <w:ind w:firstLine="420"/>
      </w:pPr>
      <w:r>
        <w:rPr>
          <w:rFonts w:ascii="Times New Roman" w:hAnsi="Times New Roman" w:eastAsia="SimSun"/>
          <w:sz w:val="21"/>
        </w:rPr>
        <w:t>仿生扑翼飞行器的知识组织不同于一般飞行器产品知识库，其核心不仅是“样机包含哪些部件”，还包括“样机借鉴了哪种生物以及借鉴维度是什么”。为此，本文将领域知识划分为生物层、工程层和证据层。生物层以 Organism 节点表示飞行生物，包含体重区间、翼展区间、扑频区间、飞行速度、Reynolds 数范围、Strouhal 数范围和悬停能力等属性。工程层以 FlappingWingVehicle 为核心，关联驱动机构、部件、性能记录、任务场景、研制单位和参考文献。证据层通过 Reference 和 Performance 节点保留数据来源和实验条件，避免将不同飞行状态下的性能值混为单一属性。</w:t>
      </w:r>
    </w:p>
    <w:p>
      <w:pPr>
        <w:pStyle w:val="36"/>
        <w:spacing w:before="40" w:after="20" w:line="252" w:lineRule="auto"/>
        <w:jc w:val="center"/>
      </w:pPr>
      <w:r>
        <w:rPr>
          <w:rFonts w:ascii="Times New Roman" w:hAnsi="Times New Roman" w:eastAsia="SimSun"/>
          <w:sz w:val="18"/>
        </w:rPr>
        <w:t>图 2 展示了双层知识图谱的基本结构。工程样机与生物原型之间通过 MIMICS 关系连接，每条 MIMICS 边包含 4 个相似度分数：气动相似度 s_aero、运动学相似度 s_kin、形态相似度 s_mor 和尺度相似度 s_sca。其中，气动相似度主要考虑 Reynolds 数和 Strouhal 数所在区间，运动学相似度考虑扑频与扑动方式，形态相似度考虑翼形、展弦比和是否具备悬停能力，尺度相似度考虑体重和翼展量级。通过这种关系设计，系统可以回答“哪些样机仿生蜂鸟”“某样机主要在何种维度上仿生某生物”“仿鸟类原型的样机中哪些适合户外巡航”等跨层问题。</w:t>
      </w:r>
    </w:p>
    <w:p>
      <w:pPr>
        <w:spacing w:before="80" w:after="60"/>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fig2_bilayer_kg_refined.png"/>
                    <pic:cNvPicPr/>
                  </pic:nvPicPr>
                  <pic:blipFill>
                    <a:blip r:embed="rId21"/>
                    <a:stretch>
                      <a:fillRect/>
                    </a:stretch>
                  </pic:blipFill>
                  <pic:spPr>
                    <a:xfrm>
                      <a:off x="0" y="0"/>
                      <a:ext cx="5580000" cy="3487500"/>
                    </a:xfrm>
                    <a:prstGeom prst="rect"/>
                  </pic:spPr>
                </pic:pic>
              </a:graphicData>
            </a:graphic>
          </wp:inline>
        </w:drawing>
      </w:r>
    </w:p>
    <w:p>
      <w:pPr>
        <w:pStyle w:val="36"/>
        <w:spacing w:before="40" w:after="20" w:line="252" w:lineRule="auto"/>
        <w:jc w:val="center"/>
      </w:pPr>
      <w:r>
        <w:rPr>
          <w:rFonts w:ascii="Times New Roman" w:hAnsi="Times New Roman" w:eastAsia="SimSun"/>
          <w:sz w:val="18"/>
        </w:rPr>
        <w:t>图 2 生物—工程双层知识图谱本体</w:t>
      </w:r>
    </w:p>
    <w:p>
      <w:pPr>
        <w:pStyle w:val="41"/>
        <w:spacing w:before="40" w:after="20" w:line="252" w:lineRule="auto"/>
        <w:jc w:val="center"/>
      </w:pPr>
      <w:r>
        <w:rPr>
          <w:rFonts w:ascii="Times New Roman" w:hAnsi="Times New Roman" w:eastAsia="SimSun"/>
          <w:sz w:val="17"/>
        </w:rPr>
        <w:t>Fig. 2 Bilayer ontology of biological prototypes and engineering vehicles</w:t>
      </w:r>
    </w:p>
    <w:p>
      <w:pPr>
        <w:pStyle w:val="62"/>
        <w:spacing w:before="120" w:after="60" w:line="264" w:lineRule="auto"/>
      </w:pPr>
      <w:r>
        <w:rPr>
          <w:rFonts w:ascii="Times New Roman" w:hAnsi="Times New Roman" w:eastAsia="SimSun"/>
          <w:b/>
          <w:sz w:val="22"/>
        </w:rPr>
        <w:t>2.2 数据结构与规模</w:t>
      </w:r>
    </w:p>
    <w:p>
      <w:pPr>
        <w:spacing w:after="60" w:line="276" w:lineRule="auto"/>
        <w:ind w:firstLine="420"/>
      </w:pPr>
      <w:r>
        <w:rPr>
          <w:rFonts w:ascii="Times New Roman" w:hAnsi="Times New Roman" w:eastAsia="SimSun"/>
          <w:sz w:val="21"/>
        </w:rPr>
        <w:t>当前图谱包含 8 类节点和 8 类关系。节点方面，生物原型层包含 23 个 Organism 节点，工程样机层包含 39 个 FlappingWingVehicle 节点，此外包含 272 个 Performance 节点、108 个 Equipment 节点、54 个 Application 节点、44 个 DriveMechanism 节点、39 个 Reference 节点和 33 个 Organization 节点。关系方面，除 MIMICS 外，还包括 HAS_PERFORMANCE、EQUIPPED_WITH、SUITABLE_FOR、HAS_DRIVE_MECHANISM、HAS_REFERENCE、DEVELOPED_BY 和 FUNDED_BY 等关系。表 1 给出图谱规模。</w:t>
      </w:r>
    </w:p>
    <w:p>
      <w:pPr>
        <w:pStyle w:val="38"/>
        <w:spacing w:before="40" w:after="20" w:line="252" w:lineRule="auto"/>
        <w:jc w:val="center"/>
      </w:pPr>
      <w:r>
        <w:rPr>
          <w:rFonts w:ascii="Times New Roman" w:hAnsi="Times New Roman" w:eastAsia="SimSun"/>
          <w:sz w:val="18"/>
        </w:rPr>
        <w:t>表 1 BioBridge 知识图谱规模</w:t>
      </w:r>
    </w:p>
    <w:p>
      <w:pPr>
        <w:pStyle w:val="40"/>
        <w:spacing w:before="40" w:after="20" w:line="252" w:lineRule="auto"/>
        <w:jc w:val="center"/>
      </w:pPr>
      <w:r>
        <w:rPr>
          <w:rFonts w:ascii="Times New Roman" w:hAnsi="Times New Roman" w:eastAsia="SimSun"/>
          <w:sz w:val="17"/>
        </w:rPr>
        <w:t>Table 1 Scale of the BioBridge knowledge graph</w:t>
      </w:r>
    </w:p>
    <w:tbl>
      <w:tblPr>
        <w:tblStyle w:val="29"/>
        <w:tblW w:type="auto" w:w="0"/>
        <w:jc w:val="center"/>
        <w:tblLayout w:type="autofit"/>
        <w:tblLook w:firstColumn="1" w:firstRow="1" w:lastColumn="0" w:lastRow="0" w:noHBand="0" w:noVBand="1" w:val="04A0"/>
      </w:tblPr>
      <w:tblGrid>
        <w:gridCol w:w="3138"/>
        <w:gridCol w:w="3138"/>
        <w:gridCol w:w="3138"/>
      </w:tblGrid>
      <w:tr>
        <w:tc>
          <w:tcPr>
            <w:tcW w:type="dxa" w:w="3138"/>
            <w:vAlign w:val="center"/>
          </w:tcPr>
          <w:p>
            <w:pPr>
              <w:spacing w:after="0" w:line="252" w:lineRule="auto"/>
              <w:jc w:val="center"/>
            </w:pPr>
            <w:r/>
            <w:r>
              <w:rPr>
                <w:rFonts w:ascii="Times New Roman" w:hAnsi="Times New Roman" w:eastAsia="SimSun"/>
                <w:b/>
                <w:sz w:val="17"/>
              </w:rPr>
              <w:t>类型</w:t>
            </w:r>
          </w:p>
        </w:tc>
        <w:tc>
          <w:tcPr>
            <w:tcW w:type="dxa" w:w="3138"/>
            <w:vAlign w:val="center"/>
          </w:tcPr>
          <w:p>
            <w:pPr>
              <w:spacing w:after="0" w:line="252" w:lineRule="auto"/>
              <w:jc w:val="center"/>
            </w:pPr>
            <w:r/>
            <w:r>
              <w:rPr>
                <w:rFonts w:ascii="Times New Roman" w:hAnsi="Times New Roman" w:eastAsia="SimSun"/>
                <w:b/>
                <w:sz w:val="17"/>
              </w:rPr>
              <w:t>数量</w:t>
            </w:r>
          </w:p>
        </w:tc>
        <w:tc>
          <w:tcPr>
            <w:tcW w:type="dxa" w:w="3138"/>
            <w:vAlign w:val="center"/>
          </w:tcPr>
          <w:p>
            <w:pPr>
              <w:spacing w:after="0" w:line="252" w:lineRule="auto"/>
              <w:jc w:val="center"/>
            </w:pPr>
            <w:r/>
            <w:r>
              <w:rPr>
                <w:rFonts w:ascii="Times New Roman" w:hAnsi="Times New Roman" w:eastAsia="SimSun"/>
                <w:b/>
                <w:sz w:val="17"/>
              </w:rPr>
              <w:t>作用</w:t>
            </w:r>
          </w:p>
        </w:tc>
      </w:tr>
      <w:tr>
        <w:tc>
          <w:tcPr>
            <w:tcW w:type="dxa" w:w="3138"/>
            <w:vAlign w:val="center"/>
          </w:tcPr>
          <w:p>
            <w:pPr>
              <w:spacing w:after="0" w:line="252" w:lineRule="auto"/>
              <w:jc w:val="left"/>
            </w:pPr>
            <w:r/>
            <w:r>
              <w:rPr>
                <w:rFonts w:ascii="Times New Roman" w:hAnsi="Times New Roman" w:eastAsia="SimSun"/>
                <w:b w:val="0"/>
                <w:sz w:val="17"/>
              </w:rPr>
              <w:t>Organism</w:t>
            </w:r>
          </w:p>
        </w:tc>
        <w:tc>
          <w:tcPr>
            <w:tcW w:type="dxa" w:w="3138"/>
            <w:vAlign w:val="center"/>
          </w:tcPr>
          <w:p>
            <w:pPr>
              <w:spacing w:after="0" w:line="252" w:lineRule="auto"/>
              <w:jc w:val="center"/>
            </w:pPr>
            <w:r/>
            <w:r>
              <w:rPr>
                <w:rFonts w:ascii="Times New Roman" w:hAnsi="Times New Roman" w:eastAsia="SimSun"/>
                <w:b w:val="0"/>
                <w:sz w:val="17"/>
              </w:rPr>
              <w:t>23</w:t>
            </w:r>
          </w:p>
        </w:tc>
        <w:tc>
          <w:tcPr>
            <w:tcW w:type="dxa" w:w="3138"/>
            <w:vAlign w:val="center"/>
          </w:tcPr>
          <w:p>
            <w:pPr>
              <w:spacing w:after="0" w:line="252" w:lineRule="auto"/>
              <w:jc w:val="left"/>
            </w:pPr>
            <w:r/>
            <w:r>
              <w:rPr>
                <w:rFonts w:ascii="Times New Roman" w:hAnsi="Times New Roman" w:eastAsia="SimSun"/>
                <w:b w:val="0"/>
                <w:sz w:val="17"/>
              </w:rPr>
              <w:t>描述蜂鸟、苍蝇、鸽子、海鸥等生物原型</w:t>
            </w:r>
          </w:p>
        </w:tc>
      </w:tr>
      <w:tr>
        <w:tc>
          <w:tcPr>
            <w:tcW w:type="dxa" w:w="3138"/>
            <w:vAlign w:val="center"/>
          </w:tcPr>
          <w:p>
            <w:pPr>
              <w:spacing w:after="0" w:line="252" w:lineRule="auto"/>
              <w:jc w:val="left"/>
            </w:pPr>
            <w:r/>
            <w:r>
              <w:rPr>
                <w:rFonts w:ascii="Times New Roman" w:hAnsi="Times New Roman" w:eastAsia="SimSun"/>
                <w:b w:val="0"/>
                <w:sz w:val="17"/>
              </w:rPr>
              <w:t>FlappingWingVehicle</w:t>
            </w:r>
          </w:p>
        </w:tc>
        <w:tc>
          <w:tcPr>
            <w:tcW w:type="dxa" w:w="3138"/>
            <w:vAlign w:val="center"/>
          </w:tcPr>
          <w:p>
            <w:pPr>
              <w:spacing w:after="0" w:line="252" w:lineRule="auto"/>
              <w:jc w:val="center"/>
            </w:pPr>
            <w:r/>
            <w:r>
              <w:rPr>
                <w:rFonts w:ascii="Times New Roman" w:hAnsi="Times New Roman" w:eastAsia="SimSun"/>
                <w:b w:val="0"/>
                <w:sz w:val="17"/>
              </w:rPr>
              <w:t>39</w:t>
            </w:r>
          </w:p>
        </w:tc>
        <w:tc>
          <w:tcPr>
            <w:tcW w:type="dxa" w:w="3138"/>
            <w:vAlign w:val="center"/>
          </w:tcPr>
          <w:p>
            <w:pPr>
              <w:spacing w:after="0" w:line="252" w:lineRule="auto"/>
              <w:jc w:val="left"/>
            </w:pPr>
            <w:r/>
            <w:r>
              <w:rPr>
                <w:rFonts w:ascii="Times New Roman" w:hAnsi="Times New Roman" w:eastAsia="SimSun"/>
                <w:b w:val="0"/>
                <w:sz w:val="17"/>
              </w:rPr>
              <w:t>描述公开扑翼样机及其标准化参数</w:t>
            </w:r>
          </w:p>
        </w:tc>
      </w:tr>
      <w:tr>
        <w:tc>
          <w:tcPr>
            <w:tcW w:type="dxa" w:w="3138"/>
            <w:vAlign w:val="center"/>
          </w:tcPr>
          <w:p>
            <w:pPr>
              <w:spacing w:after="0" w:line="252" w:lineRule="auto"/>
              <w:jc w:val="left"/>
            </w:pPr>
            <w:r/>
            <w:r>
              <w:rPr>
                <w:rFonts w:ascii="Times New Roman" w:hAnsi="Times New Roman" w:eastAsia="SimSun"/>
                <w:b w:val="0"/>
                <w:sz w:val="17"/>
              </w:rPr>
              <w:t>Performance</w:t>
            </w:r>
          </w:p>
        </w:tc>
        <w:tc>
          <w:tcPr>
            <w:tcW w:type="dxa" w:w="3138"/>
            <w:vAlign w:val="center"/>
          </w:tcPr>
          <w:p>
            <w:pPr>
              <w:spacing w:after="0" w:line="252" w:lineRule="auto"/>
              <w:jc w:val="center"/>
            </w:pPr>
            <w:r/>
            <w:r>
              <w:rPr>
                <w:rFonts w:ascii="Times New Roman" w:hAnsi="Times New Roman" w:eastAsia="SimSun"/>
                <w:b w:val="0"/>
                <w:sz w:val="17"/>
              </w:rPr>
              <w:t>272</w:t>
            </w:r>
          </w:p>
        </w:tc>
        <w:tc>
          <w:tcPr>
            <w:tcW w:type="dxa" w:w="3138"/>
            <w:vAlign w:val="center"/>
          </w:tcPr>
          <w:p>
            <w:pPr>
              <w:spacing w:after="0" w:line="252" w:lineRule="auto"/>
              <w:jc w:val="left"/>
            </w:pPr>
            <w:r/>
            <w:r>
              <w:rPr>
                <w:rFonts w:ascii="Times New Roman" w:hAnsi="Times New Roman" w:eastAsia="SimSun"/>
                <w:b w:val="0"/>
                <w:sz w:val="17"/>
              </w:rPr>
              <w:t>描述重量、翼展、扑频、续航、速度等性能记录</w:t>
            </w:r>
          </w:p>
        </w:tc>
      </w:tr>
      <w:tr>
        <w:tc>
          <w:tcPr>
            <w:tcW w:type="dxa" w:w="3138"/>
            <w:vAlign w:val="center"/>
          </w:tcPr>
          <w:p>
            <w:pPr>
              <w:spacing w:after="0" w:line="252" w:lineRule="auto"/>
              <w:jc w:val="left"/>
            </w:pPr>
            <w:r/>
            <w:r>
              <w:rPr>
                <w:rFonts w:ascii="Times New Roman" w:hAnsi="Times New Roman" w:eastAsia="SimSun"/>
                <w:b w:val="0"/>
                <w:sz w:val="17"/>
              </w:rPr>
              <w:t>Equipment</w:t>
            </w:r>
          </w:p>
        </w:tc>
        <w:tc>
          <w:tcPr>
            <w:tcW w:type="dxa" w:w="3138"/>
            <w:vAlign w:val="center"/>
          </w:tcPr>
          <w:p>
            <w:pPr>
              <w:spacing w:after="0" w:line="252" w:lineRule="auto"/>
              <w:jc w:val="center"/>
            </w:pPr>
            <w:r/>
            <w:r>
              <w:rPr>
                <w:rFonts w:ascii="Times New Roman" w:hAnsi="Times New Roman" w:eastAsia="SimSun"/>
                <w:b w:val="0"/>
                <w:sz w:val="17"/>
              </w:rPr>
              <w:t>108</w:t>
            </w:r>
          </w:p>
        </w:tc>
        <w:tc>
          <w:tcPr>
            <w:tcW w:type="dxa" w:w="3138"/>
            <w:vAlign w:val="center"/>
          </w:tcPr>
          <w:p>
            <w:pPr>
              <w:spacing w:after="0" w:line="252" w:lineRule="auto"/>
              <w:jc w:val="left"/>
            </w:pPr>
            <w:r/>
            <w:r>
              <w:rPr>
                <w:rFonts w:ascii="Times New Roman" w:hAnsi="Times New Roman" w:eastAsia="SimSun"/>
                <w:b w:val="0"/>
                <w:sz w:val="17"/>
              </w:rPr>
              <w:t>描述动力、传动、感知、控制、载荷等组件</w:t>
            </w:r>
          </w:p>
        </w:tc>
      </w:tr>
      <w:tr>
        <w:tc>
          <w:tcPr>
            <w:tcW w:type="dxa" w:w="3138"/>
            <w:vAlign w:val="center"/>
          </w:tcPr>
          <w:p>
            <w:pPr>
              <w:spacing w:after="0" w:line="252" w:lineRule="auto"/>
              <w:jc w:val="left"/>
            </w:pPr>
            <w:r/>
            <w:r>
              <w:rPr>
                <w:rFonts w:ascii="Times New Roman" w:hAnsi="Times New Roman" w:eastAsia="SimSun"/>
                <w:b w:val="0"/>
                <w:sz w:val="17"/>
              </w:rPr>
              <w:t>Application</w:t>
            </w:r>
          </w:p>
        </w:tc>
        <w:tc>
          <w:tcPr>
            <w:tcW w:type="dxa" w:w="3138"/>
            <w:vAlign w:val="center"/>
          </w:tcPr>
          <w:p>
            <w:pPr>
              <w:spacing w:after="0" w:line="252" w:lineRule="auto"/>
              <w:jc w:val="center"/>
            </w:pPr>
            <w:r/>
            <w:r>
              <w:rPr>
                <w:rFonts w:ascii="Times New Roman" w:hAnsi="Times New Roman" w:eastAsia="SimSun"/>
                <w:b w:val="0"/>
                <w:sz w:val="17"/>
              </w:rPr>
              <w:t>54</w:t>
            </w:r>
          </w:p>
        </w:tc>
        <w:tc>
          <w:tcPr>
            <w:tcW w:type="dxa" w:w="3138"/>
            <w:vAlign w:val="center"/>
          </w:tcPr>
          <w:p>
            <w:pPr>
              <w:spacing w:after="0" w:line="252" w:lineRule="auto"/>
              <w:jc w:val="left"/>
            </w:pPr>
            <w:r/>
            <w:r>
              <w:rPr>
                <w:rFonts w:ascii="Times New Roman" w:hAnsi="Times New Roman" w:eastAsia="SimSun"/>
                <w:b w:val="0"/>
                <w:sz w:val="17"/>
              </w:rPr>
              <w:t>描述侦察、巡航、监测、研究验证等任务场景</w:t>
            </w:r>
          </w:p>
        </w:tc>
      </w:tr>
      <w:tr>
        <w:tc>
          <w:tcPr>
            <w:tcW w:type="dxa" w:w="3138"/>
            <w:vAlign w:val="center"/>
          </w:tcPr>
          <w:p>
            <w:pPr>
              <w:spacing w:after="0" w:line="252" w:lineRule="auto"/>
              <w:jc w:val="left"/>
            </w:pPr>
            <w:r/>
            <w:r>
              <w:rPr>
                <w:rFonts w:ascii="Times New Roman" w:hAnsi="Times New Roman" w:eastAsia="SimSun"/>
                <w:b w:val="0"/>
                <w:sz w:val="17"/>
              </w:rPr>
              <w:t>DriveMechanism</w:t>
            </w:r>
          </w:p>
        </w:tc>
        <w:tc>
          <w:tcPr>
            <w:tcW w:type="dxa" w:w="3138"/>
            <w:vAlign w:val="center"/>
          </w:tcPr>
          <w:p>
            <w:pPr>
              <w:spacing w:after="0" w:line="252" w:lineRule="auto"/>
              <w:jc w:val="center"/>
            </w:pPr>
            <w:r/>
            <w:r>
              <w:rPr>
                <w:rFonts w:ascii="Times New Roman" w:hAnsi="Times New Roman" w:eastAsia="SimSun"/>
                <w:b w:val="0"/>
                <w:sz w:val="17"/>
              </w:rPr>
              <w:t>44</w:t>
            </w:r>
          </w:p>
        </w:tc>
        <w:tc>
          <w:tcPr>
            <w:tcW w:type="dxa" w:w="3138"/>
            <w:vAlign w:val="center"/>
          </w:tcPr>
          <w:p>
            <w:pPr>
              <w:spacing w:after="0" w:line="252" w:lineRule="auto"/>
              <w:jc w:val="left"/>
            </w:pPr>
            <w:r/>
            <w:r>
              <w:rPr>
                <w:rFonts w:ascii="Times New Roman" w:hAnsi="Times New Roman" w:eastAsia="SimSun"/>
                <w:b w:val="0"/>
                <w:sz w:val="17"/>
              </w:rPr>
              <w:t>描述四杆机构、压电驱动、电机驱动等传动方式</w:t>
            </w:r>
          </w:p>
        </w:tc>
      </w:tr>
      <w:tr>
        <w:tc>
          <w:tcPr>
            <w:tcW w:type="dxa" w:w="3138"/>
            <w:vAlign w:val="center"/>
          </w:tcPr>
          <w:p>
            <w:pPr>
              <w:spacing w:after="0" w:line="252" w:lineRule="auto"/>
              <w:jc w:val="left"/>
            </w:pPr>
            <w:r/>
            <w:r>
              <w:rPr>
                <w:rFonts w:ascii="Times New Roman" w:hAnsi="Times New Roman" w:eastAsia="SimSun"/>
                <w:b w:val="0"/>
                <w:sz w:val="17"/>
              </w:rPr>
              <w:t>Reference</w:t>
            </w:r>
          </w:p>
        </w:tc>
        <w:tc>
          <w:tcPr>
            <w:tcW w:type="dxa" w:w="3138"/>
            <w:vAlign w:val="center"/>
          </w:tcPr>
          <w:p>
            <w:pPr>
              <w:spacing w:after="0" w:line="252" w:lineRule="auto"/>
              <w:jc w:val="center"/>
            </w:pPr>
            <w:r/>
            <w:r>
              <w:rPr>
                <w:rFonts w:ascii="Times New Roman" w:hAnsi="Times New Roman" w:eastAsia="SimSun"/>
                <w:b w:val="0"/>
                <w:sz w:val="17"/>
              </w:rPr>
              <w:t>39</w:t>
            </w:r>
          </w:p>
        </w:tc>
        <w:tc>
          <w:tcPr>
            <w:tcW w:type="dxa" w:w="3138"/>
            <w:vAlign w:val="center"/>
          </w:tcPr>
          <w:p>
            <w:pPr>
              <w:spacing w:after="0" w:line="252" w:lineRule="auto"/>
              <w:jc w:val="left"/>
            </w:pPr>
            <w:r/>
            <w:r>
              <w:rPr>
                <w:rFonts w:ascii="Times New Roman" w:hAnsi="Times New Roman" w:eastAsia="SimSun"/>
                <w:b w:val="0"/>
                <w:sz w:val="17"/>
              </w:rPr>
              <w:t>保存文献来源和资料出处</w:t>
            </w:r>
          </w:p>
        </w:tc>
      </w:tr>
      <w:tr>
        <w:tc>
          <w:tcPr>
            <w:tcW w:type="dxa" w:w="3138"/>
            <w:vAlign w:val="center"/>
          </w:tcPr>
          <w:p>
            <w:pPr>
              <w:spacing w:after="0" w:line="252" w:lineRule="auto"/>
              <w:jc w:val="left"/>
            </w:pPr>
            <w:r/>
            <w:r>
              <w:rPr>
                <w:rFonts w:ascii="Times New Roman" w:hAnsi="Times New Roman" w:eastAsia="SimSun"/>
                <w:b w:val="0"/>
                <w:sz w:val="17"/>
              </w:rPr>
              <w:t>Organization</w:t>
            </w:r>
          </w:p>
        </w:tc>
        <w:tc>
          <w:tcPr>
            <w:tcW w:type="dxa" w:w="3138"/>
            <w:vAlign w:val="center"/>
          </w:tcPr>
          <w:p>
            <w:pPr>
              <w:spacing w:after="0" w:line="252" w:lineRule="auto"/>
              <w:jc w:val="center"/>
            </w:pPr>
            <w:r/>
            <w:r>
              <w:rPr>
                <w:rFonts w:ascii="Times New Roman" w:hAnsi="Times New Roman" w:eastAsia="SimSun"/>
                <w:b w:val="0"/>
                <w:sz w:val="17"/>
              </w:rPr>
              <w:t>33</w:t>
            </w:r>
          </w:p>
        </w:tc>
        <w:tc>
          <w:tcPr>
            <w:tcW w:type="dxa" w:w="3138"/>
            <w:vAlign w:val="center"/>
          </w:tcPr>
          <w:p>
            <w:pPr>
              <w:spacing w:after="0" w:line="252" w:lineRule="auto"/>
              <w:jc w:val="left"/>
            </w:pPr>
            <w:r/>
            <w:r>
              <w:rPr>
                <w:rFonts w:ascii="Times New Roman" w:hAnsi="Times New Roman" w:eastAsia="SimSun"/>
                <w:b w:val="0"/>
                <w:sz w:val="17"/>
              </w:rPr>
              <w:t>保存样机研制单位</w:t>
            </w:r>
          </w:p>
        </w:tc>
      </w:tr>
      <w:tr>
        <w:tc>
          <w:tcPr>
            <w:tcW w:type="dxa" w:w="3138"/>
            <w:vAlign w:val="center"/>
          </w:tcPr>
          <w:p>
            <w:pPr>
              <w:spacing w:after="0" w:line="252" w:lineRule="auto"/>
              <w:jc w:val="left"/>
            </w:pPr>
            <w:r/>
            <w:r>
              <w:rPr>
                <w:rFonts w:ascii="Times New Roman" w:hAnsi="Times New Roman" w:eastAsia="SimSun"/>
                <w:b w:val="0"/>
                <w:sz w:val="17"/>
              </w:rPr>
              <w:t>关系总数</w:t>
            </w:r>
          </w:p>
        </w:tc>
        <w:tc>
          <w:tcPr>
            <w:tcW w:type="dxa" w:w="3138"/>
            <w:vAlign w:val="center"/>
          </w:tcPr>
          <w:p>
            <w:pPr>
              <w:spacing w:after="0" w:line="252" w:lineRule="auto"/>
              <w:jc w:val="center"/>
            </w:pPr>
            <w:r/>
            <w:r>
              <w:rPr>
                <w:rFonts w:ascii="Times New Roman" w:hAnsi="Times New Roman" w:eastAsia="SimSun"/>
                <w:b w:val="0"/>
                <w:sz w:val="17"/>
              </w:rPr>
              <w:t>625</w:t>
            </w:r>
          </w:p>
        </w:tc>
        <w:tc>
          <w:tcPr>
            <w:tcW w:type="dxa" w:w="3138"/>
            <w:vAlign w:val="center"/>
          </w:tcPr>
          <w:p>
            <w:pPr>
              <w:spacing w:after="0" w:line="252" w:lineRule="auto"/>
              <w:jc w:val="left"/>
            </w:pPr>
            <w:r/>
            <w:r>
              <w:rPr>
                <w:rFonts w:ascii="Times New Roman" w:hAnsi="Times New Roman" w:eastAsia="SimSun"/>
                <w:b w:val="0"/>
                <w:sz w:val="17"/>
              </w:rPr>
              <w:t>覆盖 MIMICS、HAS_PERFORMANCE 等 8 类关系</w:t>
            </w:r>
          </w:p>
        </w:tc>
      </w:tr>
    </w:tbl>
    <w:p>
      <w:pPr>
        <w:spacing w:after="60" w:line="276" w:lineRule="auto"/>
        <w:ind w:firstLine="420"/>
      </w:pPr>
      <w:r>
        <w:rPr>
          <w:rFonts w:ascii="Times New Roman" w:hAnsi="Times New Roman" w:eastAsia="SimSun"/>
          <w:sz w:val="21"/>
        </w:rPr>
        <w:t>为保证数值计算可靠，图谱中的关键物理属性均保留标准化字段。例如，重量统一为 weight_g_std，续航统一为 endurance_s_std，最大速度统一为 speed_max_m_s_std，扑频统一为 frequency_hz_min_std。对于文献中以区间形式出现的值，图谱同时保留原始字符串和用于计算的标准化数值。Performance 节点记录 metric、value、unit 和 condition 字段，以区分悬停续航、巡航续航、混合飞行续航、最大速度等不同实验条件。该处理方式采用“实体—属性—来源”的分层建模思路，并进一步面向扑翼飞行器补充生物原型和跨域仿生相似关系。</w:t>
      </w:r>
    </w:p>
    <w:p>
      <w:pPr>
        <w:pStyle w:val="62"/>
        <w:spacing w:before="120" w:after="60" w:line="264" w:lineRule="auto"/>
      </w:pPr>
      <w:r>
        <w:rPr>
          <w:rFonts w:ascii="Times New Roman" w:hAnsi="Times New Roman" w:eastAsia="SimSun"/>
          <w:b/>
          <w:sz w:val="22"/>
        </w:rPr>
        <w:t>2.3 MIMICS 相似度计算</w:t>
      </w:r>
    </w:p>
    <w:p>
      <w:pPr>
        <w:spacing w:after="60" w:line="276" w:lineRule="auto"/>
        <w:ind w:firstLine="420"/>
      </w:pPr>
      <w:r>
        <w:rPr>
          <w:rFonts w:ascii="Times New Roman" w:hAnsi="Times New Roman" w:eastAsia="SimSun"/>
          <w:sz w:val="21"/>
        </w:rPr>
        <w:t>对于工程样机的单值属性 x 和生物原型的区间属性 [l,u]，若 x∈[l,u]，该维度相似度取 1；若 x 位于区间外，则按对数量级距离衰减：</w:t>
      </w:r>
    </w:p>
    <w:p>
      <w:pPr>
        <w:spacing w:before="60" w:after="60" w:line="264" w:lineRule="auto"/>
        <w:jc w:val="center"/>
      </w:pPr>
      <w:r>
        <w:rPr>
          <w:rFonts w:ascii="Times New Roman" w:hAnsi="Times New Roman" w:eastAsia="SimSun"/>
          <w:sz w:val="21"/>
        </w:rPr>
        <w:t>s(x,[l,u]) = exp{-|ln[x/clip(x,l,u)]|}。　　　　　　　　　　　　　　　　　　　（1）</w:t>
      </w:r>
    </w:p>
    <w:p>
      <w:pPr>
        <w:spacing w:after="60" w:line="276" w:lineRule="auto"/>
        <w:ind w:firstLine="420"/>
      </w:pPr>
      <w:r>
        <w:rPr>
          <w:rFonts w:ascii="Times New Roman" w:hAnsi="Times New Roman" w:eastAsia="SimSun"/>
          <w:sz w:val="21"/>
        </w:rPr>
        <w:t>其中 clip(x,l,u) 表示将 x 截断到区间 [l,u] 后的最近边界值。对于单值与单值比较，采用</w:t>
      </w:r>
    </w:p>
    <w:p>
      <w:pPr>
        <w:spacing w:before="60" w:after="60" w:line="264" w:lineRule="auto"/>
        <w:jc w:val="center"/>
      </w:pPr>
      <w:r>
        <w:rPr>
          <w:rFonts w:ascii="Times New Roman" w:hAnsi="Times New Roman" w:eastAsia="SimSun"/>
          <w:sz w:val="21"/>
        </w:rPr>
        <w:t>s(x,y) = exp{-|ln(x/y)|}。　　　　　　　　　　　　　　　　　　　　　　　　　　（2）</w:t>
      </w:r>
    </w:p>
    <w:p>
      <w:pPr>
        <w:spacing w:after="60" w:line="276" w:lineRule="auto"/>
        <w:ind w:firstLine="420"/>
      </w:pPr>
      <w:r>
        <w:rPr>
          <w:rFonts w:ascii="Times New Roman" w:hAnsi="Times New Roman" w:eastAsia="SimSun"/>
          <w:sz w:val="21"/>
        </w:rPr>
        <w:t>式（1）和式（2）在对数尺度上计算相对差异，适合处理从亚克级微型飞行器到千克级大型扑翼机的跨尺度样机。最终每条 MIMICS 边保存 4 类相似度，并以最大分数对应的维度作为主导仿生类型。该设计使图谱既能支持定性查询，也能支持按相似度阈值筛选路径。</w:t>
      </w:r>
    </w:p>
    <w:p>
      <w:pPr>
        <w:pStyle w:val="60"/>
        <w:spacing w:before="160" w:after="80" w:line="264" w:lineRule="auto"/>
        <w:jc w:val="left"/>
      </w:pPr>
      <w:r>
        <w:rPr>
          <w:rFonts w:ascii="Times New Roman" w:hAnsi="Times New Roman" w:eastAsia="SimSun"/>
          <w:b/>
          <w:sz w:val="26"/>
        </w:rPr>
        <w:t>3 工具增强的图路径推理</w:t>
      </w:r>
    </w:p>
    <w:p>
      <w:pPr>
        <w:pStyle w:val="62"/>
        <w:spacing w:before="120" w:after="60" w:line="264" w:lineRule="auto"/>
      </w:pPr>
      <w:r>
        <w:rPr>
          <w:rFonts w:ascii="Times New Roman" w:hAnsi="Times New Roman" w:eastAsia="SimSun"/>
          <w:b/>
          <w:sz w:val="22"/>
        </w:rPr>
        <w:t>3.1 问题形式化</w:t>
      </w:r>
    </w:p>
    <w:p>
      <w:pPr>
        <w:spacing w:after="60" w:line="276" w:lineRule="auto"/>
        <w:ind w:firstLine="420"/>
      </w:pPr>
      <w:r>
        <w:rPr>
          <w:rFonts w:ascii="Times New Roman" w:hAnsi="Times New Roman" w:eastAsia="SimSun"/>
          <w:sz w:val="21"/>
        </w:rPr>
        <w:t>给定自然语言问题 q，系统需要输出答案 a 和证据链 p。对于单跳属性查询，证据链通常是实体—属性或实体—关系路径；对于多跳推理和方案推荐，证据链可能包含多个图谱路径和多个工具计算结果。本文将推理过程表示为</w:t>
      </w:r>
    </w:p>
    <w:p>
      <w:pPr>
        <w:spacing w:before="60" w:after="60" w:line="264" w:lineRule="auto"/>
        <w:jc w:val="center"/>
      </w:pPr>
      <w:r>
        <w:rPr>
          <w:rFonts w:ascii="Times New Roman" w:hAnsi="Times New Roman" w:eastAsia="SimSun"/>
          <w:sz w:val="21"/>
        </w:rPr>
        <w:t>a = M(q, P_G, P_T)，　　　　　　　　　　　　　　　　　　　　　　　　　　　　　（3）</w:t>
      </w:r>
    </w:p>
    <w:p>
      <w:pPr>
        <w:spacing w:after="60" w:line="276" w:lineRule="auto"/>
        <w:ind w:firstLine="420"/>
      </w:pPr>
      <w:r>
        <w:rPr>
          <w:rFonts w:ascii="Times New Roman" w:hAnsi="Times New Roman" w:eastAsia="SimSun"/>
          <w:sz w:val="21"/>
        </w:rPr>
        <w:t>其中 M 为大语言模型，P_G 为从知识图谱检索到的路径集合，P_T 为物理工具返回的结构化结果。与仅将检索文本拼接进提示词的 RAG 不同，BioBridge-GraphRAG 要求模型在生成答案前显式完成两个动作：沿图谱关系寻找证据，必要时调用工具验证物理量。</w:t>
      </w:r>
    </w:p>
    <w:p>
      <w:pPr>
        <w:pStyle w:val="62"/>
        <w:spacing w:before="120" w:after="60" w:line="264" w:lineRule="auto"/>
      </w:pPr>
      <w:r>
        <w:rPr>
          <w:rFonts w:ascii="Times New Roman" w:hAnsi="Times New Roman" w:eastAsia="SimSun"/>
          <w:b/>
          <w:sz w:val="22"/>
        </w:rPr>
        <w:t>3.2 物理工具库</w:t>
      </w:r>
    </w:p>
    <w:p>
      <w:pPr>
        <w:spacing w:after="60" w:line="276" w:lineRule="auto"/>
        <w:ind w:firstLine="420"/>
      </w:pPr>
      <w:r>
        <w:rPr>
          <w:rFonts w:ascii="Times New Roman" w:hAnsi="Times New Roman" w:eastAsia="SimSun"/>
          <w:sz w:val="21"/>
        </w:rPr>
        <w:t>仿生扑翼飞行器概念设计中常见的数值判断包括重量估算、尺度律预测、Strouhal 数合理性判断和 Reynolds 数区间判断。这些判断分别与微型飞行器重量估算、鸟类扑频尺度律、低速飞行尺度分析以及振荡翼推进效率等基础研究相关[2,17-20]。本文将这些计算封装为 4 个工具，如表 2 所示。工具输入和输出均为结构化 JSON，便于大语言模型在推理链中读取具体数值并引用到最终答案。</w:t>
      </w:r>
    </w:p>
    <w:p>
      <w:pPr>
        <w:pStyle w:val="38"/>
        <w:spacing w:before="40" w:after="20" w:line="252" w:lineRule="auto"/>
        <w:jc w:val="center"/>
      </w:pPr>
      <w:r>
        <w:rPr>
          <w:rFonts w:ascii="Times New Roman" w:hAnsi="Times New Roman" w:eastAsia="SimSun"/>
          <w:sz w:val="18"/>
        </w:rPr>
        <w:t>表 2 物理工具库及其功能</w:t>
      </w:r>
    </w:p>
    <w:p>
      <w:pPr>
        <w:pStyle w:val="40"/>
        <w:spacing w:before="40" w:after="20" w:line="252" w:lineRule="auto"/>
        <w:jc w:val="center"/>
      </w:pPr>
      <w:r>
        <w:rPr>
          <w:rFonts w:ascii="Times New Roman" w:hAnsi="Times New Roman" w:eastAsia="SimSun"/>
          <w:sz w:val="17"/>
        </w:rPr>
        <w:t>Table 2 Physical tools used in graph-path reasoning</w:t>
      </w:r>
    </w:p>
    <w:tbl>
      <w:tblPr>
        <w:tblStyle w:val="29"/>
        <w:tblW w:type="auto" w:w="0"/>
        <w:jc w:val="center"/>
        <w:tblLayout w:type="autofit"/>
        <w:tblLook w:firstColumn="1" w:firstRow="1" w:lastColumn="0" w:lastRow="0" w:noHBand="0" w:noVBand="1" w:val="04A0"/>
      </w:tblPr>
      <w:tblGrid>
        <w:gridCol w:w="2353"/>
        <w:gridCol w:w="2353"/>
        <w:gridCol w:w="2353"/>
        <w:gridCol w:w="2353"/>
      </w:tblGrid>
      <w:tr>
        <w:tc>
          <w:tcPr>
            <w:tcW w:type="dxa" w:w="2353"/>
            <w:vAlign w:val="center"/>
          </w:tcPr>
          <w:p>
            <w:pPr>
              <w:spacing w:after="0" w:line="252" w:lineRule="auto"/>
              <w:jc w:val="center"/>
            </w:pPr>
            <w:r/>
            <w:r>
              <w:rPr>
                <w:rFonts w:ascii="Times New Roman" w:hAnsi="Times New Roman" w:eastAsia="SimSun"/>
                <w:b/>
                <w:sz w:val="17"/>
              </w:rPr>
              <w:t>工具</w:t>
            </w:r>
          </w:p>
        </w:tc>
        <w:tc>
          <w:tcPr>
            <w:tcW w:type="dxa" w:w="2353"/>
            <w:vAlign w:val="center"/>
          </w:tcPr>
          <w:p>
            <w:pPr>
              <w:spacing w:after="0" w:line="252" w:lineRule="auto"/>
              <w:jc w:val="center"/>
            </w:pPr>
            <w:r/>
            <w:r>
              <w:rPr>
                <w:rFonts w:ascii="Times New Roman" w:hAnsi="Times New Roman" w:eastAsia="SimSun"/>
                <w:b/>
                <w:sz w:val="17"/>
              </w:rPr>
              <w:t>输入</w:t>
            </w:r>
          </w:p>
        </w:tc>
        <w:tc>
          <w:tcPr>
            <w:tcW w:type="dxa" w:w="2353"/>
            <w:vAlign w:val="center"/>
          </w:tcPr>
          <w:p>
            <w:pPr>
              <w:spacing w:after="0" w:line="252" w:lineRule="auto"/>
              <w:jc w:val="center"/>
            </w:pPr>
            <w:r/>
            <w:r>
              <w:rPr>
                <w:rFonts w:ascii="Times New Roman" w:hAnsi="Times New Roman" w:eastAsia="SimSun"/>
                <w:b/>
                <w:sz w:val="17"/>
              </w:rPr>
              <w:t>输出</w:t>
            </w:r>
          </w:p>
        </w:tc>
        <w:tc>
          <w:tcPr>
            <w:tcW w:type="dxa" w:w="2353"/>
            <w:vAlign w:val="center"/>
          </w:tcPr>
          <w:p>
            <w:pPr>
              <w:spacing w:after="0" w:line="252" w:lineRule="auto"/>
              <w:jc w:val="center"/>
            </w:pPr>
            <w:r/>
            <w:r>
              <w:rPr>
                <w:rFonts w:ascii="Times New Roman" w:hAnsi="Times New Roman" w:eastAsia="SimSun"/>
                <w:b/>
                <w:sz w:val="17"/>
              </w:rPr>
              <w:t>用途</w:t>
            </w:r>
          </w:p>
        </w:tc>
      </w:tr>
      <w:tr>
        <w:tc>
          <w:tcPr>
            <w:tcW w:type="dxa" w:w="2353"/>
            <w:vAlign w:val="center"/>
          </w:tcPr>
          <w:p>
            <w:pPr>
              <w:spacing w:after="0" w:line="252" w:lineRule="auto"/>
              <w:jc w:val="left"/>
            </w:pPr>
            <w:r/>
            <w:r>
              <w:rPr>
                <w:rFonts w:ascii="Times New Roman" w:hAnsi="Times New Roman" w:eastAsia="SimSun"/>
                <w:b w:val="0"/>
                <w:sz w:val="17"/>
              </w:rPr>
              <w:t>hassanalian_weight</w:t>
            </w:r>
          </w:p>
        </w:tc>
        <w:tc>
          <w:tcPr>
            <w:tcW w:type="dxa" w:w="2353"/>
            <w:vAlign w:val="center"/>
          </w:tcPr>
          <w:p>
            <w:pPr>
              <w:spacing w:after="0" w:line="252" w:lineRule="auto"/>
              <w:jc w:val="left"/>
            </w:pPr>
            <w:r/>
            <w:r>
              <w:rPr>
                <w:rFonts w:ascii="Times New Roman" w:hAnsi="Times New Roman" w:eastAsia="SimSun"/>
                <w:b w:val="0"/>
                <w:sz w:val="17"/>
              </w:rPr>
              <w:t>续航时间、载荷、航电重量、电池能量密度</w:t>
            </w:r>
          </w:p>
        </w:tc>
        <w:tc>
          <w:tcPr>
            <w:tcW w:type="dxa" w:w="2353"/>
            <w:vAlign w:val="center"/>
          </w:tcPr>
          <w:p>
            <w:pPr>
              <w:spacing w:after="0" w:line="252" w:lineRule="auto"/>
              <w:jc w:val="left"/>
            </w:pPr>
            <w:r/>
            <w:r>
              <w:rPr>
                <w:rFonts w:ascii="Times New Roman" w:hAnsi="Times New Roman" w:eastAsia="SimSun"/>
                <w:b w:val="0"/>
                <w:sz w:val="17"/>
              </w:rPr>
              <w:t>估计起飞重量、子系统重量、电池分数、可行性</w:t>
            </w:r>
          </w:p>
        </w:tc>
        <w:tc>
          <w:tcPr>
            <w:tcW w:type="dxa" w:w="2353"/>
            <w:vAlign w:val="center"/>
          </w:tcPr>
          <w:p>
            <w:pPr>
              <w:spacing w:after="0" w:line="252" w:lineRule="auto"/>
              <w:jc w:val="left"/>
            </w:pPr>
            <w:r/>
            <w:r>
              <w:rPr>
                <w:rFonts w:ascii="Times New Roman" w:hAnsi="Times New Roman" w:eastAsia="SimSun"/>
                <w:b w:val="0"/>
                <w:sz w:val="17"/>
              </w:rPr>
              <w:t>根据任务约束估算总体重量</w:t>
            </w:r>
          </w:p>
        </w:tc>
      </w:tr>
      <w:tr>
        <w:tc>
          <w:tcPr>
            <w:tcW w:type="dxa" w:w="2353"/>
            <w:vAlign w:val="center"/>
          </w:tcPr>
          <w:p>
            <w:pPr>
              <w:spacing w:after="0" w:line="252" w:lineRule="auto"/>
              <w:jc w:val="left"/>
            </w:pPr>
            <w:r/>
            <w:r>
              <w:rPr>
                <w:rFonts w:ascii="Times New Roman" w:hAnsi="Times New Roman" w:eastAsia="SimSun"/>
                <w:b w:val="0"/>
                <w:sz w:val="17"/>
              </w:rPr>
              <w:t>shyy_scaling_law</w:t>
            </w:r>
          </w:p>
        </w:tc>
        <w:tc>
          <w:tcPr>
            <w:tcW w:type="dxa" w:w="2353"/>
            <w:vAlign w:val="center"/>
          </w:tcPr>
          <w:p>
            <w:pPr>
              <w:spacing w:after="0" w:line="252" w:lineRule="auto"/>
              <w:jc w:val="left"/>
            </w:pPr>
            <w:r/>
            <w:r>
              <w:rPr>
                <w:rFonts w:ascii="Times New Roman" w:hAnsi="Times New Roman" w:eastAsia="SimSun"/>
                <w:b w:val="0"/>
                <w:sz w:val="17"/>
              </w:rPr>
              <w:t>起飞重量</w:t>
            </w:r>
          </w:p>
        </w:tc>
        <w:tc>
          <w:tcPr>
            <w:tcW w:type="dxa" w:w="2353"/>
            <w:vAlign w:val="center"/>
          </w:tcPr>
          <w:p>
            <w:pPr>
              <w:spacing w:after="0" w:line="252" w:lineRule="auto"/>
              <w:jc w:val="left"/>
            </w:pPr>
            <w:r/>
            <w:r>
              <w:rPr>
                <w:rFonts w:ascii="Times New Roman" w:hAnsi="Times New Roman" w:eastAsia="SimSun"/>
                <w:b w:val="0"/>
                <w:sz w:val="17"/>
              </w:rPr>
              <w:t>翼展、翼面积、翼载荷、扑频、最小功率速度</w:t>
            </w:r>
          </w:p>
        </w:tc>
        <w:tc>
          <w:tcPr>
            <w:tcW w:type="dxa" w:w="2353"/>
            <w:vAlign w:val="center"/>
          </w:tcPr>
          <w:p>
            <w:pPr>
              <w:spacing w:after="0" w:line="252" w:lineRule="auto"/>
              <w:jc w:val="left"/>
            </w:pPr>
            <w:r/>
            <w:r>
              <w:rPr>
                <w:rFonts w:ascii="Times New Roman" w:hAnsi="Times New Roman" w:eastAsia="SimSun"/>
                <w:b w:val="0"/>
                <w:sz w:val="17"/>
              </w:rPr>
              <w:t>判断样机尺度是否合理</w:t>
            </w:r>
          </w:p>
        </w:tc>
      </w:tr>
      <w:tr>
        <w:tc>
          <w:tcPr>
            <w:tcW w:type="dxa" w:w="2353"/>
            <w:vAlign w:val="center"/>
          </w:tcPr>
          <w:p>
            <w:pPr>
              <w:spacing w:after="0" w:line="252" w:lineRule="auto"/>
              <w:jc w:val="left"/>
            </w:pPr>
            <w:r/>
            <w:r>
              <w:rPr>
                <w:rFonts w:ascii="Times New Roman" w:hAnsi="Times New Roman" w:eastAsia="SimSun"/>
                <w:b w:val="0"/>
                <w:sz w:val="17"/>
              </w:rPr>
              <w:t>strouhal_check</w:t>
            </w:r>
          </w:p>
        </w:tc>
        <w:tc>
          <w:tcPr>
            <w:tcW w:type="dxa" w:w="2353"/>
            <w:vAlign w:val="center"/>
          </w:tcPr>
          <w:p>
            <w:pPr>
              <w:spacing w:after="0" w:line="252" w:lineRule="auto"/>
              <w:jc w:val="left"/>
            </w:pPr>
            <w:r/>
            <w:r>
              <w:rPr>
                <w:rFonts w:ascii="Times New Roman" w:hAnsi="Times New Roman" w:eastAsia="SimSun"/>
                <w:b w:val="0"/>
                <w:sz w:val="17"/>
              </w:rPr>
              <w:t>扑频、扑幅或翼展、飞行速度</w:t>
            </w:r>
          </w:p>
        </w:tc>
        <w:tc>
          <w:tcPr>
            <w:tcW w:type="dxa" w:w="2353"/>
            <w:vAlign w:val="center"/>
          </w:tcPr>
          <w:p>
            <w:pPr>
              <w:spacing w:after="0" w:line="252" w:lineRule="auto"/>
              <w:jc w:val="left"/>
            </w:pPr>
            <w:r/>
            <w:r>
              <w:rPr>
                <w:rFonts w:ascii="Times New Roman" w:hAnsi="Times New Roman" w:eastAsia="SimSun"/>
                <w:b w:val="0"/>
                <w:sz w:val="17"/>
              </w:rPr>
              <w:t>Strouhal 数、是否处于 0.2-0.4 区间</w:t>
            </w:r>
          </w:p>
        </w:tc>
        <w:tc>
          <w:tcPr>
            <w:tcW w:type="dxa" w:w="2353"/>
            <w:vAlign w:val="center"/>
          </w:tcPr>
          <w:p>
            <w:pPr>
              <w:spacing w:after="0" w:line="252" w:lineRule="auto"/>
              <w:jc w:val="left"/>
            </w:pPr>
            <w:r/>
            <w:r>
              <w:rPr>
                <w:rFonts w:ascii="Times New Roman" w:hAnsi="Times New Roman" w:eastAsia="SimSun"/>
                <w:b w:val="0"/>
                <w:sz w:val="17"/>
              </w:rPr>
              <w:t>判断非定常推进效率</w:t>
            </w:r>
          </w:p>
        </w:tc>
      </w:tr>
      <w:tr>
        <w:tc>
          <w:tcPr>
            <w:tcW w:type="dxa" w:w="2353"/>
            <w:vAlign w:val="center"/>
          </w:tcPr>
          <w:p>
            <w:pPr>
              <w:spacing w:after="0" w:line="252" w:lineRule="auto"/>
              <w:jc w:val="left"/>
            </w:pPr>
            <w:r/>
            <w:r>
              <w:rPr>
                <w:rFonts w:ascii="Times New Roman" w:hAnsi="Times New Roman" w:eastAsia="SimSun"/>
                <w:b w:val="0"/>
                <w:sz w:val="17"/>
              </w:rPr>
              <w:t>reynolds_check</w:t>
            </w:r>
          </w:p>
        </w:tc>
        <w:tc>
          <w:tcPr>
            <w:tcW w:type="dxa" w:w="2353"/>
            <w:vAlign w:val="center"/>
          </w:tcPr>
          <w:p>
            <w:pPr>
              <w:spacing w:after="0" w:line="252" w:lineRule="auto"/>
              <w:jc w:val="left"/>
            </w:pPr>
            <w:r/>
            <w:r>
              <w:rPr>
                <w:rFonts w:ascii="Times New Roman" w:hAnsi="Times New Roman" w:eastAsia="SimSun"/>
                <w:b w:val="0"/>
                <w:sz w:val="17"/>
              </w:rPr>
              <w:t>翼弦、飞行速度、温度或高度</w:t>
            </w:r>
          </w:p>
        </w:tc>
        <w:tc>
          <w:tcPr>
            <w:tcW w:type="dxa" w:w="2353"/>
            <w:vAlign w:val="center"/>
          </w:tcPr>
          <w:p>
            <w:pPr>
              <w:spacing w:after="0" w:line="252" w:lineRule="auto"/>
              <w:jc w:val="left"/>
            </w:pPr>
            <w:r/>
            <w:r>
              <w:rPr>
                <w:rFonts w:ascii="Times New Roman" w:hAnsi="Times New Roman" w:eastAsia="SimSun"/>
                <w:b w:val="0"/>
                <w:sz w:val="17"/>
              </w:rPr>
              <w:t>Reynolds 数、低 Re 区间判断</w:t>
            </w:r>
          </w:p>
        </w:tc>
        <w:tc>
          <w:tcPr>
            <w:tcW w:type="dxa" w:w="2353"/>
            <w:vAlign w:val="center"/>
          </w:tcPr>
          <w:p>
            <w:pPr>
              <w:spacing w:after="0" w:line="252" w:lineRule="auto"/>
              <w:jc w:val="left"/>
            </w:pPr>
            <w:r/>
            <w:r>
              <w:rPr>
                <w:rFonts w:ascii="Times New Roman" w:hAnsi="Times New Roman" w:eastAsia="SimSun"/>
                <w:b w:val="0"/>
                <w:sz w:val="17"/>
              </w:rPr>
              <w:t>判断气动机理和建模适用性</w:t>
            </w:r>
          </w:p>
        </w:tc>
      </w:tr>
    </w:tbl>
    <w:p>
      <w:pPr>
        <w:spacing w:after="60" w:line="276" w:lineRule="auto"/>
        <w:ind w:firstLine="420"/>
      </w:pPr>
      <w:r>
        <w:rPr>
          <w:rFonts w:ascii="Times New Roman" w:hAnsi="Times New Roman" w:eastAsia="SimSun"/>
          <w:sz w:val="21"/>
        </w:rPr>
        <w:t>工具库的作用不是替代高保真气动仿真，而是在概念设计阶段提供快速、透明、可解释的一阶物理筛查。例如，对于“参考蜂鸟设计 50 g 载荷、30 min 续航扑翼机是否可行”的问题，系统需要先查询蜂鸟体重和翼展范围，再通过重量估算判断任务所需起飞重量，最后将二者尺度进行比较。如果仅由大语言模型直接生成答案，模型可能给出“可参考蜂鸟扑动方式”的模糊建议；引入工具后，答案必须受到数值结果约束。</w:t>
      </w:r>
    </w:p>
    <w:p>
      <w:pPr>
        <w:pStyle w:val="62"/>
        <w:spacing w:before="120" w:after="60" w:line="264" w:lineRule="auto"/>
      </w:pPr>
      <w:r>
        <w:rPr>
          <w:rFonts w:ascii="Times New Roman" w:hAnsi="Times New Roman" w:eastAsia="SimSun"/>
          <w:b/>
          <w:sz w:val="22"/>
        </w:rPr>
        <w:t>3.3 路径推理流程</w:t>
      </w:r>
    </w:p>
    <w:p>
      <w:pPr>
        <w:spacing w:after="60" w:line="276" w:lineRule="auto"/>
        <w:ind w:firstLine="420"/>
      </w:pPr>
      <w:r>
        <w:rPr>
          <w:rFonts w:ascii="Times New Roman" w:hAnsi="Times New Roman" w:eastAsia="SimSun"/>
          <w:sz w:val="21"/>
        </w:rPr>
        <w:t>BioBridge-GraphRAG 的路径推理流程包括 5 个步骤：</w:t>
      </w:r>
    </w:p>
    <w:p>
      <w:pPr>
        <w:spacing w:after="60" w:line="276" w:lineRule="auto"/>
        <w:ind w:firstLine="420"/>
      </w:pPr>
      <w:r>
        <w:rPr>
          <w:rFonts w:ascii="Times New Roman" w:hAnsi="Times New Roman" w:eastAsia="SimSun"/>
          <w:sz w:val="21"/>
        </w:rPr>
        <w:t>（1）意图识别与实体锚定。判断问题属于定义、属性、对比、推理或推荐任务，并识别样机、生物原型、任务约束等实体。</w:t>
      </w:r>
    </w:p>
    <w:p>
      <w:pPr>
        <w:spacing w:after="60" w:line="276" w:lineRule="auto"/>
        <w:ind w:firstLine="420"/>
      </w:pPr>
      <w:r>
        <w:rPr>
          <w:rFonts w:ascii="Times New Roman" w:hAnsi="Times New Roman" w:eastAsia="SimSun"/>
          <w:sz w:val="21"/>
        </w:rPr>
        <w:t>（2）关系路径规划。根据当前实体及问题意图选择候选关系，如 MIMICS、HAS_PERFORMANCE、SUITABLE_FOR 或 DEVELOPED_BY。</w:t>
      </w:r>
    </w:p>
    <w:p>
      <w:pPr>
        <w:spacing w:after="60" w:line="276" w:lineRule="auto"/>
        <w:ind w:firstLine="420"/>
      </w:pPr>
      <w:r>
        <w:rPr>
          <w:rFonts w:ascii="Times New Roman" w:hAnsi="Times New Roman" w:eastAsia="SimSun"/>
          <w:sz w:val="21"/>
        </w:rPr>
        <w:t>（3）图谱证据检索。沿候选关系查询实体属性、邻接节点和性能记录，形成结构化观察结果。</w:t>
      </w:r>
    </w:p>
    <w:p>
      <w:pPr>
        <w:spacing w:after="60" w:line="276" w:lineRule="auto"/>
        <w:ind w:firstLine="420"/>
      </w:pPr>
      <w:r>
        <w:rPr>
          <w:rFonts w:ascii="Times New Roman" w:hAnsi="Times New Roman" w:eastAsia="SimSun"/>
          <w:sz w:val="21"/>
        </w:rPr>
        <w:t>（4）工具触发与计算。当问题涉及载荷、续航、扑频、速度或翼展等可计算约束时，调用相应物理工具。</w:t>
      </w:r>
    </w:p>
    <w:p>
      <w:pPr>
        <w:spacing w:after="60" w:line="276" w:lineRule="auto"/>
        <w:ind w:firstLine="420"/>
      </w:pPr>
      <w:r>
        <w:rPr>
          <w:rFonts w:ascii="Times New Roman" w:hAnsi="Times New Roman" w:eastAsia="SimSun"/>
          <w:sz w:val="21"/>
        </w:rPr>
        <w:t>（5）答案合成与证据引用。综合图谱路径和工具结果，生成包含结论、依据和限制条件的答案。</w:t>
      </w:r>
    </w:p>
    <w:p>
      <w:pPr>
        <w:spacing w:after="60" w:line="276" w:lineRule="auto"/>
        <w:ind w:firstLine="420"/>
      </w:pPr>
      <w:r>
        <w:rPr>
          <w:rFonts w:ascii="Times New Roman" w:hAnsi="Times New Roman" w:eastAsia="SimSun"/>
          <w:sz w:val="21"/>
        </w:rPr>
        <w:t>这一流程与 ReAct 范式一致：大语言模型先决定下一步动作，再接收图谱或工具返回的观察结果，随后继续推理或给出最终答案[21]。区别在于，本文的动作空间被限制在领域图谱检索和物理工具调用之内，从而提高推理过程的可控性和可解释性。</w:t>
      </w:r>
    </w:p>
    <w:p>
      <w:pPr>
        <w:pStyle w:val="60"/>
        <w:spacing w:before="160" w:after="80" w:line="264" w:lineRule="auto"/>
        <w:jc w:val="left"/>
      </w:pPr>
      <w:r>
        <w:rPr>
          <w:rFonts w:ascii="Times New Roman" w:hAnsi="Times New Roman" w:eastAsia="SimSun"/>
          <w:b/>
          <w:sz w:val="26"/>
        </w:rPr>
        <w:t>4 基于张量分解的方案候选检索</w:t>
      </w:r>
    </w:p>
    <w:p>
      <w:pPr>
        <w:pStyle w:val="62"/>
        <w:spacing w:before="120" w:after="60" w:line="264" w:lineRule="auto"/>
      </w:pPr>
      <w:r>
        <w:rPr>
          <w:rFonts w:ascii="Times New Roman" w:hAnsi="Times New Roman" w:eastAsia="SimSun"/>
          <w:b/>
          <w:sz w:val="22"/>
        </w:rPr>
        <w:t>4.1 张量构建</w:t>
      </w:r>
    </w:p>
    <w:p>
      <w:pPr>
        <w:spacing w:after="60" w:line="276" w:lineRule="auto"/>
        <w:ind w:firstLine="420"/>
      </w:pPr>
      <w:r>
        <w:rPr>
          <w:rFonts w:ascii="Times New Roman" w:hAnsi="Times New Roman" w:eastAsia="SimSun"/>
          <w:sz w:val="21"/>
        </w:rPr>
        <w:t>对于方案推荐任务，如果直接对图谱中所有样机逐一进行多跳推理和工具校验，系统开销会随样机数量增长。考虑到概念设计阶段首先需要获得覆盖充分的候选集合，本文引入张量粗筛模块。根据当前图谱结构，构建三阶张量</w:t>
      </w:r>
    </w:p>
    <w:p>
      <w:pPr>
        <w:spacing w:before="60" w:after="60" w:line="264" w:lineRule="auto"/>
        <w:jc w:val="center"/>
      </w:pPr>
      <w:r>
        <w:rPr>
          <w:rFonts w:ascii="Times New Roman" w:hAnsi="Times New Roman" w:eastAsia="SimSun"/>
          <w:sz w:val="21"/>
        </w:rPr>
        <w:t>X∈R^(N_v×N_f×N_m)，　　　　　　　　　　　　　　　　　　　　　　　　　　　（4）</w:t>
      </w:r>
    </w:p>
    <w:p>
      <w:pPr>
        <w:spacing w:after="60" w:line="276" w:lineRule="auto"/>
        <w:ind w:firstLine="420"/>
      </w:pPr>
      <w:r>
        <w:rPr>
          <w:rFonts w:ascii="Times New Roman" w:hAnsi="Times New Roman" w:eastAsia="SimSun"/>
          <w:sz w:val="21"/>
        </w:rPr>
        <w:t>其中 N_v 为样机数量，N_f 为特征维度数量，N_m 为任务类别数量。特征维度由 Performance 指标和 Equipment 类别计数组成，包括重量、翼展、扑频、速度、续航、是否悬停、展弦比估计以及关键组件类别等；任务维度由 Application 节点聚合为 research、task、maneuver、performance 和 other 等类别。对每个样机，仅在其适用任务类别下激活对应特征。</w:t>
      </w:r>
    </w:p>
    <w:p>
      <w:pPr>
        <w:spacing w:after="60" w:line="276" w:lineRule="auto"/>
        <w:ind w:firstLine="420"/>
      </w:pPr>
      <w:r>
        <w:rPr>
          <w:rFonts w:ascii="Times New Roman" w:hAnsi="Times New Roman" w:eastAsia="SimSun"/>
          <w:sz w:val="21"/>
        </w:rPr>
        <w:t>为避免翼展、重量等大方差特征支配分解结果，本文采用按特征维度独立的 z-score 标准化。对于第 f 个特征，有</w:t>
      </w:r>
    </w:p>
    <w:p>
      <w:pPr>
        <w:spacing w:before="60" w:after="60" w:line="264" w:lineRule="auto"/>
        <w:jc w:val="center"/>
      </w:pPr>
      <w:r>
        <w:rPr>
          <w:rFonts w:ascii="Times New Roman" w:hAnsi="Times New Roman" w:eastAsia="SimSun"/>
          <w:sz w:val="21"/>
        </w:rPr>
        <w:t>x̂_ifm = (x_ifm-μ_f)/(σ_f+ε)，　　　　　　　　　　　　　　　　　　　　　　　　（5）</w:t>
      </w:r>
    </w:p>
    <w:p>
      <w:pPr>
        <w:spacing w:after="60" w:line="276" w:lineRule="auto"/>
        <w:ind w:firstLine="420"/>
      </w:pPr>
      <w:r>
        <w:rPr>
          <w:rFonts w:ascii="Times New Roman" w:hAnsi="Times New Roman" w:eastAsia="SimSun"/>
          <w:sz w:val="21"/>
        </w:rPr>
        <w:t>其中 μ_f 和 σ_f 分别为该特征在全部样机和任务维度上的均值与标准差，ε 为防止除零的小常数。</w:t>
      </w:r>
    </w:p>
    <w:p>
      <w:pPr>
        <w:pStyle w:val="62"/>
        <w:spacing w:before="120" w:after="60" w:line="264" w:lineRule="auto"/>
      </w:pPr>
      <w:r>
        <w:rPr>
          <w:rFonts w:ascii="Times New Roman" w:hAnsi="Times New Roman" w:eastAsia="SimSun"/>
          <w:b/>
          <w:sz w:val="22"/>
        </w:rPr>
        <w:t>4.2 CP 分解与混合相似度</w:t>
      </w:r>
    </w:p>
    <w:p>
      <w:pPr>
        <w:spacing w:after="60" w:line="276" w:lineRule="auto"/>
        <w:ind w:firstLine="420"/>
      </w:pPr>
      <w:r>
        <w:rPr>
          <w:rFonts w:ascii="Times New Roman" w:hAnsi="Times New Roman" w:eastAsia="SimSun"/>
          <w:sz w:val="21"/>
        </w:rPr>
        <w:t>对标准化张量执行 CANDECOMP/PARAFAC（CP）分解[22]。张量分解已被广泛用于多关系数据表示和知识图谱补全[23]，适合在样机、特征和任务三类对象之间挖掘潜在关联：</w:t>
      </w:r>
    </w:p>
    <w:p>
      <w:pPr>
        <w:spacing w:before="60" w:after="60" w:line="264" w:lineRule="auto"/>
        <w:jc w:val="center"/>
      </w:pPr>
      <w:r>
        <w:rPr>
          <w:rFonts w:ascii="Times New Roman" w:hAnsi="Times New Roman" w:eastAsia="SimSun"/>
          <w:sz w:val="21"/>
        </w:rPr>
        <w:t>X≈Σ_(r=1)^R λ_r u_r∘v_r∘w_r，　　　　　　　　　　　　　　　　　　　　　　（6）</w:t>
      </w:r>
    </w:p>
    <w:p>
      <w:pPr>
        <w:spacing w:after="60" w:line="276" w:lineRule="auto"/>
        <w:ind w:firstLine="420"/>
      </w:pPr>
      <w:r>
        <w:rPr>
          <w:rFonts w:ascii="Times New Roman" w:hAnsi="Times New Roman" w:eastAsia="SimSun"/>
          <w:sz w:val="21"/>
        </w:rPr>
        <w:t>其中 u_r、v_r 和 w_r 分别表示样机、特征和任务 3 个模态上的潜在因子，R 为分解秩，∘ 表示外积。样机嵌入由 U=[u_1,...,u_R] 给出。对于用户输入的任务约束，系统先将其转换为查询特征向量，再分别计算原始特征空间相似度和 CP 嵌入空间相似度，得到混合得分</w:t>
      </w:r>
    </w:p>
    <w:p>
      <w:pPr>
        <w:spacing w:before="60" w:after="60" w:line="264" w:lineRule="auto"/>
        <w:jc w:val="center"/>
      </w:pPr>
      <w:r>
        <w:rPr>
          <w:rFonts w:ascii="Times New Roman" w:hAnsi="Times New Roman" w:eastAsia="SimSun"/>
          <w:sz w:val="21"/>
        </w:rPr>
        <w:t>S(i,q)=(1-α)cos(x_i,x_q)+αcos(u_i,u_q)，　　　　　　　　　　　　　　　　　　（7）</w:t>
      </w:r>
    </w:p>
    <w:p>
      <w:pPr>
        <w:spacing w:after="60" w:line="276" w:lineRule="auto"/>
        <w:ind w:firstLine="420"/>
      </w:pPr>
      <w:r>
        <w:rPr>
          <w:rFonts w:ascii="Times New Roman" w:hAnsi="Times New Roman" w:eastAsia="SimSun"/>
          <w:sz w:val="21"/>
        </w:rPr>
        <w:t>其中 α 为嵌入相似度权重。原始特征空间保留物理量级匹配，CP 嵌入空间引入潜在语义关联。该混合策略可以缓解小样本张量分解中纯嵌入空间不稳定的问题。</w:t>
      </w:r>
    </w:p>
    <w:p>
      <w:pPr>
        <w:pStyle w:val="62"/>
        <w:spacing w:before="120" w:after="60" w:line="264" w:lineRule="auto"/>
      </w:pPr>
      <w:r>
        <w:rPr>
          <w:rFonts w:ascii="Times New Roman" w:hAnsi="Times New Roman" w:eastAsia="SimSun"/>
          <w:b/>
          <w:sz w:val="22"/>
        </w:rPr>
        <w:t>4.3 粗筛—精排推荐流程</w:t>
      </w:r>
    </w:p>
    <w:p>
      <w:pPr>
        <w:pStyle w:val="36"/>
        <w:spacing w:before="40" w:after="20" w:line="252" w:lineRule="auto"/>
        <w:jc w:val="center"/>
      </w:pPr>
      <w:r>
        <w:rPr>
          <w:rFonts w:ascii="Times New Roman" w:hAnsi="Times New Roman" w:eastAsia="SimSun"/>
          <w:sz w:val="18"/>
        </w:rPr>
        <w:t>图 3 给出了方案推荐流程。系统首先根据任务约束调用张量召回模块返回 Top-K 候选；随后对候选样机逐一查询其性能、任务和仿生映射证据，并调用物理工具进行可行性校验；最后输出 Top-3 推荐、排序依据和风险提示。</w:t>
      </w:r>
    </w:p>
    <w:p>
      <w:pPr>
        <w:spacing w:before="80" w:after="60"/>
        <w:jc w:val="center"/>
      </w:pPr>
      <w:r>
        <w:drawing>
          <wp:inline xmlns:a="http://schemas.openxmlformats.org/drawingml/2006/main" xmlns:pic="http://schemas.openxmlformats.org/drawingml/2006/picture">
            <wp:extent cx="5580000" cy="3487500"/>
            <wp:docPr id="3" name="Picture 3"/>
            <wp:cNvGraphicFramePr>
              <a:graphicFrameLocks noChangeAspect="1"/>
            </wp:cNvGraphicFramePr>
            <a:graphic>
              <a:graphicData uri="http://schemas.openxmlformats.org/drawingml/2006/picture">
                <pic:pic>
                  <pic:nvPicPr>
                    <pic:cNvPr id="0" name="fig3_recall_rerank_refined.png"/>
                    <pic:cNvPicPr/>
                  </pic:nvPicPr>
                  <pic:blipFill>
                    <a:blip r:embed="rId22"/>
                    <a:stretch>
                      <a:fillRect/>
                    </a:stretch>
                  </pic:blipFill>
                  <pic:spPr>
                    <a:xfrm>
                      <a:off x="0" y="0"/>
                      <a:ext cx="5580000" cy="3487500"/>
                    </a:xfrm>
                    <a:prstGeom prst="rect"/>
                  </pic:spPr>
                </pic:pic>
              </a:graphicData>
            </a:graphic>
          </wp:inline>
        </w:drawing>
      </w:r>
    </w:p>
    <w:p>
      <w:pPr>
        <w:pStyle w:val="36"/>
        <w:spacing w:before="40" w:after="20" w:line="252" w:lineRule="auto"/>
        <w:jc w:val="center"/>
      </w:pPr>
      <w:r>
        <w:rPr>
          <w:rFonts w:ascii="Times New Roman" w:hAnsi="Times New Roman" w:eastAsia="SimSun"/>
          <w:sz w:val="18"/>
        </w:rPr>
        <w:t>图 3 张量粗筛—工具精排方案推荐流程</w:t>
      </w:r>
    </w:p>
    <w:p>
      <w:pPr>
        <w:pStyle w:val="41"/>
        <w:spacing w:before="40" w:after="20" w:line="252" w:lineRule="auto"/>
        <w:jc w:val="center"/>
      </w:pPr>
      <w:r>
        <w:rPr>
          <w:rFonts w:ascii="Times New Roman" w:hAnsi="Times New Roman" w:eastAsia="SimSun"/>
          <w:sz w:val="17"/>
        </w:rPr>
        <w:t>Fig. 3 Tensor-recall and tool-reranking workflow for design recommendation</w:t>
      </w:r>
    </w:p>
    <w:p>
      <w:pPr>
        <w:spacing w:after="60" w:line="276" w:lineRule="auto"/>
        <w:ind w:firstLine="420"/>
      </w:pPr>
      <w:r>
        <w:rPr>
          <w:rFonts w:ascii="Times New Roman" w:hAnsi="Times New Roman" w:eastAsia="SimSun"/>
          <w:sz w:val="21"/>
        </w:rPr>
        <w:t>该流程的工程含义在于分工明确：张量分解负责从历史样机中快速扩大候选覆盖，图路径推理负责解释候选与任务之间的关系，物理工具负责判断候选是否满足载荷、续航和尺度律约束。相比纯向量检索，该流程显式保留样机—任务—性能路径；相比直接枚举所有样机进行工具校验，该流程将计算集中在 Top-K 候选上，具有更好的扩展性。</w:t>
      </w:r>
    </w:p>
    <w:p>
      <w:pPr>
        <w:pStyle w:val="60"/>
        <w:spacing w:before="160" w:after="80" w:line="264" w:lineRule="auto"/>
        <w:jc w:val="left"/>
      </w:pPr>
      <w:r>
        <w:rPr>
          <w:rFonts w:ascii="Times New Roman" w:hAnsi="Times New Roman" w:eastAsia="SimSun"/>
          <w:b/>
          <w:sz w:val="26"/>
        </w:rPr>
        <w:t>5 数据集与实验设计</w:t>
      </w:r>
    </w:p>
    <w:p>
      <w:pPr>
        <w:pStyle w:val="62"/>
        <w:spacing w:before="120" w:after="60" w:line="264" w:lineRule="auto"/>
      </w:pPr>
      <w:r>
        <w:rPr>
          <w:rFonts w:ascii="Times New Roman" w:hAnsi="Times New Roman" w:eastAsia="SimSun"/>
          <w:b/>
          <w:sz w:val="22"/>
        </w:rPr>
        <w:t>5.1 FWMAV-QA数据集</w:t>
      </w:r>
    </w:p>
    <w:p>
      <w:pPr>
        <w:spacing w:after="60" w:line="276" w:lineRule="auto"/>
        <w:ind w:firstLine="420"/>
      </w:pPr>
      <w:r>
        <w:rPr>
          <w:rFonts w:ascii="Times New Roman" w:hAnsi="Times New Roman" w:eastAsia="SimSun"/>
          <w:sz w:val="21"/>
        </w:rPr>
        <w:t>为评估扑翼飞行器领域问答与方案推荐能力，本文构建 FWMAV-QA 数据集。数据集共 754 题，其中 200 题为人工标注，554 题为基于图谱模板生成并经校验的数据。题型分为 A 类知识查询和 B 类方案推荐两大类，具体如表 3 和图 4 所示。每道 A 类题包含问题、参考答案、金实体、期望跳数和可选工具调用要求；每道 B 类题包含任务约束、金推荐样机和推荐理由。该设计使数据集既能评估事实查询，也能评估方案推荐中的实体召回、约束满足和推荐解释质量。</w:t>
      </w:r>
    </w:p>
    <w:p>
      <w:pPr>
        <w:spacing w:before="80" w:after="60"/>
        <w:jc w:val="center"/>
      </w:pPr>
      <w:r>
        <w:drawing>
          <wp:inline xmlns:a="http://schemas.openxmlformats.org/drawingml/2006/main" xmlns:pic="http://schemas.openxmlformats.org/drawingml/2006/picture">
            <wp:extent cx="5580000" cy="3455356"/>
            <wp:docPr id="4" name="Picture 4"/>
            <wp:cNvGraphicFramePr>
              <a:graphicFrameLocks noChangeAspect="1"/>
            </wp:cNvGraphicFramePr>
            <a:graphic>
              <a:graphicData uri="http://schemas.openxmlformats.org/drawingml/2006/picture">
                <pic:pic>
                  <pic:nvPicPr>
                    <pic:cNvPr id="0" name="fig4_dataset_protocol.png"/>
                    <pic:cNvPicPr/>
                  </pic:nvPicPr>
                  <pic:blipFill>
                    <a:blip r:embed="rId23"/>
                    <a:stretch>
                      <a:fillRect/>
                    </a:stretch>
                  </pic:blipFill>
                  <pic:spPr>
                    <a:xfrm>
                      <a:off x="0" y="0"/>
                      <a:ext cx="5580000" cy="3455356"/>
                    </a:xfrm>
                    <a:prstGeom prst="rect"/>
                  </pic:spPr>
                </pic:pic>
              </a:graphicData>
            </a:graphic>
          </wp:inline>
        </w:drawing>
      </w:r>
    </w:p>
    <w:p>
      <w:pPr>
        <w:pStyle w:val="36"/>
        <w:spacing w:before="40" w:after="20" w:line="252" w:lineRule="auto"/>
        <w:jc w:val="center"/>
      </w:pPr>
      <w:r>
        <w:rPr>
          <w:rFonts w:ascii="Times New Roman" w:hAnsi="Times New Roman" w:eastAsia="SimSun"/>
          <w:sz w:val="18"/>
        </w:rPr>
        <w:t>图 4 FWMAV-QA 数据集与评价协议</w:t>
      </w:r>
    </w:p>
    <w:p>
      <w:pPr>
        <w:pStyle w:val="41"/>
        <w:spacing w:before="40" w:after="20" w:line="252" w:lineRule="auto"/>
        <w:jc w:val="center"/>
      </w:pPr>
      <w:r>
        <w:rPr>
          <w:rFonts w:ascii="Times New Roman" w:hAnsi="Times New Roman" w:eastAsia="SimSun"/>
          <w:sz w:val="17"/>
        </w:rPr>
        <w:t>Fig. 4 FWMAV-QA benchmark and evaluation protocol</w:t>
      </w:r>
    </w:p>
    <w:p>
      <w:pPr>
        <w:pStyle w:val="38"/>
        <w:spacing w:before="40" w:after="20" w:line="252" w:lineRule="auto"/>
        <w:jc w:val="center"/>
      </w:pPr>
      <w:r>
        <w:rPr>
          <w:rFonts w:ascii="Times New Roman" w:hAnsi="Times New Roman" w:eastAsia="SimSun"/>
          <w:sz w:val="18"/>
        </w:rPr>
        <w:t>表 3 FWMAV-QA 数据集题型分布</w:t>
      </w:r>
    </w:p>
    <w:p>
      <w:pPr>
        <w:pStyle w:val="40"/>
        <w:spacing w:before="40" w:after="20" w:line="252" w:lineRule="auto"/>
        <w:jc w:val="center"/>
      </w:pPr>
      <w:r>
        <w:rPr>
          <w:rFonts w:ascii="Times New Roman" w:hAnsi="Times New Roman" w:eastAsia="SimSun"/>
          <w:sz w:val="17"/>
        </w:rPr>
        <w:t>Table 3 Category distribution of the FWMAV-QA benchmark</w:t>
      </w:r>
    </w:p>
    <w:tbl>
      <w:tblPr>
        <w:tblStyle w:val="29"/>
        <w:tblW w:type="auto" w:w="0"/>
        <w:jc w:val="center"/>
        <w:tblLayout w:type="autofit"/>
        <w:tblLook w:firstColumn="1" w:firstRow="1" w:lastColumn="0" w:lastRow="0" w:noHBand="0" w:noVBand="1" w:val="04A0"/>
      </w:tblPr>
      <w:tblGrid>
        <w:gridCol w:w="2353"/>
        <w:gridCol w:w="2353"/>
        <w:gridCol w:w="2353"/>
        <w:gridCol w:w="2353"/>
      </w:tblGrid>
      <w:tr>
        <w:tc>
          <w:tcPr>
            <w:tcW w:type="dxa" w:w="2353"/>
            <w:vAlign w:val="center"/>
          </w:tcPr>
          <w:p>
            <w:pPr>
              <w:spacing w:after="0" w:line="252" w:lineRule="auto"/>
              <w:jc w:val="center"/>
            </w:pPr>
            <w:r/>
            <w:r>
              <w:rPr>
                <w:rFonts w:ascii="Times New Roman" w:hAnsi="Times New Roman" w:eastAsia="SimSun"/>
                <w:b/>
                <w:sz w:val="17"/>
              </w:rPr>
              <w:t>类别</w:t>
            </w:r>
          </w:p>
        </w:tc>
        <w:tc>
          <w:tcPr>
            <w:tcW w:type="dxa" w:w="2353"/>
            <w:vAlign w:val="center"/>
          </w:tcPr>
          <w:p>
            <w:pPr>
              <w:spacing w:after="0" w:line="252" w:lineRule="auto"/>
              <w:jc w:val="center"/>
            </w:pPr>
            <w:r/>
            <w:r>
              <w:rPr>
                <w:rFonts w:ascii="Times New Roman" w:hAnsi="Times New Roman" w:eastAsia="SimSun"/>
                <w:b/>
                <w:sz w:val="17"/>
              </w:rPr>
              <w:t>任务</w:t>
            </w:r>
          </w:p>
        </w:tc>
        <w:tc>
          <w:tcPr>
            <w:tcW w:type="dxa" w:w="2353"/>
            <w:vAlign w:val="center"/>
          </w:tcPr>
          <w:p>
            <w:pPr>
              <w:spacing w:after="0" w:line="252" w:lineRule="auto"/>
              <w:jc w:val="center"/>
            </w:pPr>
            <w:r/>
            <w:r>
              <w:rPr>
                <w:rFonts w:ascii="Times New Roman" w:hAnsi="Times New Roman" w:eastAsia="SimSun"/>
                <w:b/>
                <w:sz w:val="17"/>
              </w:rPr>
              <w:t>数量</w:t>
            </w:r>
          </w:p>
        </w:tc>
        <w:tc>
          <w:tcPr>
            <w:tcW w:type="dxa" w:w="2353"/>
            <w:vAlign w:val="center"/>
          </w:tcPr>
          <w:p>
            <w:pPr>
              <w:spacing w:after="0" w:line="252" w:lineRule="auto"/>
              <w:jc w:val="center"/>
            </w:pPr>
            <w:r/>
            <w:r>
              <w:rPr>
                <w:rFonts w:ascii="Times New Roman" w:hAnsi="Times New Roman" w:eastAsia="SimSun"/>
                <w:b/>
                <w:sz w:val="17"/>
              </w:rPr>
              <w:t>主要评估能力</w:t>
            </w:r>
          </w:p>
        </w:tc>
      </w:tr>
      <w:tr>
        <w:tc>
          <w:tcPr>
            <w:tcW w:type="dxa" w:w="2353"/>
            <w:vAlign w:val="center"/>
          </w:tcPr>
          <w:p>
            <w:pPr>
              <w:spacing w:after="0" w:line="252" w:lineRule="auto"/>
              <w:jc w:val="left"/>
            </w:pPr>
            <w:r/>
            <w:r>
              <w:rPr>
                <w:rFonts w:ascii="Times New Roman" w:hAnsi="Times New Roman" w:eastAsia="SimSun"/>
                <w:b w:val="0"/>
                <w:sz w:val="17"/>
              </w:rPr>
              <w:t>A1</w:t>
            </w:r>
          </w:p>
        </w:tc>
        <w:tc>
          <w:tcPr>
            <w:tcW w:type="dxa" w:w="2353"/>
            <w:vAlign w:val="center"/>
          </w:tcPr>
          <w:p>
            <w:pPr>
              <w:spacing w:after="0" w:line="252" w:lineRule="auto"/>
              <w:jc w:val="left"/>
            </w:pPr>
            <w:r/>
            <w:r>
              <w:rPr>
                <w:rFonts w:ascii="Times New Roman" w:hAnsi="Times New Roman" w:eastAsia="SimSun"/>
                <w:b w:val="0"/>
                <w:sz w:val="17"/>
              </w:rPr>
              <w:t>单跳定义</w:t>
            </w:r>
          </w:p>
        </w:tc>
        <w:tc>
          <w:tcPr>
            <w:tcW w:type="dxa" w:w="2353"/>
            <w:vAlign w:val="center"/>
          </w:tcPr>
          <w:p>
            <w:pPr>
              <w:spacing w:after="0" w:line="252" w:lineRule="auto"/>
              <w:jc w:val="center"/>
            </w:pPr>
            <w:r/>
            <w:r>
              <w:rPr>
                <w:rFonts w:ascii="Times New Roman" w:hAnsi="Times New Roman" w:eastAsia="SimSun"/>
                <w:b w:val="0"/>
                <w:sz w:val="17"/>
              </w:rPr>
              <w:t>111</w:t>
            </w:r>
          </w:p>
        </w:tc>
        <w:tc>
          <w:tcPr>
            <w:tcW w:type="dxa" w:w="2353"/>
            <w:vAlign w:val="center"/>
          </w:tcPr>
          <w:p>
            <w:pPr>
              <w:spacing w:after="0" w:line="252" w:lineRule="auto"/>
              <w:jc w:val="left"/>
            </w:pPr>
            <w:r/>
            <w:r>
              <w:rPr>
                <w:rFonts w:ascii="Times New Roman" w:hAnsi="Times New Roman" w:eastAsia="SimSun"/>
                <w:b w:val="0"/>
                <w:sz w:val="17"/>
              </w:rPr>
              <w:t>概念解释和公式理解</w:t>
            </w:r>
          </w:p>
        </w:tc>
      </w:tr>
      <w:tr>
        <w:tc>
          <w:tcPr>
            <w:tcW w:type="dxa" w:w="2353"/>
            <w:vAlign w:val="center"/>
          </w:tcPr>
          <w:p>
            <w:pPr>
              <w:spacing w:after="0" w:line="252" w:lineRule="auto"/>
              <w:jc w:val="left"/>
            </w:pPr>
            <w:r/>
            <w:r>
              <w:rPr>
                <w:rFonts w:ascii="Times New Roman" w:hAnsi="Times New Roman" w:eastAsia="SimSun"/>
                <w:b w:val="0"/>
                <w:sz w:val="17"/>
              </w:rPr>
              <w:t>A2</w:t>
            </w:r>
          </w:p>
        </w:tc>
        <w:tc>
          <w:tcPr>
            <w:tcW w:type="dxa" w:w="2353"/>
            <w:vAlign w:val="center"/>
          </w:tcPr>
          <w:p>
            <w:pPr>
              <w:spacing w:after="0" w:line="252" w:lineRule="auto"/>
              <w:jc w:val="left"/>
            </w:pPr>
            <w:r/>
            <w:r>
              <w:rPr>
                <w:rFonts w:ascii="Times New Roman" w:hAnsi="Times New Roman" w:eastAsia="SimSun"/>
                <w:b w:val="0"/>
                <w:sz w:val="17"/>
              </w:rPr>
              <w:t>单跳属性</w:t>
            </w:r>
          </w:p>
        </w:tc>
        <w:tc>
          <w:tcPr>
            <w:tcW w:type="dxa" w:w="2353"/>
            <w:vAlign w:val="center"/>
          </w:tcPr>
          <w:p>
            <w:pPr>
              <w:spacing w:after="0" w:line="252" w:lineRule="auto"/>
              <w:jc w:val="center"/>
            </w:pPr>
            <w:r/>
            <w:r>
              <w:rPr>
                <w:rFonts w:ascii="Times New Roman" w:hAnsi="Times New Roman" w:eastAsia="SimSun"/>
                <w:b w:val="0"/>
                <w:sz w:val="17"/>
              </w:rPr>
              <w:t>145</w:t>
            </w:r>
          </w:p>
        </w:tc>
        <w:tc>
          <w:tcPr>
            <w:tcW w:type="dxa" w:w="2353"/>
            <w:vAlign w:val="center"/>
          </w:tcPr>
          <w:p>
            <w:pPr>
              <w:spacing w:after="0" w:line="252" w:lineRule="auto"/>
              <w:jc w:val="left"/>
            </w:pPr>
            <w:r/>
            <w:r>
              <w:rPr>
                <w:rFonts w:ascii="Times New Roman" w:hAnsi="Times New Roman" w:eastAsia="SimSun"/>
                <w:b w:val="0"/>
                <w:sz w:val="17"/>
              </w:rPr>
              <w:t>样机或生物属性查询</w:t>
            </w:r>
          </w:p>
        </w:tc>
      </w:tr>
      <w:tr>
        <w:tc>
          <w:tcPr>
            <w:tcW w:type="dxa" w:w="2353"/>
            <w:vAlign w:val="center"/>
          </w:tcPr>
          <w:p>
            <w:pPr>
              <w:spacing w:after="0" w:line="252" w:lineRule="auto"/>
              <w:jc w:val="left"/>
            </w:pPr>
            <w:r/>
            <w:r>
              <w:rPr>
                <w:rFonts w:ascii="Times New Roman" w:hAnsi="Times New Roman" w:eastAsia="SimSun"/>
                <w:b w:val="0"/>
                <w:sz w:val="17"/>
              </w:rPr>
              <w:t>A3</w:t>
            </w:r>
          </w:p>
        </w:tc>
        <w:tc>
          <w:tcPr>
            <w:tcW w:type="dxa" w:w="2353"/>
            <w:vAlign w:val="center"/>
          </w:tcPr>
          <w:p>
            <w:pPr>
              <w:spacing w:after="0" w:line="252" w:lineRule="auto"/>
              <w:jc w:val="left"/>
            </w:pPr>
            <w:r/>
            <w:r>
              <w:rPr>
                <w:rFonts w:ascii="Times New Roman" w:hAnsi="Times New Roman" w:eastAsia="SimSun"/>
                <w:b w:val="0"/>
                <w:sz w:val="17"/>
              </w:rPr>
              <w:t>多实体对比</w:t>
            </w:r>
          </w:p>
        </w:tc>
        <w:tc>
          <w:tcPr>
            <w:tcW w:type="dxa" w:w="2353"/>
            <w:vAlign w:val="center"/>
          </w:tcPr>
          <w:p>
            <w:pPr>
              <w:spacing w:after="0" w:line="252" w:lineRule="auto"/>
              <w:jc w:val="center"/>
            </w:pPr>
            <w:r/>
            <w:r>
              <w:rPr>
                <w:rFonts w:ascii="Times New Roman" w:hAnsi="Times New Roman" w:eastAsia="SimSun"/>
                <w:b w:val="0"/>
                <w:sz w:val="17"/>
              </w:rPr>
              <w:t>140</w:t>
            </w:r>
          </w:p>
        </w:tc>
        <w:tc>
          <w:tcPr>
            <w:tcW w:type="dxa" w:w="2353"/>
            <w:vAlign w:val="center"/>
          </w:tcPr>
          <w:p>
            <w:pPr>
              <w:spacing w:after="0" w:line="252" w:lineRule="auto"/>
              <w:jc w:val="left"/>
            </w:pPr>
            <w:r/>
            <w:r>
              <w:rPr>
                <w:rFonts w:ascii="Times New Roman" w:hAnsi="Times New Roman" w:eastAsia="SimSun"/>
                <w:b w:val="0"/>
                <w:sz w:val="17"/>
              </w:rPr>
              <w:t>多实体、多维度信息聚合</w:t>
            </w:r>
          </w:p>
        </w:tc>
      </w:tr>
      <w:tr>
        <w:tc>
          <w:tcPr>
            <w:tcW w:type="dxa" w:w="2353"/>
            <w:vAlign w:val="center"/>
          </w:tcPr>
          <w:p>
            <w:pPr>
              <w:spacing w:after="0" w:line="252" w:lineRule="auto"/>
              <w:jc w:val="left"/>
            </w:pPr>
            <w:r/>
            <w:r>
              <w:rPr>
                <w:rFonts w:ascii="Times New Roman" w:hAnsi="Times New Roman" w:eastAsia="SimSun"/>
                <w:b w:val="0"/>
                <w:sz w:val="17"/>
              </w:rPr>
              <w:t>A4</w:t>
            </w:r>
          </w:p>
        </w:tc>
        <w:tc>
          <w:tcPr>
            <w:tcW w:type="dxa" w:w="2353"/>
            <w:vAlign w:val="center"/>
          </w:tcPr>
          <w:p>
            <w:pPr>
              <w:spacing w:after="0" w:line="252" w:lineRule="auto"/>
              <w:jc w:val="left"/>
            </w:pPr>
            <w:r/>
            <w:r>
              <w:rPr>
                <w:rFonts w:ascii="Times New Roman" w:hAnsi="Times New Roman" w:eastAsia="SimSun"/>
                <w:b w:val="0"/>
                <w:sz w:val="17"/>
              </w:rPr>
              <w:t>多跳推理</w:t>
            </w:r>
          </w:p>
        </w:tc>
        <w:tc>
          <w:tcPr>
            <w:tcW w:type="dxa" w:w="2353"/>
            <w:vAlign w:val="center"/>
          </w:tcPr>
          <w:p>
            <w:pPr>
              <w:spacing w:after="0" w:line="252" w:lineRule="auto"/>
              <w:jc w:val="center"/>
            </w:pPr>
            <w:r/>
            <w:r>
              <w:rPr>
                <w:rFonts w:ascii="Times New Roman" w:hAnsi="Times New Roman" w:eastAsia="SimSun"/>
                <w:b w:val="0"/>
                <w:sz w:val="17"/>
              </w:rPr>
              <w:t>130</w:t>
            </w:r>
          </w:p>
        </w:tc>
        <w:tc>
          <w:tcPr>
            <w:tcW w:type="dxa" w:w="2353"/>
            <w:vAlign w:val="center"/>
          </w:tcPr>
          <w:p>
            <w:pPr>
              <w:spacing w:after="0" w:line="252" w:lineRule="auto"/>
              <w:jc w:val="left"/>
            </w:pPr>
            <w:r/>
            <w:r>
              <w:rPr>
                <w:rFonts w:ascii="Times New Roman" w:hAnsi="Times New Roman" w:eastAsia="SimSun"/>
                <w:b w:val="0"/>
                <w:sz w:val="17"/>
              </w:rPr>
              <w:t>生物—工程跨域推理与物理判断</w:t>
            </w:r>
          </w:p>
        </w:tc>
      </w:tr>
      <w:tr>
        <w:tc>
          <w:tcPr>
            <w:tcW w:type="dxa" w:w="2353"/>
            <w:vAlign w:val="center"/>
          </w:tcPr>
          <w:p>
            <w:pPr>
              <w:spacing w:after="0" w:line="252" w:lineRule="auto"/>
              <w:jc w:val="left"/>
            </w:pPr>
            <w:r/>
            <w:r>
              <w:rPr>
                <w:rFonts w:ascii="Times New Roman" w:hAnsi="Times New Roman" w:eastAsia="SimSun"/>
                <w:b w:val="0"/>
                <w:sz w:val="17"/>
              </w:rPr>
              <w:t>B1</w:t>
            </w:r>
          </w:p>
        </w:tc>
        <w:tc>
          <w:tcPr>
            <w:tcW w:type="dxa" w:w="2353"/>
            <w:vAlign w:val="center"/>
          </w:tcPr>
          <w:p>
            <w:pPr>
              <w:spacing w:after="0" w:line="252" w:lineRule="auto"/>
              <w:jc w:val="left"/>
            </w:pPr>
            <w:r/>
            <w:r>
              <w:rPr>
                <w:rFonts w:ascii="Times New Roman" w:hAnsi="Times New Roman" w:eastAsia="SimSun"/>
                <w:b w:val="0"/>
                <w:sz w:val="17"/>
              </w:rPr>
              <w:t>简单方案推荐</w:t>
            </w:r>
          </w:p>
        </w:tc>
        <w:tc>
          <w:tcPr>
            <w:tcW w:type="dxa" w:w="2353"/>
            <w:vAlign w:val="center"/>
          </w:tcPr>
          <w:p>
            <w:pPr>
              <w:spacing w:after="0" w:line="252" w:lineRule="auto"/>
              <w:jc w:val="center"/>
            </w:pPr>
            <w:r/>
            <w:r>
              <w:rPr>
                <w:rFonts w:ascii="Times New Roman" w:hAnsi="Times New Roman" w:eastAsia="SimSun"/>
                <w:b w:val="0"/>
                <w:sz w:val="17"/>
              </w:rPr>
              <w:t>108</w:t>
            </w:r>
          </w:p>
        </w:tc>
        <w:tc>
          <w:tcPr>
            <w:tcW w:type="dxa" w:w="2353"/>
            <w:vAlign w:val="center"/>
          </w:tcPr>
          <w:p>
            <w:pPr>
              <w:spacing w:after="0" w:line="252" w:lineRule="auto"/>
              <w:jc w:val="left"/>
            </w:pPr>
            <w:r/>
            <w:r>
              <w:rPr>
                <w:rFonts w:ascii="Times New Roman" w:hAnsi="Times New Roman" w:eastAsia="SimSun"/>
                <w:b w:val="0"/>
                <w:sz w:val="17"/>
              </w:rPr>
              <w:t>单约束或少量约束下的样机推荐</w:t>
            </w:r>
          </w:p>
        </w:tc>
      </w:tr>
      <w:tr>
        <w:tc>
          <w:tcPr>
            <w:tcW w:type="dxa" w:w="2353"/>
            <w:vAlign w:val="center"/>
          </w:tcPr>
          <w:p>
            <w:pPr>
              <w:spacing w:after="0" w:line="252" w:lineRule="auto"/>
              <w:jc w:val="left"/>
            </w:pPr>
            <w:r/>
            <w:r>
              <w:rPr>
                <w:rFonts w:ascii="Times New Roman" w:hAnsi="Times New Roman" w:eastAsia="SimSun"/>
                <w:b w:val="0"/>
                <w:sz w:val="17"/>
              </w:rPr>
              <w:t>B2</w:t>
            </w:r>
          </w:p>
        </w:tc>
        <w:tc>
          <w:tcPr>
            <w:tcW w:type="dxa" w:w="2353"/>
            <w:vAlign w:val="center"/>
          </w:tcPr>
          <w:p>
            <w:pPr>
              <w:spacing w:after="0" w:line="252" w:lineRule="auto"/>
              <w:jc w:val="left"/>
            </w:pPr>
            <w:r/>
            <w:r>
              <w:rPr>
                <w:rFonts w:ascii="Times New Roman" w:hAnsi="Times New Roman" w:eastAsia="SimSun"/>
                <w:b w:val="0"/>
                <w:sz w:val="17"/>
              </w:rPr>
              <w:t>复杂方案推荐</w:t>
            </w:r>
          </w:p>
        </w:tc>
        <w:tc>
          <w:tcPr>
            <w:tcW w:type="dxa" w:w="2353"/>
            <w:vAlign w:val="center"/>
          </w:tcPr>
          <w:p>
            <w:pPr>
              <w:spacing w:after="0" w:line="252" w:lineRule="auto"/>
              <w:jc w:val="center"/>
            </w:pPr>
            <w:r/>
            <w:r>
              <w:rPr>
                <w:rFonts w:ascii="Times New Roman" w:hAnsi="Times New Roman" w:eastAsia="SimSun"/>
                <w:b w:val="0"/>
                <w:sz w:val="17"/>
              </w:rPr>
              <w:t>120</w:t>
            </w:r>
          </w:p>
        </w:tc>
        <w:tc>
          <w:tcPr>
            <w:tcW w:type="dxa" w:w="2353"/>
            <w:vAlign w:val="center"/>
          </w:tcPr>
          <w:p>
            <w:pPr>
              <w:spacing w:after="0" w:line="252" w:lineRule="auto"/>
              <w:jc w:val="left"/>
            </w:pPr>
            <w:r/>
            <w:r>
              <w:rPr>
                <w:rFonts w:ascii="Times New Roman" w:hAnsi="Times New Roman" w:eastAsia="SimSun"/>
                <w:b w:val="0"/>
                <w:sz w:val="17"/>
              </w:rPr>
              <w:t>多约束、含生物原型的方案推荐</w:t>
            </w:r>
          </w:p>
        </w:tc>
      </w:tr>
    </w:tbl>
    <w:p>
      <w:pPr>
        <w:pStyle w:val="62"/>
        <w:spacing w:before="120" w:after="60" w:line="264" w:lineRule="auto"/>
      </w:pPr>
      <w:r>
        <w:rPr>
          <w:rFonts w:ascii="Times New Roman" w:hAnsi="Times New Roman" w:eastAsia="SimSun"/>
          <w:b/>
          <w:sz w:val="22"/>
        </w:rPr>
        <w:t>5.2 对比方法与评价指标</w:t>
      </w:r>
    </w:p>
    <w:p>
      <w:pPr>
        <w:spacing w:after="60" w:line="276" w:lineRule="auto"/>
        <w:ind w:firstLine="420"/>
      </w:pPr>
      <w:r>
        <w:rPr>
          <w:rFonts w:ascii="Times New Roman" w:hAnsi="Times New Roman" w:eastAsia="SimSun"/>
          <w:sz w:val="21"/>
        </w:rPr>
        <w:t>实验拟比较 5 类系统，如表 4 所示。为避免 A1 定义类问题对通用大语言模型过于友好，主实验以 A2、A3、A4 为主要知识问答评测对象；B1、B2 用于方案推荐评测。所有系统使用相同大语言模型后端、相同测试题集和相同最大输出长度，以保证可比性。</w:t>
      </w:r>
    </w:p>
    <w:p>
      <w:pPr>
        <w:pStyle w:val="38"/>
        <w:spacing w:before="40" w:after="20" w:line="252" w:lineRule="auto"/>
        <w:jc w:val="center"/>
      </w:pPr>
      <w:r>
        <w:rPr>
          <w:rFonts w:ascii="Times New Roman" w:hAnsi="Times New Roman" w:eastAsia="SimSun"/>
          <w:sz w:val="18"/>
        </w:rPr>
        <w:t>表 4 对比系统设置</w:t>
      </w:r>
    </w:p>
    <w:p>
      <w:pPr>
        <w:pStyle w:val="40"/>
        <w:spacing w:before="40" w:after="20" w:line="252" w:lineRule="auto"/>
        <w:jc w:val="center"/>
      </w:pPr>
      <w:r>
        <w:rPr>
          <w:rFonts w:ascii="Times New Roman" w:hAnsi="Times New Roman" w:eastAsia="SimSun"/>
          <w:sz w:val="17"/>
        </w:rPr>
        <w:t>Table 4 Baseline systems and model variants</w:t>
      </w:r>
    </w:p>
    <w:tbl>
      <w:tblPr>
        <w:tblStyle w:val="29"/>
        <w:tblW w:type="auto" w:w="0"/>
        <w:jc w:val="center"/>
        <w:tblLayout w:type="autofit"/>
        <w:tblLook w:firstColumn="1" w:firstRow="1" w:lastColumn="0" w:lastRow="0" w:noHBand="0" w:noVBand="1" w:val="04A0"/>
      </w:tblPr>
      <w:tblGrid>
        <w:gridCol w:w="3138"/>
        <w:gridCol w:w="3138"/>
        <w:gridCol w:w="3138"/>
      </w:tblGrid>
      <w:tr>
        <w:tc>
          <w:tcPr>
            <w:tcW w:type="dxa" w:w="3138"/>
            <w:vAlign w:val="center"/>
          </w:tcPr>
          <w:p>
            <w:pPr>
              <w:spacing w:after="0" w:line="252" w:lineRule="auto"/>
              <w:jc w:val="center"/>
            </w:pPr>
            <w:r/>
            <w:r>
              <w:rPr>
                <w:rFonts w:ascii="Times New Roman" w:hAnsi="Times New Roman" w:eastAsia="SimSun"/>
                <w:b/>
                <w:sz w:val="17"/>
              </w:rPr>
              <w:t>系统</w:t>
            </w:r>
          </w:p>
        </w:tc>
        <w:tc>
          <w:tcPr>
            <w:tcW w:type="dxa" w:w="3138"/>
            <w:vAlign w:val="center"/>
          </w:tcPr>
          <w:p>
            <w:pPr>
              <w:spacing w:after="0" w:line="252" w:lineRule="auto"/>
              <w:jc w:val="center"/>
            </w:pPr>
            <w:r/>
            <w:r>
              <w:rPr>
                <w:rFonts w:ascii="Times New Roman" w:hAnsi="Times New Roman" w:eastAsia="SimSun"/>
                <w:b/>
                <w:sz w:val="17"/>
              </w:rPr>
              <w:t>主要机制</w:t>
            </w:r>
          </w:p>
        </w:tc>
        <w:tc>
          <w:tcPr>
            <w:tcW w:type="dxa" w:w="3138"/>
            <w:vAlign w:val="center"/>
          </w:tcPr>
          <w:p>
            <w:pPr>
              <w:spacing w:after="0" w:line="252" w:lineRule="auto"/>
              <w:jc w:val="center"/>
            </w:pPr>
            <w:r/>
            <w:r>
              <w:rPr>
                <w:rFonts w:ascii="Times New Roman" w:hAnsi="Times New Roman" w:eastAsia="SimSun"/>
                <w:b/>
                <w:sz w:val="17"/>
              </w:rPr>
              <w:t>作用</w:t>
            </w:r>
          </w:p>
        </w:tc>
      </w:tr>
      <w:tr>
        <w:tc>
          <w:tcPr>
            <w:tcW w:type="dxa" w:w="3138"/>
            <w:vAlign w:val="center"/>
          </w:tcPr>
          <w:p>
            <w:pPr>
              <w:spacing w:after="0" w:line="252" w:lineRule="auto"/>
              <w:jc w:val="left"/>
            </w:pPr>
            <w:r/>
            <w:r>
              <w:rPr>
                <w:rFonts w:ascii="Times New Roman" w:hAnsi="Times New Roman" w:eastAsia="SimSun"/>
                <w:b w:val="0"/>
                <w:sz w:val="17"/>
              </w:rPr>
              <w:t>Pure LLM</w:t>
            </w:r>
          </w:p>
        </w:tc>
        <w:tc>
          <w:tcPr>
            <w:tcW w:type="dxa" w:w="3138"/>
            <w:vAlign w:val="center"/>
          </w:tcPr>
          <w:p>
            <w:pPr>
              <w:spacing w:after="0" w:line="252" w:lineRule="auto"/>
              <w:jc w:val="left"/>
            </w:pPr>
            <w:r/>
            <w:r>
              <w:rPr>
                <w:rFonts w:ascii="Times New Roman" w:hAnsi="Times New Roman" w:eastAsia="SimSun"/>
                <w:b w:val="0"/>
                <w:sz w:val="17"/>
              </w:rPr>
              <w:t>仅使用大语言模型直接回答</w:t>
            </w:r>
          </w:p>
        </w:tc>
        <w:tc>
          <w:tcPr>
            <w:tcW w:type="dxa" w:w="3138"/>
            <w:vAlign w:val="center"/>
          </w:tcPr>
          <w:p>
            <w:pPr>
              <w:spacing w:after="0" w:line="252" w:lineRule="auto"/>
              <w:jc w:val="left"/>
            </w:pPr>
            <w:r/>
            <w:r>
              <w:rPr>
                <w:rFonts w:ascii="Times New Roman" w:hAnsi="Times New Roman" w:eastAsia="SimSun"/>
                <w:b w:val="0"/>
                <w:sz w:val="17"/>
              </w:rPr>
              <w:t>检验无外部知识条件下的基线能力</w:t>
            </w:r>
          </w:p>
        </w:tc>
      </w:tr>
      <w:tr>
        <w:tc>
          <w:tcPr>
            <w:tcW w:type="dxa" w:w="3138"/>
            <w:vAlign w:val="center"/>
          </w:tcPr>
          <w:p>
            <w:pPr>
              <w:spacing w:after="0" w:line="252" w:lineRule="auto"/>
              <w:jc w:val="left"/>
            </w:pPr>
            <w:r/>
            <w:r>
              <w:rPr>
                <w:rFonts w:ascii="Times New Roman" w:hAnsi="Times New Roman" w:eastAsia="SimSun"/>
                <w:b w:val="0"/>
                <w:sz w:val="17"/>
              </w:rPr>
              <w:t>VectorRAG</w:t>
            </w:r>
          </w:p>
        </w:tc>
        <w:tc>
          <w:tcPr>
            <w:tcW w:type="dxa" w:w="3138"/>
            <w:vAlign w:val="center"/>
          </w:tcPr>
          <w:p>
            <w:pPr>
              <w:spacing w:after="0" w:line="252" w:lineRule="auto"/>
              <w:jc w:val="left"/>
            </w:pPr>
            <w:r/>
            <w:r>
              <w:rPr>
                <w:rFonts w:ascii="Times New Roman" w:hAnsi="Times New Roman" w:eastAsia="SimSun"/>
                <w:b w:val="0"/>
                <w:sz w:val="17"/>
              </w:rPr>
              <w:t>将图谱展平为文本块后向量检索</w:t>
            </w:r>
          </w:p>
        </w:tc>
        <w:tc>
          <w:tcPr>
            <w:tcW w:type="dxa" w:w="3138"/>
            <w:vAlign w:val="center"/>
          </w:tcPr>
          <w:p>
            <w:pPr>
              <w:spacing w:after="0" w:line="252" w:lineRule="auto"/>
              <w:jc w:val="left"/>
            </w:pPr>
            <w:r/>
            <w:r>
              <w:rPr>
                <w:rFonts w:ascii="Times New Roman" w:hAnsi="Times New Roman" w:eastAsia="SimSun"/>
                <w:b w:val="0"/>
                <w:sz w:val="17"/>
              </w:rPr>
              <w:t>检验传统语义检索增强效果</w:t>
            </w:r>
          </w:p>
        </w:tc>
      </w:tr>
      <w:tr>
        <w:tc>
          <w:tcPr>
            <w:tcW w:type="dxa" w:w="3138"/>
            <w:vAlign w:val="center"/>
          </w:tcPr>
          <w:p>
            <w:pPr>
              <w:spacing w:after="0" w:line="252" w:lineRule="auto"/>
              <w:jc w:val="left"/>
            </w:pPr>
            <w:r/>
            <w:r>
              <w:rPr>
                <w:rFonts w:ascii="Times New Roman" w:hAnsi="Times New Roman" w:eastAsia="SimSun"/>
                <w:b w:val="0"/>
                <w:sz w:val="17"/>
              </w:rPr>
              <w:t>KG-RAG</w:t>
            </w:r>
          </w:p>
        </w:tc>
        <w:tc>
          <w:tcPr>
            <w:tcW w:type="dxa" w:w="3138"/>
            <w:vAlign w:val="center"/>
          </w:tcPr>
          <w:p>
            <w:pPr>
              <w:spacing w:after="0" w:line="252" w:lineRule="auto"/>
              <w:jc w:val="left"/>
            </w:pPr>
            <w:r/>
            <w:r>
              <w:rPr>
                <w:rFonts w:ascii="Times New Roman" w:hAnsi="Times New Roman" w:eastAsia="SimSun"/>
                <w:b w:val="0"/>
                <w:sz w:val="17"/>
              </w:rPr>
              <w:t>实体抽取后检索 1-2 跳图谱子图</w:t>
            </w:r>
          </w:p>
        </w:tc>
        <w:tc>
          <w:tcPr>
            <w:tcW w:type="dxa" w:w="3138"/>
            <w:vAlign w:val="center"/>
          </w:tcPr>
          <w:p>
            <w:pPr>
              <w:spacing w:after="0" w:line="252" w:lineRule="auto"/>
              <w:jc w:val="left"/>
            </w:pPr>
            <w:r/>
            <w:r>
              <w:rPr>
                <w:rFonts w:ascii="Times New Roman" w:hAnsi="Times New Roman" w:eastAsia="SimSun"/>
                <w:b w:val="0"/>
                <w:sz w:val="17"/>
              </w:rPr>
              <w:t>检验静态图谱证据注入效果</w:t>
            </w:r>
          </w:p>
        </w:tc>
      </w:tr>
      <w:tr>
        <w:tc>
          <w:tcPr>
            <w:tcW w:type="dxa" w:w="3138"/>
            <w:vAlign w:val="center"/>
          </w:tcPr>
          <w:p>
            <w:pPr>
              <w:spacing w:after="0" w:line="252" w:lineRule="auto"/>
              <w:jc w:val="left"/>
            </w:pPr>
            <w:r/>
            <w:r>
              <w:rPr>
                <w:rFonts w:ascii="Times New Roman" w:hAnsi="Times New Roman" w:eastAsia="SimSun"/>
                <w:b w:val="0"/>
                <w:sz w:val="17"/>
              </w:rPr>
              <w:t>ToG</w:t>
            </w:r>
          </w:p>
        </w:tc>
        <w:tc>
          <w:tcPr>
            <w:tcW w:type="dxa" w:w="3138"/>
            <w:vAlign w:val="center"/>
          </w:tcPr>
          <w:p>
            <w:pPr>
              <w:spacing w:after="0" w:line="252" w:lineRule="auto"/>
              <w:jc w:val="left"/>
            </w:pPr>
            <w:r/>
            <w:r>
              <w:rPr>
                <w:rFonts w:ascii="Times New Roman" w:hAnsi="Times New Roman" w:eastAsia="SimSun"/>
                <w:b w:val="0"/>
                <w:sz w:val="17"/>
              </w:rPr>
              <w:t>大语言模型在知识图谱上逐步探索关系</w:t>
            </w:r>
          </w:p>
        </w:tc>
        <w:tc>
          <w:tcPr>
            <w:tcW w:type="dxa" w:w="3138"/>
            <w:vAlign w:val="center"/>
          </w:tcPr>
          <w:p>
            <w:pPr>
              <w:spacing w:after="0" w:line="252" w:lineRule="auto"/>
              <w:jc w:val="left"/>
            </w:pPr>
            <w:r/>
            <w:r>
              <w:rPr>
                <w:rFonts w:ascii="Times New Roman" w:hAnsi="Times New Roman" w:eastAsia="SimSun"/>
                <w:b w:val="0"/>
                <w:sz w:val="17"/>
              </w:rPr>
              <w:t>检验无物理工具的图路径推理能力</w:t>
            </w:r>
          </w:p>
        </w:tc>
      </w:tr>
      <w:tr>
        <w:tc>
          <w:tcPr>
            <w:tcW w:type="dxa" w:w="3138"/>
            <w:vAlign w:val="center"/>
          </w:tcPr>
          <w:p>
            <w:pPr>
              <w:spacing w:after="0" w:line="252" w:lineRule="auto"/>
              <w:jc w:val="left"/>
            </w:pPr>
            <w:r/>
            <w:r>
              <w:rPr>
                <w:rFonts w:ascii="Times New Roman" w:hAnsi="Times New Roman" w:eastAsia="SimSun"/>
                <w:b w:val="0"/>
                <w:sz w:val="17"/>
              </w:rPr>
              <w:t>BioBridge-GraphRAG</w:t>
            </w:r>
          </w:p>
        </w:tc>
        <w:tc>
          <w:tcPr>
            <w:tcW w:type="dxa" w:w="3138"/>
            <w:vAlign w:val="center"/>
          </w:tcPr>
          <w:p>
            <w:pPr>
              <w:spacing w:after="0" w:line="252" w:lineRule="auto"/>
              <w:jc w:val="left"/>
            </w:pPr>
            <w:r/>
            <w:r>
              <w:rPr>
                <w:rFonts w:ascii="Times New Roman" w:hAnsi="Times New Roman" w:eastAsia="SimSun"/>
                <w:b w:val="0"/>
                <w:sz w:val="17"/>
              </w:rPr>
              <w:t>双层图谱、物理工具、张量召回和 ReAct 推理</w:t>
            </w:r>
          </w:p>
        </w:tc>
        <w:tc>
          <w:tcPr>
            <w:tcW w:type="dxa" w:w="3138"/>
            <w:vAlign w:val="center"/>
          </w:tcPr>
          <w:p>
            <w:pPr>
              <w:spacing w:after="0" w:line="252" w:lineRule="auto"/>
              <w:jc w:val="left"/>
            </w:pPr>
            <w:r/>
            <w:r>
              <w:rPr>
                <w:rFonts w:ascii="Times New Roman" w:hAnsi="Times New Roman" w:eastAsia="SimSun"/>
                <w:b w:val="0"/>
                <w:sz w:val="17"/>
              </w:rPr>
              <w:t>检验完整方法效果</w:t>
            </w:r>
          </w:p>
        </w:tc>
      </w:tr>
    </w:tbl>
    <w:p>
      <w:pPr>
        <w:spacing w:after="60" w:line="276" w:lineRule="auto"/>
        <w:ind w:firstLine="420"/>
      </w:pPr>
      <w:r>
        <w:rPr>
          <w:rFonts w:ascii="Times New Roman" w:hAnsi="Times New Roman" w:eastAsia="SimSun"/>
          <w:sz w:val="21"/>
        </w:rPr>
        <w:t>A 类知识问答采用 3 类指标：A2 属性准确率、A3 对比完整度和 A4 推理有效性。属性准确率关注答案中实体—属性—数值三元组是否与参考答案一致；对比完整度关注对比实体、维度和数值是否覆盖；推理有效性关注核心结论是否正确以及证据实体是否充分。B 类方案推荐采用 NDCG@3 和约束满足率（Constraint Satisfaction Rate, CSR）评价。NDCG@3 衡量推荐列表与金推荐列表的排序一致性；CSR 衡量推荐样机是否满足任务中可形式化表达的硬约束。系统效率以平均时延、平均工具调用次数和平均推理轮数衡量。</w:t>
      </w:r>
    </w:p>
    <w:p>
      <w:pPr>
        <w:pStyle w:val="62"/>
        <w:spacing w:before="120" w:after="60" w:line="264" w:lineRule="auto"/>
      </w:pPr>
      <w:r>
        <w:rPr>
          <w:rFonts w:ascii="Times New Roman" w:hAnsi="Times New Roman" w:eastAsia="SimSun"/>
          <w:b/>
          <w:sz w:val="22"/>
        </w:rPr>
        <w:t>5.3 主实验与消融实验填报表</w:t>
      </w:r>
    </w:p>
    <w:p>
      <w:pPr>
        <w:spacing w:after="60" w:line="276" w:lineRule="auto"/>
        <w:ind w:firstLine="420"/>
      </w:pPr>
      <w:r>
        <w:rPr>
          <w:rFonts w:ascii="Times New Roman" w:hAnsi="Times New Roman" w:eastAsia="SimSun"/>
          <w:sz w:val="21"/>
        </w:rPr>
        <w:t>完整实验完成后，应将主实验结果填入表 5 和表 6。表中数值建议保留 3 位小数，并在正文中围绕“整体效果”“A4 多跳推理”“推荐约束满足”“效率代价”4 个角度分析。为避免预实验结果与最终主实验混用，本文不将未完整覆盖全部系统和全部题型的中间结果作为性能结论。</w:t>
      </w:r>
    </w:p>
    <w:p>
      <w:pPr>
        <w:pStyle w:val="38"/>
        <w:spacing w:before="40" w:after="20" w:line="252" w:lineRule="auto"/>
        <w:jc w:val="center"/>
      </w:pPr>
      <w:r>
        <w:rPr>
          <w:rFonts w:ascii="Times New Roman" w:hAnsi="Times New Roman" w:eastAsia="SimSun"/>
          <w:sz w:val="18"/>
        </w:rPr>
        <w:t>表 5 A 类知识问答主实验结果</w:t>
      </w:r>
    </w:p>
    <w:p>
      <w:pPr>
        <w:pStyle w:val="40"/>
        <w:spacing w:before="40" w:after="20" w:line="252" w:lineRule="auto"/>
        <w:jc w:val="center"/>
      </w:pPr>
      <w:r>
        <w:rPr>
          <w:rFonts w:ascii="Times New Roman" w:hAnsi="Times New Roman" w:eastAsia="SimSun"/>
          <w:sz w:val="17"/>
        </w:rPr>
        <w:t>Table 5 Main results on knowledge-query tasks</w:t>
      </w:r>
    </w:p>
    <w:tbl>
      <w:tblPr>
        <w:tblStyle w:val="29"/>
        <w:tblW w:type="auto" w:w="0"/>
        <w:jc w:val="center"/>
        <w:tblLayout w:type="autofit"/>
        <w:tblLook w:firstColumn="1" w:firstRow="1" w:lastColumn="0" w:lastRow="0" w:noHBand="0" w:noVBand="1" w:val="04A0"/>
      </w:tblPr>
      <w:tblGrid>
        <w:gridCol w:w="1883"/>
        <w:gridCol w:w="1883"/>
        <w:gridCol w:w="1883"/>
        <w:gridCol w:w="1883"/>
        <w:gridCol w:w="1883"/>
      </w:tblGrid>
      <w:tr>
        <w:tc>
          <w:tcPr>
            <w:tcW w:type="dxa" w:w="1883"/>
            <w:vAlign w:val="center"/>
          </w:tcPr>
          <w:p>
            <w:pPr>
              <w:spacing w:after="0" w:line="252" w:lineRule="auto"/>
              <w:jc w:val="center"/>
            </w:pPr>
            <w:r/>
            <w:r>
              <w:rPr>
                <w:rFonts w:ascii="Times New Roman" w:hAnsi="Times New Roman" w:eastAsia="SimSun"/>
                <w:b/>
                <w:sz w:val="15"/>
              </w:rPr>
              <w:t>系统</w:t>
            </w:r>
          </w:p>
        </w:tc>
        <w:tc>
          <w:tcPr>
            <w:tcW w:type="dxa" w:w="1883"/>
            <w:vAlign w:val="center"/>
          </w:tcPr>
          <w:p>
            <w:pPr>
              <w:spacing w:after="0" w:line="252" w:lineRule="auto"/>
              <w:jc w:val="center"/>
            </w:pPr>
            <w:r/>
            <w:r>
              <w:rPr>
                <w:rFonts w:ascii="Times New Roman" w:hAnsi="Times New Roman" w:eastAsia="SimSun"/>
                <w:b/>
                <w:sz w:val="15"/>
              </w:rPr>
              <w:t>A2 属性准确率 ↑</w:t>
            </w:r>
          </w:p>
        </w:tc>
        <w:tc>
          <w:tcPr>
            <w:tcW w:type="dxa" w:w="1883"/>
            <w:vAlign w:val="center"/>
          </w:tcPr>
          <w:p>
            <w:pPr>
              <w:spacing w:after="0" w:line="252" w:lineRule="auto"/>
              <w:jc w:val="center"/>
            </w:pPr>
            <w:r/>
            <w:r>
              <w:rPr>
                <w:rFonts w:ascii="Times New Roman" w:hAnsi="Times New Roman" w:eastAsia="SimSun"/>
                <w:b/>
                <w:sz w:val="15"/>
              </w:rPr>
              <w:t>A3 对比完整度 ↑</w:t>
            </w:r>
          </w:p>
        </w:tc>
        <w:tc>
          <w:tcPr>
            <w:tcW w:type="dxa" w:w="1883"/>
            <w:vAlign w:val="center"/>
          </w:tcPr>
          <w:p>
            <w:pPr>
              <w:spacing w:after="0" w:line="252" w:lineRule="auto"/>
              <w:jc w:val="center"/>
            </w:pPr>
            <w:r/>
            <w:r>
              <w:rPr>
                <w:rFonts w:ascii="Times New Roman" w:hAnsi="Times New Roman" w:eastAsia="SimSun"/>
                <w:b/>
                <w:sz w:val="15"/>
              </w:rPr>
              <w:t>A4 推理有效性 ↑</w:t>
            </w:r>
          </w:p>
        </w:tc>
        <w:tc>
          <w:tcPr>
            <w:tcW w:type="dxa" w:w="1883"/>
            <w:vAlign w:val="center"/>
          </w:tcPr>
          <w:p>
            <w:pPr>
              <w:spacing w:after="0" w:line="252" w:lineRule="auto"/>
              <w:jc w:val="center"/>
            </w:pPr>
            <w:r/>
            <w:r>
              <w:rPr>
                <w:rFonts w:ascii="Times New Roman" w:hAnsi="Times New Roman" w:eastAsia="SimSun"/>
                <w:b/>
                <w:sz w:val="15"/>
              </w:rPr>
              <w:t>平均时延/s ↓</w:t>
            </w:r>
          </w:p>
        </w:tc>
      </w:tr>
      <w:tr>
        <w:tc>
          <w:tcPr>
            <w:tcW w:type="dxa" w:w="1883"/>
            <w:vAlign w:val="center"/>
          </w:tcPr>
          <w:p>
            <w:pPr>
              <w:spacing w:after="0" w:line="252" w:lineRule="auto"/>
              <w:jc w:val="left"/>
            </w:pPr>
            <w:r/>
            <w:r>
              <w:rPr>
                <w:rFonts w:ascii="Times New Roman" w:hAnsi="Times New Roman" w:eastAsia="SimSun"/>
                <w:b w:val="0"/>
                <w:sz w:val="15"/>
              </w:rPr>
              <w:t>Pure LLM</w:t>
            </w:r>
          </w:p>
        </w:tc>
        <w:tc>
          <w:tcPr>
            <w:tcW w:type="dxa" w:w="1883"/>
            <w:vAlign w:val="center"/>
          </w:tcPr>
          <w:p>
            <w:pPr>
              <w:spacing w:after="0" w:line="252" w:lineRule="auto"/>
              <w:jc w:val="center"/>
            </w:pPr>
            <w:r/>
            <w:r>
              <w:rPr>
                <w:rFonts w:ascii="Times New Roman" w:hAnsi="Times New Roman" w:eastAsia="SimSun"/>
                <w:b w:val="0"/>
                <w:sz w:val="15"/>
              </w:rPr>
              <w:t>待填</w:t>
            </w:r>
          </w:p>
        </w:tc>
        <w:tc>
          <w:tcPr>
            <w:tcW w:type="dxa" w:w="1883"/>
            <w:vAlign w:val="center"/>
          </w:tcPr>
          <w:p>
            <w:pPr>
              <w:spacing w:after="0" w:line="252" w:lineRule="auto"/>
              <w:jc w:val="center"/>
            </w:pPr>
            <w:r/>
            <w:r>
              <w:rPr>
                <w:rFonts w:ascii="Times New Roman" w:hAnsi="Times New Roman" w:eastAsia="SimSun"/>
                <w:b w:val="0"/>
                <w:sz w:val="15"/>
              </w:rPr>
              <w:t>待填</w:t>
            </w:r>
          </w:p>
        </w:tc>
        <w:tc>
          <w:tcPr>
            <w:tcW w:type="dxa" w:w="1883"/>
            <w:vAlign w:val="center"/>
          </w:tcPr>
          <w:p>
            <w:pPr>
              <w:spacing w:after="0" w:line="252" w:lineRule="auto"/>
              <w:jc w:val="center"/>
            </w:pPr>
            <w:r/>
            <w:r>
              <w:rPr>
                <w:rFonts w:ascii="Times New Roman" w:hAnsi="Times New Roman" w:eastAsia="SimSun"/>
                <w:b w:val="0"/>
                <w:sz w:val="15"/>
              </w:rPr>
              <w:t>待填</w:t>
            </w:r>
          </w:p>
        </w:tc>
        <w:tc>
          <w:tcPr>
            <w:tcW w:type="dxa" w:w="1883"/>
            <w:vAlign w:val="center"/>
          </w:tcPr>
          <w:p>
            <w:pPr>
              <w:spacing w:after="0" w:line="252" w:lineRule="auto"/>
              <w:jc w:val="center"/>
            </w:pPr>
            <w:r/>
            <w:r>
              <w:rPr>
                <w:rFonts w:ascii="Times New Roman" w:hAnsi="Times New Roman" w:eastAsia="SimSun"/>
                <w:b w:val="0"/>
                <w:sz w:val="15"/>
              </w:rPr>
              <w:t>待填</w:t>
            </w:r>
          </w:p>
        </w:tc>
      </w:tr>
      <w:tr>
        <w:tc>
          <w:tcPr>
            <w:tcW w:type="dxa" w:w="1883"/>
            <w:vAlign w:val="center"/>
          </w:tcPr>
          <w:p>
            <w:pPr>
              <w:spacing w:after="0" w:line="252" w:lineRule="auto"/>
              <w:jc w:val="left"/>
            </w:pPr>
            <w:r/>
            <w:r>
              <w:rPr>
                <w:rFonts w:ascii="Times New Roman" w:hAnsi="Times New Roman" w:eastAsia="SimSun"/>
                <w:b w:val="0"/>
                <w:sz w:val="15"/>
              </w:rPr>
              <w:t>VectorRAG</w:t>
            </w:r>
          </w:p>
        </w:tc>
        <w:tc>
          <w:tcPr>
            <w:tcW w:type="dxa" w:w="1883"/>
            <w:vAlign w:val="center"/>
          </w:tcPr>
          <w:p>
            <w:pPr>
              <w:spacing w:after="0" w:line="252" w:lineRule="auto"/>
              <w:jc w:val="center"/>
            </w:pPr>
            <w:r/>
            <w:r>
              <w:rPr>
                <w:rFonts w:ascii="Times New Roman" w:hAnsi="Times New Roman" w:eastAsia="SimSun"/>
                <w:b w:val="0"/>
                <w:sz w:val="15"/>
              </w:rPr>
              <w:t>待填</w:t>
            </w:r>
          </w:p>
        </w:tc>
        <w:tc>
          <w:tcPr>
            <w:tcW w:type="dxa" w:w="1883"/>
            <w:vAlign w:val="center"/>
          </w:tcPr>
          <w:p>
            <w:pPr>
              <w:spacing w:after="0" w:line="252" w:lineRule="auto"/>
              <w:jc w:val="center"/>
            </w:pPr>
            <w:r/>
            <w:r>
              <w:rPr>
                <w:rFonts w:ascii="Times New Roman" w:hAnsi="Times New Roman" w:eastAsia="SimSun"/>
                <w:b w:val="0"/>
                <w:sz w:val="15"/>
              </w:rPr>
              <w:t>待填</w:t>
            </w:r>
          </w:p>
        </w:tc>
        <w:tc>
          <w:tcPr>
            <w:tcW w:type="dxa" w:w="1883"/>
            <w:vAlign w:val="center"/>
          </w:tcPr>
          <w:p>
            <w:pPr>
              <w:spacing w:after="0" w:line="252" w:lineRule="auto"/>
              <w:jc w:val="center"/>
            </w:pPr>
            <w:r/>
            <w:r>
              <w:rPr>
                <w:rFonts w:ascii="Times New Roman" w:hAnsi="Times New Roman" w:eastAsia="SimSun"/>
                <w:b w:val="0"/>
                <w:sz w:val="15"/>
              </w:rPr>
              <w:t>待填</w:t>
            </w:r>
          </w:p>
        </w:tc>
        <w:tc>
          <w:tcPr>
            <w:tcW w:type="dxa" w:w="1883"/>
            <w:vAlign w:val="center"/>
          </w:tcPr>
          <w:p>
            <w:pPr>
              <w:spacing w:after="0" w:line="252" w:lineRule="auto"/>
              <w:jc w:val="center"/>
            </w:pPr>
            <w:r/>
            <w:r>
              <w:rPr>
                <w:rFonts w:ascii="Times New Roman" w:hAnsi="Times New Roman" w:eastAsia="SimSun"/>
                <w:b w:val="0"/>
                <w:sz w:val="15"/>
              </w:rPr>
              <w:t>待填</w:t>
            </w:r>
          </w:p>
        </w:tc>
      </w:tr>
      <w:tr>
        <w:tc>
          <w:tcPr>
            <w:tcW w:type="dxa" w:w="1883"/>
            <w:vAlign w:val="center"/>
          </w:tcPr>
          <w:p>
            <w:pPr>
              <w:spacing w:after="0" w:line="252" w:lineRule="auto"/>
              <w:jc w:val="left"/>
            </w:pPr>
            <w:r/>
            <w:r>
              <w:rPr>
                <w:rFonts w:ascii="Times New Roman" w:hAnsi="Times New Roman" w:eastAsia="SimSun"/>
                <w:b w:val="0"/>
                <w:sz w:val="15"/>
              </w:rPr>
              <w:t>KG-RAG</w:t>
            </w:r>
          </w:p>
        </w:tc>
        <w:tc>
          <w:tcPr>
            <w:tcW w:type="dxa" w:w="1883"/>
            <w:vAlign w:val="center"/>
          </w:tcPr>
          <w:p>
            <w:pPr>
              <w:spacing w:after="0" w:line="252" w:lineRule="auto"/>
              <w:jc w:val="center"/>
            </w:pPr>
            <w:r/>
            <w:r>
              <w:rPr>
                <w:rFonts w:ascii="Times New Roman" w:hAnsi="Times New Roman" w:eastAsia="SimSun"/>
                <w:b w:val="0"/>
                <w:sz w:val="15"/>
              </w:rPr>
              <w:t>待填</w:t>
            </w:r>
          </w:p>
        </w:tc>
        <w:tc>
          <w:tcPr>
            <w:tcW w:type="dxa" w:w="1883"/>
            <w:vAlign w:val="center"/>
          </w:tcPr>
          <w:p>
            <w:pPr>
              <w:spacing w:after="0" w:line="252" w:lineRule="auto"/>
              <w:jc w:val="center"/>
            </w:pPr>
            <w:r/>
            <w:r>
              <w:rPr>
                <w:rFonts w:ascii="Times New Roman" w:hAnsi="Times New Roman" w:eastAsia="SimSun"/>
                <w:b w:val="0"/>
                <w:sz w:val="15"/>
              </w:rPr>
              <w:t>待填</w:t>
            </w:r>
          </w:p>
        </w:tc>
        <w:tc>
          <w:tcPr>
            <w:tcW w:type="dxa" w:w="1883"/>
            <w:vAlign w:val="center"/>
          </w:tcPr>
          <w:p>
            <w:pPr>
              <w:spacing w:after="0" w:line="252" w:lineRule="auto"/>
              <w:jc w:val="center"/>
            </w:pPr>
            <w:r/>
            <w:r>
              <w:rPr>
                <w:rFonts w:ascii="Times New Roman" w:hAnsi="Times New Roman" w:eastAsia="SimSun"/>
                <w:b w:val="0"/>
                <w:sz w:val="15"/>
              </w:rPr>
              <w:t>待填</w:t>
            </w:r>
          </w:p>
        </w:tc>
        <w:tc>
          <w:tcPr>
            <w:tcW w:type="dxa" w:w="1883"/>
            <w:vAlign w:val="center"/>
          </w:tcPr>
          <w:p>
            <w:pPr>
              <w:spacing w:after="0" w:line="252" w:lineRule="auto"/>
              <w:jc w:val="center"/>
            </w:pPr>
            <w:r/>
            <w:r>
              <w:rPr>
                <w:rFonts w:ascii="Times New Roman" w:hAnsi="Times New Roman" w:eastAsia="SimSun"/>
                <w:b w:val="0"/>
                <w:sz w:val="15"/>
              </w:rPr>
              <w:t>待填</w:t>
            </w:r>
          </w:p>
        </w:tc>
      </w:tr>
      <w:tr>
        <w:tc>
          <w:tcPr>
            <w:tcW w:type="dxa" w:w="1883"/>
            <w:vAlign w:val="center"/>
          </w:tcPr>
          <w:p>
            <w:pPr>
              <w:spacing w:after="0" w:line="252" w:lineRule="auto"/>
              <w:jc w:val="left"/>
            </w:pPr>
            <w:r/>
            <w:r>
              <w:rPr>
                <w:rFonts w:ascii="Times New Roman" w:hAnsi="Times New Roman" w:eastAsia="SimSun"/>
                <w:b w:val="0"/>
                <w:sz w:val="15"/>
              </w:rPr>
              <w:t>ToG</w:t>
            </w:r>
          </w:p>
        </w:tc>
        <w:tc>
          <w:tcPr>
            <w:tcW w:type="dxa" w:w="1883"/>
            <w:vAlign w:val="center"/>
          </w:tcPr>
          <w:p>
            <w:pPr>
              <w:spacing w:after="0" w:line="252" w:lineRule="auto"/>
              <w:jc w:val="center"/>
            </w:pPr>
            <w:r/>
            <w:r>
              <w:rPr>
                <w:rFonts w:ascii="Times New Roman" w:hAnsi="Times New Roman" w:eastAsia="SimSun"/>
                <w:b w:val="0"/>
                <w:sz w:val="15"/>
              </w:rPr>
              <w:t>待填</w:t>
            </w:r>
          </w:p>
        </w:tc>
        <w:tc>
          <w:tcPr>
            <w:tcW w:type="dxa" w:w="1883"/>
            <w:vAlign w:val="center"/>
          </w:tcPr>
          <w:p>
            <w:pPr>
              <w:spacing w:after="0" w:line="252" w:lineRule="auto"/>
              <w:jc w:val="center"/>
            </w:pPr>
            <w:r/>
            <w:r>
              <w:rPr>
                <w:rFonts w:ascii="Times New Roman" w:hAnsi="Times New Roman" w:eastAsia="SimSun"/>
                <w:b w:val="0"/>
                <w:sz w:val="15"/>
              </w:rPr>
              <w:t>待填</w:t>
            </w:r>
          </w:p>
        </w:tc>
        <w:tc>
          <w:tcPr>
            <w:tcW w:type="dxa" w:w="1883"/>
            <w:vAlign w:val="center"/>
          </w:tcPr>
          <w:p>
            <w:pPr>
              <w:spacing w:after="0" w:line="252" w:lineRule="auto"/>
              <w:jc w:val="center"/>
            </w:pPr>
            <w:r/>
            <w:r>
              <w:rPr>
                <w:rFonts w:ascii="Times New Roman" w:hAnsi="Times New Roman" w:eastAsia="SimSun"/>
                <w:b w:val="0"/>
                <w:sz w:val="15"/>
              </w:rPr>
              <w:t>待填</w:t>
            </w:r>
          </w:p>
        </w:tc>
        <w:tc>
          <w:tcPr>
            <w:tcW w:type="dxa" w:w="1883"/>
            <w:vAlign w:val="center"/>
          </w:tcPr>
          <w:p>
            <w:pPr>
              <w:spacing w:after="0" w:line="252" w:lineRule="auto"/>
              <w:jc w:val="center"/>
            </w:pPr>
            <w:r/>
            <w:r>
              <w:rPr>
                <w:rFonts w:ascii="Times New Roman" w:hAnsi="Times New Roman" w:eastAsia="SimSun"/>
                <w:b w:val="0"/>
                <w:sz w:val="15"/>
              </w:rPr>
              <w:t>待填</w:t>
            </w:r>
          </w:p>
        </w:tc>
      </w:tr>
      <w:tr>
        <w:tc>
          <w:tcPr>
            <w:tcW w:type="dxa" w:w="1883"/>
            <w:vAlign w:val="center"/>
          </w:tcPr>
          <w:p>
            <w:pPr>
              <w:spacing w:after="0" w:line="252" w:lineRule="auto"/>
              <w:jc w:val="left"/>
            </w:pPr>
            <w:r/>
            <w:r>
              <w:rPr>
                <w:rFonts w:ascii="Times New Roman" w:hAnsi="Times New Roman" w:eastAsia="SimSun"/>
                <w:b w:val="0"/>
                <w:sz w:val="15"/>
              </w:rPr>
              <w:t>BioBridge-GraphRAG</w:t>
            </w:r>
          </w:p>
        </w:tc>
        <w:tc>
          <w:tcPr>
            <w:tcW w:type="dxa" w:w="1883"/>
            <w:vAlign w:val="center"/>
          </w:tcPr>
          <w:p>
            <w:pPr>
              <w:spacing w:after="0" w:line="252" w:lineRule="auto"/>
              <w:jc w:val="center"/>
            </w:pPr>
            <w:r/>
            <w:r>
              <w:rPr>
                <w:rFonts w:ascii="Times New Roman" w:hAnsi="Times New Roman" w:eastAsia="SimSun"/>
                <w:b w:val="0"/>
                <w:sz w:val="15"/>
              </w:rPr>
              <w:t>待填</w:t>
            </w:r>
          </w:p>
        </w:tc>
        <w:tc>
          <w:tcPr>
            <w:tcW w:type="dxa" w:w="1883"/>
            <w:vAlign w:val="center"/>
          </w:tcPr>
          <w:p>
            <w:pPr>
              <w:spacing w:after="0" w:line="252" w:lineRule="auto"/>
              <w:jc w:val="center"/>
            </w:pPr>
            <w:r/>
            <w:r>
              <w:rPr>
                <w:rFonts w:ascii="Times New Roman" w:hAnsi="Times New Roman" w:eastAsia="SimSun"/>
                <w:b w:val="0"/>
                <w:sz w:val="15"/>
              </w:rPr>
              <w:t>待填</w:t>
            </w:r>
          </w:p>
        </w:tc>
        <w:tc>
          <w:tcPr>
            <w:tcW w:type="dxa" w:w="1883"/>
            <w:vAlign w:val="center"/>
          </w:tcPr>
          <w:p>
            <w:pPr>
              <w:spacing w:after="0" w:line="252" w:lineRule="auto"/>
              <w:jc w:val="center"/>
            </w:pPr>
            <w:r/>
            <w:r>
              <w:rPr>
                <w:rFonts w:ascii="Times New Roman" w:hAnsi="Times New Roman" w:eastAsia="SimSun"/>
                <w:b w:val="0"/>
                <w:sz w:val="15"/>
              </w:rPr>
              <w:t>待填</w:t>
            </w:r>
          </w:p>
        </w:tc>
        <w:tc>
          <w:tcPr>
            <w:tcW w:type="dxa" w:w="1883"/>
            <w:vAlign w:val="center"/>
          </w:tcPr>
          <w:p>
            <w:pPr>
              <w:spacing w:after="0" w:line="252" w:lineRule="auto"/>
              <w:jc w:val="center"/>
            </w:pPr>
            <w:r/>
            <w:r>
              <w:rPr>
                <w:rFonts w:ascii="Times New Roman" w:hAnsi="Times New Roman" w:eastAsia="SimSun"/>
                <w:b w:val="0"/>
                <w:sz w:val="15"/>
              </w:rPr>
              <w:t>待填</w:t>
            </w:r>
          </w:p>
        </w:tc>
      </w:tr>
    </w:tbl>
    <w:p>
      <w:pPr>
        <w:pStyle w:val="38"/>
        <w:spacing w:before="40" w:after="20" w:line="252" w:lineRule="auto"/>
        <w:jc w:val="center"/>
      </w:pPr>
      <w:r>
        <w:rPr>
          <w:rFonts w:ascii="Times New Roman" w:hAnsi="Times New Roman" w:eastAsia="SimSun"/>
          <w:sz w:val="18"/>
        </w:rPr>
        <w:t>表 6 B 类方案推荐主实验结果</w:t>
      </w:r>
    </w:p>
    <w:p>
      <w:pPr>
        <w:pStyle w:val="40"/>
        <w:spacing w:before="40" w:after="20" w:line="252" w:lineRule="auto"/>
        <w:jc w:val="center"/>
      </w:pPr>
      <w:r>
        <w:rPr>
          <w:rFonts w:ascii="Times New Roman" w:hAnsi="Times New Roman" w:eastAsia="SimSun"/>
          <w:sz w:val="17"/>
        </w:rPr>
        <w:t>Table 6 Main results on design-recommendation tasks</w:t>
      </w:r>
    </w:p>
    <w:tbl>
      <w:tblPr>
        <w:tblStyle w:val="29"/>
        <w:tblW w:type="auto" w:w="0"/>
        <w:jc w:val="center"/>
        <w:tblLayout w:type="autofit"/>
        <w:tblLook w:firstColumn="1" w:firstRow="1" w:lastColumn="0" w:lastRow="0" w:noHBand="0" w:noVBand="1" w:val="04A0"/>
      </w:tblPr>
      <w:tblGrid>
        <w:gridCol w:w="1883"/>
        <w:gridCol w:w="1883"/>
        <w:gridCol w:w="1883"/>
        <w:gridCol w:w="1883"/>
        <w:gridCol w:w="1883"/>
      </w:tblGrid>
      <w:tr>
        <w:tc>
          <w:tcPr>
            <w:tcW w:type="dxa" w:w="1883"/>
            <w:vAlign w:val="center"/>
          </w:tcPr>
          <w:p>
            <w:pPr>
              <w:spacing w:after="0" w:line="252" w:lineRule="auto"/>
              <w:jc w:val="center"/>
            </w:pPr>
            <w:r/>
            <w:r>
              <w:rPr>
                <w:rFonts w:ascii="Times New Roman" w:hAnsi="Times New Roman" w:eastAsia="SimSun"/>
                <w:b/>
                <w:sz w:val="15"/>
              </w:rPr>
              <w:t>系统</w:t>
            </w:r>
          </w:p>
        </w:tc>
        <w:tc>
          <w:tcPr>
            <w:tcW w:type="dxa" w:w="1883"/>
            <w:vAlign w:val="center"/>
          </w:tcPr>
          <w:p>
            <w:pPr>
              <w:spacing w:after="0" w:line="252" w:lineRule="auto"/>
              <w:jc w:val="center"/>
            </w:pPr>
            <w:r/>
            <w:r>
              <w:rPr>
                <w:rFonts w:ascii="Times New Roman" w:hAnsi="Times New Roman" w:eastAsia="SimSun"/>
                <w:b/>
                <w:sz w:val="15"/>
              </w:rPr>
              <w:t>NDCG@3 ↑</w:t>
            </w:r>
          </w:p>
        </w:tc>
        <w:tc>
          <w:tcPr>
            <w:tcW w:type="dxa" w:w="1883"/>
            <w:vAlign w:val="center"/>
          </w:tcPr>
          <w:p>
            <w:pPr>
              <w:spacing w:after="0" w:line="252" w:lineRule="auto"/>
              <w:jc w:val="center"/>
            </w:pPr>
            <w:r/>
            <w:r>
              <w:rPr>
                <w:rFonts w:ascii="Times New Roman" w:hAnsi="Times New Roman" w:eastAsia="SimSun"/>
                <w:b/>
                <w:sz w:val="15"/>
              </w:rPr>
              <w:t>CSR@3 ↑</w:t>
            </w:r>
          </w:p>
        </w:tc>
        <w:tc>
          <w:tcPr>
            <w:tcW w:type="dxa" w:w="1883"/>
            <w:vAlign w:val="center"/>
          </w:tcPr>
          <w:p>
            <w:pPr>
              <w:spacing w:after="0" w:line="252" w:lineRule="auto"/>
              <w:jc w:val="center"/>
            </w:pPr>
            <w:r/>
            <w:r>
              <w:rPr>
                <w:rFonts w:ascii="Times New Roman" w:hAnsi="Times New Roman" w:eastAsia="SimSun"/>
                <w:b/>
                <w:sz w:val="15"/>
              </w:rPr>
              <w:t>平均工具调用次数 ↓</w:t>
            </w:r>
          </w:p>
        </w:tc>
        <w:tc>
          <w:tcPr>
            <w:tcW w:type="dxa" w:w="1883"/>
            <w:vAlign w:val="center"/>
          </w:tcPr>
          <w:p>
            <w:pPr>
              <w:spacing w:after="0" w:line="252" w:lineRule="auto"/>
              <w:jc w:val="center"/>
            </w:pPr>
            <w:r/>
            <w:r>
              <w:rPr>
                <w:rFonts w:ascii="Times New Roman" w:hAnsi="Times New Roman" w:eastAsia="SimSun"/>
                <w:b/>
                <w:sz w:val="15"/>
              </w:rPr>
              <w:t>平均时延/s ↓</w:t>
            </w:r>
          </w:p>
        </w:tc>
      </w:tr>
      <w:tr>
        <w:tc>
          <w:tcPr>
            <w:tcW w:type="dxa" w:w="1883"/>
            <w:vAlign w:val="center"/>
          </w:tcPr>
          <w:p>
            <w:pPr>
              <w:spacing w:after="0" w:line="252" w:lineRule="auto"/>
              <w:jc w:val="left"/>
            </w:pPr>
            <w:r/>
            <w:r>
              <w:rPr>
                <w:rFonts w:ascii="Times New Roman" w:hAnsi="Times New Roman" w:eastAsia="SimSun"/>
                <w:b w:val="0"/>
                <w:sz w:val="15"/>
              </w:rPr>
              <w:t>Pure LLM</w:t>
            </w:r>
          </w:p>
        </w:tc>
        <w:tc>
          <w:tcPr>
            <w:tcW w:type="dxa" w:w="1883"/>
            <w:vAlign w:val="center"/>
          </w:tcPr>
          <w:p>
            <w:pPr>
              <w:spacing w:after="0" w:line="252" w:lineRule="auto"/>
              <w:jc w:val="center"/>
            </w:pPr>
            <w:r/>
            <w:r>
              <w:rPr>
                <w:rFonts w:ascii="Times New Roman" w:hAnsi="Times New Roman" w:eastAsia="SimSun"/>
                <w:b w:val="0"/>
                <w:sz w:val="15"/>
              </w:rPr>
              <w:t>待填</w:t>
            </w:r>
          </w:p>
        </w:tc>
        <w:tc>
          <w:tcPr>
            <w:tcW w:type="dxa" w:w="1883"/>
            <w:vAlign w:val="center"/>
          </w:tcPr>
          <w:p>
            <w:pPr>
              <w:spacing w:after="0" w:line="252" w:lineRule="auto"/>
              <w:jc w:val="center"/>
            </w:pPr>
            <w:r/>
            <w:r>
              <w:rPr>
                <w:rFonts w:ascii="Times New Roman" w:hAnsi="Times New Roman" w:eastAsia="SimSun"/>
                <w:b w:val="0"/>
                <w:sz w:val="15"/>
              </w:rPr>
              <w:t>待填</w:t>
            </w:r>
          </w:p>
        </w:tc>
        <w:tc>
          <w:tcPr>
            <w:tcW w:type="dxa" w:w="1883"/>
            <w:vAlign w:val="center"/>
          </w:tcPr>
          <w:p>
            <w:pPr>
              <w:spacing w:after="0" w:line="252" w:lineRule="auto"/>
              <w:jc w:val="center"/>
            </w:pPr>
            <w:r/>
            <w:r>
              <w:rPr>
                <w:rFonts w:ascii="Times New Roman" w:hAnsi="Times New Roman" w:eastAsia="SimSun"/>
                <w:b w:val="0"/>
                <w:sz w:val="15"/>
              </w:rPr>
              <w:t>待填</w:t>
            </w:r>
          </w:p>
        </w:tc>
        <w:tc>
          <w:tcPr>
            <w:tcW w:type="dxa" w:w="1883"/>
            <w:vAlign w:val="center"/>
          </w:tcPr>
          <w:p>
            <w:pPr>
              <w:spacing w:after="0" w:line="252" w:lineRule="auto"/>
              <w:jc w:val="center"/>
            </w:pPr>
            <w:r/>
            <w:r>
              <w:rPr>
                <w:rFonts w:ascii="Times New Roman" w:hAnsi="Times New Roman" w:eastAsia="SimSun"/>
                <w:b w:val="0"/>
                <w:sz w:val="15"/>
              </w:rPr>
              <w:t>待填</w:t>
            </w:r>
          </w:p>
        </w:tc>
      </w:tr>
      <w:tr>
        <w:tc>
          <w:tcPr>
            <w:tcW w:type="dxa" w:w="1883"/>
            <w:vAlign w:val="center"/>
          </w:tcPr>
          <w:p>
            <w:pPr>
              <w:spacing w:after="0" w:line="252" w:lineRule="auto"/>
              <w:jc w:val="left"/>
            </w:pPr>
            <w:r/>
            <w:r>
              <w:rPr>
                <w:rFonts w:ascii="Times New Roman" w:hAnsi="Times New Roman" w:eastAsia="SimSun"/>
                <w:b w:val="0"/>
                <w:sz w:val="15"/>
              </w:rPr>
              <w:t>VectorRAG</w:t>
            </w:r>
          </w:p>
        </w:tc>
        <w:tc>
          <w:tcPr>
            <w:tcW w:type="dxa" w:w="1883"/>
            <w:vAlign w:val="center"/>
          </w:tcPr>
          <w:p>
            <w:pPr>
              <w:spacing w:after="0" w:line="252" w:lineRule="auto"/>
              <w:jc w:val="center"/>
            </w:pPr>
            <w:r/>
            <w:r>
              <w:rPr>
                <w:rFonts w:ascii="Times New Roman" w:hAnsi="Times New Roman" w:eastAsia="SimSun"/>
                <w:b w:val="0"/>
                <w:sz w:val="15"/>
              </w:rPr>
              <w:t>待填</w:t>
            </w:r>
          </w:p>
        </w:tc>
        <w:tc>
          <w:tcPr>
            <w:tcW w:type="dxa" w:w="1883"/>
            <w:vAlign w:val="center"/>
          </w:tcPr>
          <w:p>
            <w:pPr>
              <w:spacing w:after="0" w:line="252" w:lineRule="auto"/>
              <w:jc w:val="center"/>
            </w:pPr>
            <w:r/>
            <w:r>
              <w:rPr>
                <w:rFonts w:ascii="Times New Roman" w:hAnsi="Times New Roman" w:eastAsia="SimSun"/>
                <w:b w:val="0"/>
                <w:sz w:val="15"/>
              </w:rPr>
              <w:t>待填</w:t>
            </w:r>
          </w:p>
        </w:tc>
        <w:tc>
          <w:tcPr>
            <w:tcW w:type="dxa" w:w="1883"/>
            <w:vAlign w:val="center"/>
          </w:tcPr>
          <w:p>
            <w:pPr>
              <w:spacing w:after="0" w:line="252" w:lineRule="auto"/>
              <w:jc w:val="center"/>
            </w:pPr>
            <w:r/>
            <w:r>
              <w:rPr>
                <w:rFonts w:ascii="Times New Roman" w:hAnsi="Times New Roman" w:eastAsia="SimSun"/>
                <w:b w:val="0"/>
                <w:sz w:val="15"/>
              </w:rPr>
              <w:t>待填</w:t>
            </w:r>
          </w:p>
        </w:tc>
        <w:tc>
          <w:tcPr>
            <w:tcW w:type="dxa" w:w="1883"/>
            <w:vAlign w:val="center"/>
          </w:tcPr>
          <w:p>
            <w:pPr>
              <w:spacing w:after="0" w:line="252" w:lineRule="auto"/>
              <w:jc w:val="center"/>
            </w:pPr>
            <w:r/>
            <w:r>
              <w:rPr>
                <w:rFonts w:ascii="Times New Roman" w:hAnsi="Times New Roman" w:eastAsia="SimSun"/>
                <w:b w:val="0"/>
                <w:sz w:val="15"/>
              </w:rPr>
              <w:t>待填</w:t>
            </w:r>
          </w:p>
        </w:tc>
      </w:tr>
      <w:tr>
        <w:tc>
          <w:tcPr>
            <w:tcW w:type="dxa" w:w="1883"/>
            <w:vAlign w:val="center"/>
          </w:tcPr>
          <w:p>
            <w:pPr>
              <w:spacing w:after="0" w:line="252" w:lineRule="auto"/>
              <w:jc w:val="left"/>
            </w:pPr>
            <w:r/>
            <w:r>
              <w:rPr>
                <w:rFonts w:ascii="Times New Roman" w:hAnsi="Times New Roman" w:eastAsia="SimSun"/>
                <w:b w:val="0"/>
                <w:sz w:val="15"/>
              </w:rPr>
              <w:t>KG-RAG</w:t>
            </w:r>
          </w:p>
        </w:tc>
        <w:tc>
          <w:tcPr>
            <w:tcW w:type="dxa" w:w="1883"/>
            <w:vAlign w:val="center"/>
          </w:tcPr>
          <w:p>
            <w:pPr>
              <w:spacing w:after="0" w:line="252" w:lineRule="auto"/>
              <w:jc w:val="center"/>
            </w:pPr>
            <w:r/>
            <w:r>
              <w:rPr>
                <w:rFonts w:ascii="Times New Roman" w:hAnsi="Times New Roman" w:eastAsia="SimSun"/>
                <w:b w:val="0"/>
                <w:sz w:val="15"/>
              </w:rPr>
              <w:t>待填</w:t>
            </w:r>
          </w:p>
        </w:tc>
        <w:tc>
          <w:tcPr>
            <w:tcW w:type="dxa" w:w="1883"/>
            <w:vAlign w:val="center"/>
          </w:tcPr>
          <w:p>
            <w:pPr>
              <w:spacing w:after="0" w:line="252" w:lineRule="auto"/>
              <w:jc w:val="center"/>
            </w:pPr>
            <w:r/>
            <w:r>
              <w:rPr>
                <w:rFonts w:ascii="Times New Roman" w:hAnsi="Times New Roman" w:eastAsia="SimSun"/>
                <w:b w:val="0"/>
                <w:sz w:val="15"/>
              </w:rPr>
              <w:t>待填</w:t>
            </w:r>
          </w:p>
        </w:tc>
        <w:tc>
          <w:tcPr>
            <w:tcW w:type="dxa" w:w="1883"/>
            <w:vAlign w:val="center"/>
          </w:tcPr>
          <w:p>
            <w:pPr>
              <w:spacing w:after="0" w:line="252" w:lineRule="auto"/>
              <w:jc w:val="center"/>
            </w:pPr>
            <w:r/>
            <w:r>
              <w:rPr>
                <w:rFonts w:ascii="Times New Roman" w:hAnsi="Times New Roman" w:eastAsia="SimSun"/>
                <w:b w:val="0"/>
                <w:sz w:val="15"/>
              </w:rPr>
              <w:t>待填</w:t>
            </w:r>
          </w:p>
        </w:tc>
        <w:tc>
          <w:tcPr>
            <w:tcW w:type="dxa" w:w="1883"/>
            <w:vAlign w:val="center"/>
          </w:tcPr>
          <w:p>
            <w:pPr>
              <w:spacing w:after="0" w:line="252" w:lineRule="auto"/>
              <w:jc w:val="center"/>
            </w:pPr>
            <w:r/>
            <w:r>
              <w:rPr>
                <w:rFonts w:ascii="Times New Roman" w:hAnsi="Times New Roman" w:eastAsia="SimSun"/>
                <w:b w:val="0"/>
                <w:sz w:val="15"/>
              </w:rPr>
              <w:t>待填</w:t>
            </w:r>
          </w:p>
        </w:tc>
      </w:tr>
      <w:tr>
        <w:tc>
          <w:tcPr>
            <w:tcW w:type="dxa" w:w="1883"/>
            <w:vAlign w:val="center"/>
          </w:tcPr>
          <w:p>
            <w:pPr>
              <w:spacing w:after="0" w:line="252" w:lineRule="auto"/>
              <w:jc w:val="left"/>
            </w:pPr>
            <w:r/>
            <w:r>
              <w:rPr>
                <w:rFonts w:ascii="Times New Roman" w:hAnsi="Times New Roman" w:eastAsia="SimSun"/>
                <w:b w:val="0"/>
                <w:sz w:val="15"/>
              </w:rPr>
              <w:t>ToG</w:t>
            </w:r>
          </w:p>
        </w:tc>
        <w:tc>
          <w:tcPr>
            <w:tcW w:type="dxa" w:w="1883"/>
            <w:vAlign w:val="center"/>
          </w:tcPr>
          <w:p>
            <w:pPr>
              <w:spacing w:after="0" w:line="252" w:lineRule="auto"/>
              <w:jc w:val="center"/>
            </w:pPr>
            <w:r/>
            <w:r>
              <w:rPr>
                <w:rFonts w:ascii="Times New Roman" w:hAnsi="Times New Roman" w:eastAsia="SimSun"/>
                <w:b w:val="0"/>
                <w:sz w:val="15"/>
              </w:rPr>
              <w:t>待填</w:t>
            </w:r>
          </w:p>
        </w:tc>
        <w:tc>
          <w:tcPr>
            <w:tcW w:type="dxa" w:w="1883"/>
            <w:vAlign w:val="center"/>
          </w:tcPr>
          <w:p>
            <w:pPr>
              <w:spacing w:after="0" w:line="252" w:lineRule="auto"/>
              <w:jc w:val="center"/>
            </w:pPr>
            <w:r/>
            <w:r>
              <w:rPr>
                <w:rFonts w:ascii="Times New Roman" w:hAnsi="Times New Roman" w:eastAsia="SimSun"/>
                <w:b w:val="0"/>
                <w:sz w:val="15"/>
              </w:rPr>
              <w:t>待填</w:t>
            </w:r>
          </w:p>
        </w:tc>
        <w:tc>
          <w:tcPr>
            <w:tcW w:type="dxa" w:w="1883"/>
            <w:vAlign w:val="center"/>
          </w:tcPr>
          <w:p>
            <w:pPr>
              <w:spacing w:after="0" w:line="252" w:lineRule="auto"/>
              <w:jc w:val="center"/>
            </w:pPr>
            <w:r/>
            <w:r>
              <w:rPr>
                <w:rFonts w:ascii="Times New Roman" w:hAnsi="Times New Roman" w:eastAsia="SimSun"/>
                <w:b w:val="0"/>
                <w:sz w:val="15"/>
              </w:rPr>
              <w:t>待填</w:t>
            </w:r>
          </w:p>
        </w:tc>
        <w:tc>
          <w:tcPr>
            <w:tcW w:type="dxa" w:w="1883"/>
            <w:vAlign w:val="center"/>
          </w:tcPr>
          <w:p>
            <w:pPr>
              <w:spacing w:after="0" w:line="252" w:lineRule="auto"/>
              <w:jc w:val="center"/>
            </w:pPr>
            <w:r/>
            <w:r>
              <w:rPr>
                <w:rFonts w:ascii="Times New Roman" w:hAnsi="Times New Roman" w:eastAsia="SimSun"/>
                <w:b w:val="0"/>
                <w:sz w:val="15"/>
              </w:rPr>
              <w:t>待填</w:t>
            </w:r>
          </w:p>
        </w:tc>
      </w:tr>
      <w:tr>
        <w:tc>
          <w:tcPr>
            <w:tcW w:type="dxa" w:w="1883"/>
            <w:vAlign w:val="center"/>
          </w:tcPr>
          <w:p>
            <w:pPr>
              <w:spacing w:after="0" w:line="252" w:lineRule="auto"/>
              <w:jc w:val="left"/>
            </w:pPr>
            <w:r/>
            <w:r>
              <w:rPr>
                <w:rFonts w:ascii="Times New Roman" w:hAnsi="Times New Roman" w:eastAsia="SimSun"/>
                <w:b w:val="0"/>
                <w:sz w:val="15"/>
              </w:rPr>
              <w:t>BioBridge-GraphRAG</w:t>
            </w:r>
          </w:p>
        </w:tc>
        <w:tc>
          <w:tcPr>
            <w:tcW w:type="dxa" w:w="1883"/>
            <w:vAlign w:val="center"/>
          </w:tcPr>
          <w:p>
            <w:pPr>
              <w:spacing w:after="0" w:line="252" w:lineRule="auto"/>
              <w:jc w:val="center"/>
            </w:pPr>
            <w:r/>
            <w:r>
              <w:rPr>
                <w:rFonts w:ascii="Times New Roman" w:hAnsi="Times New Roman" w:eastAsia="SimSun"/>
                <w:b w:val="0"/>
                <w:sz w:val="15"/>
              </w:rPr>
              <w:t>待填</w:t>
            </w:r>
          </w:p>
        </w:tc>
        <w:tc>
          <w:tcPr>
            <w:tcW w:type="dxa" w:w="1883"/>
            <w:vAlign w:val="center"/>
          </w:tcPr>
          <w:p>
            <w:pPr>
              <w:spacing w:after="0" w:line="252" w:lineRule="auto"/>
              <w:jc w:val="center"/>
            </w:pPr>
            <w:r/>
            <w:r>
              <w:rPr>
                <w:rFonts w:ascii="Times New Roman" w:hAnsi="Times New Roman" w:eastAsia="SimSun"/>
                <w:b w:val="0"/>
                <w:sz w:val="15"/>
              </w:rPr>
              <w:t>待填</w:t>
            </w:r>
          </w:p>
        </w:tc>
        <w:tc>
          <w:tcPr>
            <w:tcW w:type="dxa" w:w="1883"/>
            <w:vAlign w:val="center"/>
          </w:tcPr>
          <w:p>
            <w:pPr>
              <w:spacing w:after="0" w:line="252" w:lineRule="auto"/>
              <w:jc w:val="center"/>
            </w:pPr>
            <w:r/>
            <w:r>
              <w:rPr>
                <w:rFonts w:ascii="Times New Roman" w:hAnsi="Times New Roman" w:eastAsia="SimSun"/>
                <w:b w:val="0"/>
                <w:sz w:val="15"/>
              </w:rPr>
              <w:t>待填</w:t>
            </w:r>
          </w:p>
        </w:tc>
        <w:tc>
          <w:tcPr>
            <w:tcW w:type="dxa" w:w="1883"/>
            <w:vAlign w:val="center"/>
          </w:tcPr>
          <w:p>
            <w:pPr>
              <w:spacing w:after="0" w:line="252" w:lineRule="auto"/>
              <w:jc w:val="center"/>
            </w:pPr>
            <w:r/>
            <w:r>
              <w:rPr>
                <w:rFonts w:ascii="Times New Roman" w:hAnsi="Times New Roman" w:eastAsia="SimSun"/>
                <w:b w:val="0"/>
                <w:sz w:val="15"/>
              </w:rPr>
              <w:t>待填</w:t>
            </w:r>
          </w:p>
        </w:tc>
      </w:tr>
    </w:tbl>
    <w:p>
      <w:pPr>
        <w:spacing w:after="60" w:line="276" w:lineRule="auto"/>
        <w:ind w:firstLine="420"/>
      </w:pPr>
      <w:r>
        <w:rPr>
          <w:rFonts w:ascii="Times New Roman" w:hAnsi="Times New Roman" w:eastAsia="SimSun"/>
          <w:sz w:val="21"/>
        </w:rPr>
        <w:t>除主实验外，还应进行消融实验以验证各模块贡献。本文设置 w/o 双层本体、w/o 物理工具、w/o 张量粗筛和 w/o 路径推理 4 个变体。若去除路径推理后 A4 指标显著下降，说明多跳路径规划是系统核心；若去除物理工具后 B 类 CSR 下降，说明物理校验对方案推荐必要；若去除张量粗筛后时延或工具调用次数上升，说明粗筛模块对扩展性有贡献；若去除双层本体后跨域题表现下降或检索轮数增加，说明 MIMICS 关系有助于生物—工程证据组织。</w:t>
      </w:r>
    </w:p>
    <w:p>
      <w:pPr>
        <w:pStyle w:val="38"/>
        <w:spacing w:before="40" w:after="20" w:line="252" w:lineRule="auto"/>
        <w:jc w:val="center"/>
      </w:pPr>
      <w:r>
        <w:rPr>
          <w:rFonts w:ascii="Times New Roman" w:hAnsi="Times New Roman" w:eastAsia="SimSun"/>
          <w:sz w:val="18"/>
        </w:rPr>
        <w:t>表 7 消融实验结果</w:t>
      </w:r>
    </w:p>
    <w:p>
      <w:pPr>
        <w:pStyle w:val="40"/>
        <w:spacing w:before="40" w:after="20" w:line="252" w:lineRule="auto"/>
        <w:jc w:val="center"/>
      </w:pPr>
      <w:r>
        <w:rPr>
          <w:rFonts w:ascii="Times New Roman" w:hAnsi="Times New Roman" w:eastAsia="SimSun"/>
          <w:sz w:val="17"/>
        </w:rPr>
        <w:t>Table 7 Ablation results</w:t>
      </w:r>
    </w:p>
    <w:tbl>
      <w:tblPr>
        <w:tblStyle w:val="29"/>
        <w:tblW w:type="auto" w:w="0"/>
        <w:jc w:val="center"/>
        <w:tblLayout w:type="autofit"/>
        <w:tblLook w:firstColumn="1" w:firstRow="1" w:lastColumn="0" w:lastRow="0" w:noHBand="0" w:noVBand="1" w:val="04A0"/>
      </w:tblPr>
      <w:tblGrid>
        <w:gridCol w:w="1569"/>
        <w:gridCol w:w="1569"/>
        <w:gridCol w:w="1569"/>
        <w:gridCol w:w="1569"/>
        <w:gridCol w:w="1569"/>
        <w:gridCol w:w="1569"/>
      </w:tblGrid>
      <w:tr>
        <w:tc>
          <w:tcPr>
            <w:tcW w:type="dxa" w:w="1569"/>
            <w:vAlign w:val="center"/>
          </w:tcPr>
          <w:p>
            <w:pPr>
              <w:spacing w:after="0" w:line="252" w:lineRule="auto"/>
              <w:jc w:val="center"/>
            </w:pPr>
            <w:r/>
            <w:r>
              <w:rPr>
                <w:rFonts w:ascii="Times New Roman" w:hAnsi="Times New Roman" w:eastAsia="SimSun"/>
                <w:b/>
                <w:sz w:val="15"/>
              </w:rPr>
              <w:t>变体</w:t>
            </w:r>
          </w:p>
        </w:tc>
        <w:tc>
          <w:tcPr>
            <w:tcW w:type="dxa" w:w="1569"/>
            <w:vAlign w:val="center"/>
          </w:tcPr>
          <w:p>
            <w:pPr>
              <w:spacing w:after="0" w:line="252" w:lineRule="auto"/>
              <w:jc w:val="center"/>
            </w:pPr>
            <w:r/>
            <w:r>
              <w:rPr>
                <w:rFonts w:ascii="Times New Roman" w:hAnsi="Times New Roman" w:eastAsia="SimSun"/>
                <w:b/>
                <w:sz w:val="15"/>
              </w:rPr>
              <w:t>A4 推理有效性 ↑</w:t>
            </w:r>
          </w:p>
        </w:tc>
        <w:tc>
          <w:tcPr>
            <w:tcW w:type="dxa" w:w="1569"/>
            <w:vAlign w:val="center"/>
          </w:tcPr>
          <w:p>
            <w:pPr>
              <w:spacing w:after="0" w:line="252" w:lineRule="auto"/>
              <w:jc w:val="center"/>
            </w:pPr>
            <w:r/>
            <w:r>
              <w:rPr>
                <w:rFonts w:ascii="Times New Roman" w:hAnsi="Times New Roman" w:eastAsia="SimSun"/>
                <w:b/>
                <w:sz w:val="15"/>
              </w:rPr>
              <w:t>NDCG@3 ↑</w:t>
            </w:r>
          </w:p>
        </w:tc>
        <w:tc>
          <w:tcPr>
            <w:tcW w:type="dxa" w:w="1569"/>
            <w:vAlign w:val="center"/>
          </w:tcPr>
          <w:p>
            <w:pPr>
              <w:spacing w:after="0" w:line="252" w:lineRule="auto"/>
              <w:jc w:val="center"/>
            </w:pPr>
            <w:r/>
            <w:r>
              <w:rPr>
                <w:rFonts w:ascii="Times New Roman" w:hAnsi="Times New Roman" w:eastAsia="SimSun"/>
                <w:b/>
                <w:sz w:val="15"/>
              </w:rPr>
              <w:t>CSR@3 ↑</w:t>
            </w:r>
          </w:p>
        </w:tc>
        <w:tc>
          <w:tcPr>
            <w:tcW w:type="dxa" w:w="1569"/>
            <w:vAlign w:val="center"/>
          </w:tcPr>
          <w:p>
            <w:pPr>
              <w:spacing w:after="0" w:line="252" w:lineRule="auto"/>
              <w:jc w:val="center"/>
            </w:pPr>
            <w:r/>
            <w:r>
              <w:rPr>
                <w:rFonts w:ascii="Times New Roman" w:hAnsi="Times New Roman" w:eastAsia="SimSun"/>
                <w:b/>
                <w:sz w:val="15"/>
              </w:rPr>
              <w:t>平均时延/s ↓</w:t>
            </w:r>
          </w:p>
        </w:tc>
        <w:tc>
          <w:tcPr>
            <w:tcW w:type="dxa" w:w="1569"/>
            <w:vAlign w:val="center"/>
          </w:tcPr>
          <w:p>
            <w:pPr>
              <w:spacing w:after="0" w:line="252" w:lineRule="auto"/>
              <w:jc w:val="center"/>
            </w:pPr>
            <w:r/>
            <w:r>
              <w:rPr>
                <w:rFonts w:ascii="Times New Roman" w:hAnsi="Times New Roman" w:eastAsia="SimSun"/>
                <w:b/>
                <w:sz w:val="15"/>
              </w:rPr>
              <w:t>主要观察</w:t>
            </w:r>
          </w:p>
        </w:tc>
      </w:tr>
      <w:tr>
        <w:tc>
          <w:tcPr>
            <w:tcW w:type="dxa" w:w="1569"/>
            <w:vAlign w:val="center"/>
          </w:tcPr>
          <w:p>
            <w:pPr>
              <w:spacing w:after="0" w:line="252" w:lineRule="auto"/>
              <w:jc w:val="left"/>
            </w:pPr>
            <w:r/>
            <w:r>
              <w:rPr>
                <w:rFonts w:ascii="Times New Roman" w:hAnsi="Times New Roman" w:eastAsia="SimSun"/>
                <w:b w:val="0"/>
                <w:sz w:val="15"/>
              </w:rPr>
              <w:t>Full</w:t>
            </w:r>
          </w:p>
        </w:tc>
        <w:tc>
          <w:tcPr>
            <w:tcW w:type="dxa" w:w="1569"/>
            <w:vAlign w:val="center"/>
          </w:tcPr>
          <w:p>
            <w:pPr>
              <w:spacing w:after="0" w:line="252" w:lineRule="auto"/>
              <w:jc w:val="center"/>
            </w:pPr>
            <w:r/>
            <w:r>
              <w:rPr>
                <w:rFonts w:ascii="Times New Roman" w:hAnsi="Times New Roman" w:eastAsia="SimSun"/>
                <w:b w:val="0"/>
                <w:sz w:val="15"/>
              </w:rPr>
              <w:t>待填</w:t>
            </w:r>
          </w:p>
        </w:tc>
        <w:tc>
          <w:tcPr>
            <w:tcW w:type="dxa" w:w="1569"/>
            <w:vAlign w:val="center"/>
          </w:tcPr>
          <w:p>
            <w:pPr>
              <w:spacing w:after="0" w:line="252" w:lineRule="auto"/>
              <w:jc w:val="center"/>
            </w:pPr>
            <w:r/>
            <w:r>
              <w:rPr>
                <w:rFonts w:ascii="Times New Roman" w:hAnsi="Times New Roman" w:eastAsia="SimSun"/>
                <w:b w:val="0"/>
                <w:sz w:val="15"/>
              </w:rPr>
              <w:t>待填</w:t>
            </w:r>
          </w:p>
        </w:tc>
        <w:tc>
          <w:tcPr>
            <w:tcW w:type="dxa" w:w="1569"/>
            <w:vAlign w:val="center"/>
          </w:tcPr>
          <w:p>
            <w:pPr>
              <w:spacing w:after="0" w:line="252" w:lineRule="auto"/>
              <w:jc w:val="center"/>
            </w:pPr>
            <w:r/>
            <w:r>
              <w:rPr>
                <w:rFonts w:ascii="Times New Roman" w:hAnsi="Times New Roman" w:eastAsia="SimSun"/>
                <w:b w:val="0"/>
                <w:sz w:val="15"/>
              </w:rPr>
              <w:t>待填</w:t>
            </w:r>
          </w:p>
        </w:tc>
        <w:tc>
          <w:tcPr>
            <w:tcW w:type="dxa" w:w="1569"/>
            <w:vAlign w:val="center"/>
          </w:tcPr>
          <w:p>
            <w:pPr>
              <w:spacing w:after="0" w:line="252" w:lineRule="auto"/>
              <w:jc w:val="center"/>
            </w:pPr>
            <w:r/>
            <w:r>
              <w:rPr>
                <w:rFonts w:ascii="Times New Roman" w:hAnsi="Times New Roman" w:eastAsia="SimSun"/>
                <w:b w:val="0"/>
                <w:sz w:val="15"/>
              </w:rPr>
              <w:t>待填</w:t>
            </w:r>
          </w:p>
        </w:tc>
        <w:tc>
          <w:tcPr>
            <w:tcW w:type="dxa" w:w="1569"/>
            <w:vAlign w:val="center"/>
          </w:tcPr>
          <w:p>
            <w:pPr>
              <w:spacing w:after="0" w:line="252" w:lineRule="auto"/>
              <w:jc w:val="center"/>
            </w:pPr>
            <w:r/>
            <w:r>
              <w:rPr>
                <w:rFonts w:ascii="Times New Roman" w:hAnsi="Times New Roman" w:eastAsia="SimSun"/>
                <w:b w:val="0"/>
                <w:sz w:val="15"/>
              </w:rPr>
              <w:t>待填</w:t>
            </w:r>
          </w:p>
        </w:tc>
      </w:tr>
      <w:tr>
        <w:tc>
          <w:tcPr>
            <w:tcW w:type="dxa" w:w="1569"/>
            <w:vAlign w:val="center"/>
          </w:tcPr>
          <w:p>
            <w:pPr>
              <w:spacing w:after="0" w:line="252" w:lineRule="auto"/>
              <w:jc w:val="left"/>
            </w:pPr>
            <w:r/>
            <w:r>
              <w:rPr>
                <w:rFonts w:ascii="Times New Roman" w:hAnsi="Times New Roman" w:eastAsia="SimSun"/>
                <w:b w:val="0"/>
                <w:sz w:val="15"/>
              </w:rPr>
              <w:t>w/o 双层本体</w:t>
            </w:r>
          </w:p>
        </w:tc>
        <w:tc>
          <w:tcPr>
            <w:tcW w:type="dxa" w:w="1569"/>
            <w:vAlign w:val="center"/>
          </w:tcPr>
          <w:p>
            <w:pPr>
              <w:spacing w:after="0" w:line="252" w:lineRule="auto"/>
              <w:jc w:val="center"/>
            </w:pPr>
            <w:r/>
            <w:r>
              <w:rPr>
                <w:rFonts w:ascii="Times New Roman" w:hAnsi="Times New Roman" w:eastAsia="SimSun"/>
                <w:b w:val="0"/>
                <w:sz w:val="15"/>
              </w:rPr>
              <w:t>待填</w:t>
            </w:r>
          </w:p>
        </w:tc>
        <w:tc>
          <w:tcPr>
            <w:tcW w:type="dxa" w:w="1569"/>
            <w:vAlign w:val="center"/>
          </w:tcPr>
          <w:p>
            <w:pPr>
              <w:spacing w:after="0" w:line="252" w:lineRule="auto"/>
              <w:jc w:val="center"/>
            </w:pPr>
            <w:r/>
            <w:r>
              <w:rPr>
                <w:rFonts w:ascii="Times New Roman" w:hAnsi="Times New Roman" w:eastAsia="SimSun"/>
                <w:b w:val="0"/>
                <w:sz w:val="15"/>
              </w:rPr>
              <w:t>待填</w:t>
            </w:r>
          </w:p>
        </w:tc>
        <w:tc>
          <w:tcPr>
            <w:tcW w:type="dxa" w:w="1569"/>
            <w:vAlign w:val="center"/>
          </w:tcPr>
          <w:p>
            <w:pPr>
              <w:spacing w:after="0" w:line="252" w:lineRule="auto"/>
              <w:jc w:val="center"/>
            </w:pPr>
            <w:r/>
            <w:r>
              <w:rPr>
                <w:rFonts w:ascii="Times New Roman" w:hAnsi="Times New Roman" w:eastAsia="SimSun"/>
                <w:b w:val="0"/>
                <w:sz w:val="15"/>
              </w:rPr>
              <w:t>待填</w:t>
            </w:r>
          </w:p>
        </w:tc>
        <w:tc>
          <w:tcPr>
            <w:tcW w:type="dxa" w:w="1569"/>
            <w:vAlign w:val="center"/>
          </w:tcPr>
          <w:p>
            <w:pPr>
              <w:spacing w:after="0" w:line="252" w:lineRule="auto"/>
              <w:jc w:val="center"/>
            </w:pPr>
            <w:r/>
            <w:r>
              <w:rPr>
                <w:rFonts w:ascii="Times New Roman" w:hAnsi="Times New Roman" w:eastAsia="SimSun"/>
                <w:b w:val="0"/>
                <w:sz w:val="15"/>
              </w:rPr>
              <w:t>待填</w:t>
            </w:r>
          </w:p>
        </w:tc>
        <w:tc>
          <w:tcPr>
            <w:tcW w:type="dxa" w:w="1569"/>
            <w:vAlign w:val="center"/>
          </w:tcPr>
          <w:p>
            <w:pPr>
              <w:spacing w:after="0" w:line="252" w:lineRule="auto"/>
              <w:jc w:val="center"/>
            </w:pPr>
            <w:r/>
            <w:r>
              <w:rPr>
                <w:rFonts w:ascii="Times New Roman" w:hAnsi="Times New Roman" w:eastAsia="SimSun"/>
                <w:b w:val="0"/>
                <w:sz w:val="15"/>
              </w:rPr>
              <w:t>待填</w:t>
            </w:r>
          </w:p>
        </w:tc>
      </w:tr>
      <w:tr>
        <w:tc>
          <w:tcPr>
            <w:tcW w:type="dxa" w:w="1569"/>
            <w:vAlign w:val="center"/>
          </w:tcPr>
          <w:p>
            <w:pPr>
              <w:spacing w:after="0" w:line="252" w:lineRule="auto"/>
              <w:jc w:val="left"/>
            </w:pPr>
            <w:r/>
            <w:r>
              <w:rPr>
                <w:rFonts w:ascii="Times New Roman" w:hAnsi="Times New Roman" w:eastAsia="SimSun"/>
                <w:b w:val="0"/>
                <w:sz w:val="15"/>
              </w:rPr>
              <w:t>w/o 物理工具</w:t>
            </w:r>
          </w:p>
        </w:tc>
        <w:tc>
          <w:tcPr>
            <w:tcW w:type="dxa" w:w="1569"/>
            <w:vAlign w:val="center"/>
          </w:tcPr>
          <w:p>
            <w:pPr>
              <w:spacing w:after="0" w:line="252" w:lineRule="auto"/>
              <w:jc w:val="center"/>
            </w:pPr>
            <w:r/>
            <w:r>
              <w:rPr>
                <w:rFonts w:ascii="Times New Roman" w:hAnsi="Times New Roman" w:eastAsia="SimSun"/>
                <w:b w:val="0"/>
                <w:sz w:val="15"/>
              </w:rPr>
              <w:t>待填</w:t>
            </w:r>
          </w:p>
        </w:tc>
        <w:tc>
          <w:tcPr>
            <w:tcW w:type="dxa" w:w="1569"/>
            <w:vAlign w:val="center"/>
          </w:tcPr>
          <w:p>
            <w:pPr>
              <w:spacing w:after="0" w:line="252" w:lineRule="auto"/>
              <w:jc w:val="center"/>
            </w:pPr>
            <w:r/>
            <w:r>
              <w:rPr>
                <w:rFonts w:ascii="Times New Roman" w:hAnsi="Times New Roman" w:eastAsia="SimSun"/>
                <w:b w:val="0"/>
                <w:sz w:val="15"/>
              </w:rPr>
              <w:t>待填</w:t>
            </w:r>
          </w:p>
        </w:tc>
        <w:tc>
          <w:tcPr>
            <w:tcW w:type="dxa" w:w="1569"/>
            <w:vAlign w:val="center"/>
          </w:tcPr>
          <w:p>
            <w:pPr>
              <w:spacing w:after="0" w:line="252" w:lineRule="auto"/>
              <w:jc w:val="center"/>
            </w:pPr>
            <w:r/>
            <w:r>
              <w:rPr>
                <w:rFonts w:ascii="Times New Roman" w:hAnsi="Times New Roman" w:eastAsia="SimSun"/>
                <w:b w:val="0"/>
                <w:sz w:val="15"/>
              </w:rPr>
              <w:t>待填</w:t>
            </w:r>
          </w:p>
        </w:tc>
        <w:tc>
          <w:tcPr>
            <w:tcW w:type="dxa" w:w="1569"/>
            <w:vAlign w:val="center"/>
          </w:tcPr>
          <w:p>
            <w:pPr>
              <w:spacing w:after="0" w:line="252" w:lineRule="auto"/>
              <w:jc w:val="center"/>
            </w:pPr>
            <w:r/>
            <w:r>
              <w:rPr>
                <w:rFonts w:ascii="Times New Roman" w:hAnsi="Times New Roman" w:eastAsia="SimSun"/>
                <w:b w:val="0"/>
                <w:sz w:val="15"/>
              </w:rPr>
              <w:t>待填</w:t>
            </w:r>
          </w:p>
        </w:tc>
        <w:tc>
          <w:tcPr>
            <w:tcW w:type="dxa" w:w="1569"/>
            <w:vAlign w:val="center"/>
          </w:tcPr>
          <w:p>
            <w:pPr>
              <w:spacing w:after="0" w:line="252" w:lineRule="auto"/>
              <w:jc w:val="center"/>
            </w:pPr>
            <w:r/>
            <w:r>
              <w:rPr>
                <w:rFonts w:ascii="Times New Roman" w:hAnsi="Times New Roman" w:eastAsia="SimSun"/>
                <w:b w:val="0"/>
                <w:sz w:val="15"/>
              </w:rPr>
              <w:t>待填</w:t>
            </w:r>
          </w:p>
        </w:tc>
      </w:tr>
      <w:tr>
        <w:tc>
          <w:tcPr>
            <w:tcW w:type="dxa" w:w="1569"/>
            <w:vAlign w:val="center"/>
          </w:tcPr>
          <w:p>
            <w:pPr>
              <w:spacing w:after="0" w:line="252" w:lineRule="auto"/>
              <w:jc w:val="left"/>
            </w:pPr>
            <w:r/>
            <w:r>
              <w:rPr>
                <w:rFonts w:ascii="Times New Roman" w:hAnsi="Times New Roman" w:eastAsia="SimSun"/>
                <w:b w:val="0"/>
                <w:sz w:val="15"/>
              </w:rPr>
              <w:t>w/o 张量粗筛</w:t>
            </w:r>
          </w:p>
        </w:tc>
        <w:tc>
          <w:tcPr>
            <w:tcW w:type="dxa" w:w="1569"/>
            <w:vAlign w:val="center"/>
          </w:tcPr>
          <w:p>
            <w:pPr>
              <w:spacing w:after="0" w:line="252" w:lineRule="auto"/>
              <w:jc w:val="center"/>
            </w:pPr>
            <w:r/>
            <w:r>
              <w:rPr>
                <w:rFonts w:ascii="Times New Roman" w:hAnsi="Times New Roman" w:eastAsia="SimSun"/>
                <w:b w:val="0"/>
                <w:sz w:val="15"/>
              </w:rPr>
              <w:t>待填</w:t>
            </w:r>
          </w:p>
        </w:tc>
        <w:tc>
          <w:tcPr>
            <w:tcW w:type="dxa" w:w="1569"/>
            <w:vAlign w:val="center"/>
          </w:tcPr>
          <w:p>
            <w:pPr>
              <w:spacing w:after="0" w:line="252" w:lineRule="auto"/>
              <w:jc w:val="center"/>
            </w:pPr>
            <w:r/>
            <w:r>
              <w:rPr>
                <w:rFonts w:ascii="Times New Roman" w:hAnsi="Times New Roman" w:eastAsia="SimSun"/>
                <w:b w:val="0"/>
                <w:sz w:val="15"/>
              </w:rPr>
              <w:t>待填</w:t>
            </w:r>
          </w:p>
        </w:tc>
        <w:tc>
          <w:tcPr>
            <w:tcW w:type="dxa" w:w="1569"/>
            <w:vAlign w:val="center"/>
          </w:tcPr>
          <w:p>
            <w:pPr>
              <w:spacing w:after="0" w:line="252" w:lineRule="auto"/>
              <w:jc w:val="center"/>
            </w:pPr>
            <w:r/>
            <w:r>
              <w:rPr>
                <w:rFonts w:ascii="Times New Roman" w:hAnsi="Times New Roman" w:eastAsia="SimSun"/>
                <w:b w:val="0"/>
                <w:sz w:val="15"/>
              </w:rPr>
              <w:t>待填</w:t>
            </w:r>
          </w:p>
        </w:tc>
        <w:tc>
          <w:tcPr>
            <w:tcW w:type="dxa" w:w="1569"/>
            <w:vAlign w:val="center"/>
          </w:tcPr>
          <w:p>
            <w:pPr>
              <w:spacing w:after="0" w:line="252" w:lineRule="auto"/>
              <w:jc w:val="center"/>
            </w:pPr>
            <w:r/>
            <w:r>
              <w:rPr>
                <w:rFonts w:ascii="Times New Roman" w:hAnsi="Times New Roman" w:eastAsia="SimSun"/>
                <w:b w:val="0"/>
                <w:sz w:val="15"/>
              </w:rPr>
              <w:t>待填</w:t>
            </w:r>
          </w:p>
        </w:tc>
        <w:tc>
          <w:tcPr>
            <w:tcW w:type="dxa" w:w="1569"/>
            <w:vAlign w:val="center"/>
          </w:tcPr>
          <w:p>
            <w:pPr>
              <w:spacing w:after="0" w:line="252" w:lineRule="auto"/>
              <w:jc w:val="center"/>
            </w:pPr>
            <w:r/>
            <w:r>
              <w:rPr>
                <w:rFonts w:ascii="Times New Roman" w:hAnsi="Times New Roman" w:eastAsia="SimSun"/>
                <w:b w:val="0"/>
                <w:sz w:val="15"/>
              </w:rPr>
              <w:t>待填</w:t>
            </w:r>
          </w:p>
        </w:tc>
      </w:tr>
      <w:tr>
        <w:tc>
          <w:tcPr>
            <w:tcW w:type="dxa" w:w="1569"/>
            <w:vAlign w:val="center"/>
          </w:tcPr>
          <w:p>
            <w:pPr>
              <w:spacing w:after="0" w:line="252" w:lineRule="auto"/>
              <w:jc w:val="left"/>
            </w:pPr>
            <w:r/>
            <w:r>
              <w:rPr>
                <w:rFonts w:ascii="Times New Roman" w:hAnsi="Times New Roman" w:eastAsia="SimSun"/>
                <w:b w:val="0"/>
                <w:sz w:val="15"/>
              </w:rPr>
              <w:t>w/o 路径推理</w:t>
            </w:r>
          </w:p>
        </w:tc>
        <w:tc>
          <w:tcPr>
            <w:tcW w:type="dxa" w:w="1569"/>
            <w:vAlign w:val="center"/>
          </w:tcPr>
          <w:p>
            <w:pPr>
              <w:spacing w:after="0" w:line="252" w:lineRule="auto"/>
              <w:jc w:val="center"/>
            </w:pPr>
            <w:r/>
            <w:r>
              <w:rPr>
                <w:rFonts w:ascii="Times New Roman" w:hAnsi="Times New Roman" w:eastAsia="SimSun"/>
                <w:b w:val="0"/>
                <w:sz w:val="15"/>
              </w:rPr>
              <w:t>待填</w:t>
            </w:r>
          </w:p>
        </w:tc>
        <w:tc>
          <w:tcPr>
            <w:tcW w:type="dxa" w:w="1569"/>
            <w:vAlign w:val="center"/>
          </w:tcPr>
          <w:p>
            <w:pPr>
              <w:spacing w:after="0" w:line="252" w:lineRule="auto"/>
              <w:jc w:val="center"/>
            </w:pPr>
            <w:r/>
            <w:r>
              <w:rPr>
                <w:rFonts w:ascii="Times New Roman" w:hAnsi="Times New Roman" w:eastAsia="SimSun"/>
                <w:b w:val="0"/>
                <w:sz w:val="15"/>
              </w:rPr>
              <w:t>待填</w:t>
            </w:r>
          </w:p>
        </w:tc>
        <w:tc>
          <w:tcPr>
            <w:tcW w:type="dxa" w:w="1569"/>
            <w:vAlign w:val="center"/>
          </w:tcPr>
          <w:p>
            <w:pPr>
              <w:spacing w:after="0" w:line="252" w:lineRule="auto"/>
              <w:jc w:val="center"/>
            </w:pPr>
            <w:r/>
            <w:r>
              <w:rPr>
                <w:rFonts w:ascii="Times New Roman" w:hAnsi="Times New Roman" w:eastAsia="SimSun"/>
                <w:b w:val="0"/>
                <w:sz w:val="15"/>
              </w:rPr>
              <w:t>待填</w:t>
            </w:r>
          </w:p>
        </w:tc>
        <w:tc>
          <w:tcPr>
            <w:tcW w:type="dxa" w:w="1569"/>
            <w:vAlign w:val="center"/>
          </w:tcPr>
          <w:p>
            <w:pPr>
              <w:spacing w:after="0" w:line="252" w:lineRule="auto"/>
              <w:jc w:val="center"/>
            </w:pPr>
            <w:r/>
            <w:r>
              <w:rPr>
                <w:rFonts w:ascii="Times New Roman" w:hAnsi="Times New Roman" w:eastAsia="SimSun"/>
                <w:b w:val="0"/>
                <w:sz w:val="15"/>
              </w:rPr>
              <w:t>待填</w:t>
            </w:r>
          </w:p>
        </w:tc>
        <w:tc>
          <w:tcPr>
            <w:tcW w:type="dxa" w:w="1569"/>
            <w:vAlign w:val="center"/>
          </w:tcPr>
          <w:p>
            <w:pPr>
              <w:spacing w:after="0" w:line="252" w:lineRule="auto"/>
              <w:jc w:val="center"/>
            </w:pPr>
            <w:r/>
            <w:r>
              <w:rPr>
                <w:rFonts w:ascii="Times New Roman" w:hAnsi="Times New Roman" w:eastAsia="SimSun"/>
                <w:b w:val="0"/>
                <w:sz w:val="15"/>
              </w:rPr>
              <w:t>待填</w:t>
            </w:r>
          </w:p>
        </w:tc>
      </w:tr>
    </w:tbl>
    <w:p>
      <w:pPr>
        <w:pStyle w:val="62"/>
        <w:spacing w:before="120" w:after="60" w:line="264" w:lineRule="auto"/>
      </w:pPr>
      <w:r>
        <w:rPr>
          <w:rFonts w:ascii="Times New Roman" w:hAnsi="Times New Roman" w:eastAsia="SimSun"/>
          <w:b/>
          <w:sz w:val="22"/>
        </w:rPr>
        <w:t>5.4 张量召回敏感性分析</w:t>
      </w:r>
    </w:p>
    <w:p>
      <w:pPr>
        <w:spacing w:after="60" w:line="276" w:lineRule="auto"/>
        <w:ind w:firstLine="420"/>
      </w:pPr>
      <w:r>
        <w:rPr>
          <w:rFonts w:ascii="Times New Roman" w:hAnsi="Times New Roman" w:eastAsia="SimSun"/>
          <w:sz w:val="21"/>
        </w:rPr>
        <w:t>张量召回模块涉及分解秩 R、混合相似度权重 α 和标准化方式 3 个关键设置。图 5 给出敏感性实验结果。随着 R 从 4 增至 20，重构误差单调下降，但候选排序稳定性并不随 R 单调提升。当 R=12 时，Top-3 Jaccard 达到 1.000，说明该设置在重构充分性与排序稳定性之间取得较好折中。固定 R=12 后，α=0.4 时 Spearman 相关系数和 Top-3 Jaccard 均达到最高；α=0 表示仅使用原始特征，难以捕捉潜在任务关联；α=1 表示仅使用 CP 嵌入，在小样本条件下排序稳定性下降。标准化方式对比显示，虽然全局标准化可获得更低重构误差，但按特征标准化的 Top-3 一致性更高，更符合方案召回中“候选稳定性优先”的需求。</w:t>
      </w:r>
    </w:p>
    <w:p>
      <w:pPr>
        <w:spacing w:before="80" w:after="60"/>
        <w:jc w:val="center"/>
      </w:pPr>
      <w:r>
        <w:drawing>
          <wp:inline xmlns:a="http://schemas.openxmlformats.org/drawingml/2006/main" xmlns:pic="http://schemas.openxmlformats.org/drawingml/2006/picture">
            <wp:extent cx="5580000" cy="1452109"/>
            <wp:docPr id="5" name="Picture 5"/>
            <wp:cNvGraphicFramePr>
              <a:graphicFrameLocks noChangeAspect="1"/>
            </wp:cNvGraphicFramePr>
            <a:graphic>
              <a:graphicData uri="http://schemas.openxmlformats.org/drawingml/2006/picture">
                <pic:pic>
                  <pic:nvPicPr>
                    <pic:cNvPr id="0" name="fig5_tensor_sensitivity.png"/>
                    <pic:cNvPicPr/>
                  </pic:nvPicPr>
                  <pic:blipFill>
                    <a:blip r:embed="rId24"/>
                    <a:stretch>
                      <a:fillRect/>
                    </a:stretch>
                  </pic:blipFill>
                  <pic:spPr>
                    <a:xfrm>
                      <a:off x="0" y="0"/>
                      <a:ext cx="5580000" cy="1452109"/>
                    </a:xfrm>
                    <a:prstGeom prst="rect"/>
                  </pic:spPr>
                </pic:pic>
              </a:graphicData>
            </a:graphic>
          </wp:inline>
        </w:drawing>
      </w:r>
    </w:p>
    <w:p>
      <w:pPr>
        <w:pStyle w:val="36"/>
        <w:spacing w:before="40" w:after="20" w:line="252" w:lineRule="auto"/>
        <w:jc w:val="center"/>
      </w:pPr>
      <w:r>
        <w:rPr>
          <w:rFonts w:ascii="Times New Roman" w:hAnsi="Times New Roman" w:eastAsia="SimSun"/>
          <w:sz w:val="18"/>
        </w:rPr>
        <w:t>图 5 张量召回模块超参数敏感性</w:t>
      </w:r>
    </w:p>
    <w:p>
      <w:pPr>
        <w:pStyle w:val="41"/>
        <w:spacing w:before="40" w:after="20" w:line="252" w:lineRule="auto"/>
        <w:jc w:val="center"/>
      </w:pPr>
      <w:r>
        <w:rPr>
          <w:rFonts w:ascii="Times New Roman" w:hAnsi="Times New Roman" w:eastAsia="SimSun"/>
          <w:sz w:val="17"/>
        </w:rPr>
        <w:t>Fig. 5 Hyperparameter sensitivity of the tensor-recall module</w:t>
      </w:r>
    </w:p>
    <w:p>
      <w:pPr>
        <w:pStyle w:val="62"/>
        <w:spacing w:before="120" w:after="60" w:line="264" w:lineRule="auto"/>
      </w:pPr>
      <w:r>
        <w:rPr>
          <w:rFonts w:ascii="Times New Roman" w:hAnsi="Times New Roman" w:eastAsia="SimSun"/>
          <w:b/>
          <w:sz w:val="22"/>
        </w:rPr>
        <w:t>5.5 案例分析设置</w:t>
      </w:r>
    </w:p>
    <w:p>
      <w:pPr>
        <w:spacing w:after="60" w:line="276" w:lineRule="auto"/>
        <w:ind w:firstLine="420"/>
      </w:pPr>
      <w:r>
        <w:rPr>
          <w:rFonts w:ascii="Times New Roman" w:hAnsi="Times New Roman" w:eastAsia="SimSun"/>
          <w:sz w:val="21"/>
        </w:rPr>
        <w:t>为增强工程可读性，正式实验结果填入后可保留 2-3 个案例。案例不宜写成运行日志，而应围绕设计结论展开。建议案例包括：（1）Strouhal 数校验：给定 DelFly Nimble 的扑频、翼展和飞行速度，系统计算 Strouhal 数并判断是否处于高效推进区间；（2）跨域可行性分析：给定“蜂鸟原型、30 min 续航、50 g 载荷”的任务，系统先查询蜂鸟参数，再调用重量估算和尺度律工具，最后给出是否可行及替代生物原型建议；（3）户外巡航推荐：给定重量、续航和任务场景约束，系统先用张量召回候选，再用图谱证据和物理工具重排，输出 Top-3 样机及推荐理由。若选择悬停昆虫型样机作为案例，可结合 21 g 级仿昆虫飞行器和 KUBeetle-S 等公开样机讨论驱动、电源和控制配置差异[24-25]。</w:t>
      </w:r>
    </w:p>
    <w:p>
      <w:pPr>
        <w:pStyle w:val="60"/>
        <w:spacing w:before="160" w:after="80" w:line="264" w:lineRule="auto"/>
        <w:jc w:val="left"/>
      </w:pPr>
      <w:r>
        <w:rPr>
          <w:rFonts w:ascii="Times New Roman" w:hAnsi="Times New Roman" w:eastAsia="SimSun"/>
          <w:b/>
          <w:sz w:val="26"/>
        </w:rPr>
        <w:t>6 讨论</w:t>
      </w:r>
    </w:p>
    <w:p>
      <w:pPr>
        <w:spacing w:after="60" w:line="276" w:lineRule="auto"/>
        <w:ind w:firstLine="420"/>
      </w:pPr>
      <w:r>
        <w:rPr>
          <w:rFonts w:ascii="Times New Roman" w:hAnsi="Times New Roman" w:eastAsia="SimSun"/>
          <w:sz w:val="21"/>
        </w:rPr>
        <w:t>BioBridge-GraphRAG 的核心价值不在于让大语言模型替代设计师，而在于将分散的领域知识、历史样机经验和概念设计中的一阶物理判断组织成可追溯的交互式推理过程。对于仿生扑翼飞行器这类跨学科设计对象，单一技术路线往往难以同时满足自然语言交互、图谱证据追溯、数值物理校验和方案推荐效率要求。本文方法通过双层知识图谱、物理工具和张量召回的组合，在系统层面形成互补。</w:t>
      </w:r>
    </w:p>
    <w:p>
      <w:pPr>
        <w:spacing w:after="60" w:line="276" w:lineRule="auto"/>
        <w:ind w:firstLine="420"/>
      </w:pPr>
      <w:r>
        <w:rPr>
          <w:rFonts w:ascii="Times New Roman" w:hAnsi="Times New Roman" w:eastAsia="SimSun"/>
          <w:sz w:val="21"/>
        </w:rPr>
        <w:t>双层知识图谱提供领域语义骨架。MIMICS 关系使“仿生”不再只是样机描述中的字符串，而成为可查询、可排序、可解释的跨层边。物理工具提供概念设计阶段的数值约束。由于工具输出结构化结果，模型在最终回答中可以引用具体数值和判断依据，从而降低纯语言生成的随意性。张量粗筛提供候选生成能力。它不要求在召回阶段就给出最终推荐，而是以覆盖为优先，将可解释排序留给后续图路径推理和物理校验。</w:t>
      </w:r>
    </w:p>
    <w:p>
      <w:pPr>
        <w:spacing w:after="60" w:line="276" w:lineRule="auto"/>
        <w:ind w:firstLine="420"/>
      </w:pPr>
      <w:r>
        <w:rPr>
          <w:rFonts w:ascii="Times New Roman" w:hAnsi="Times New Roman" w:eastAsia="SimSun"/>
          <w:sz w:val="21"/>
        </w:rPr>
        <w:t>本文方法仍存在局限。首先，当前图谱规模受公开样机资料限制，样机数量仍较小，张量分解的潜在因子稳定性有待随数据规模扩大进一步验证。其次，重量估算和尺度律工具适合概念设计阶段的一阶判断，不能替代高保真 CFD、结构动力学仿真和样机试验。再次，方案推荐的金标准具有一定主观性，需要多名领域专家参与标注，以减少单一标注者偏差。最后，现阶段推理流程以贪心式多轮 ReAct 为主，未来可引入束搜索或不确定性估计，以提升复杂多路径问题的覆盖能力。</w:t>
      </w:r>
    </w:p>
    <w:p>
      <w:pPr>
        <w:pStyle w:val="60"/>
        <w:spacing w:before="160" w:after="80" w:line="264" w:lineRule="auto"/>
        <w:jc w:val="left"/>
      </w:pPr>
      <w:r>
        <w:rPr>
          <w:rFonts w:ascii="Times New Roman" w:hAnsi="Times New Roman" w:eastAsia="SimSun"/>
          <w:b/>
          <w:sz w:val="26"/>
        </w:rPr>
        <w:t>7 结论</w:t>
      </w:r>
    </w:p>
    <w:p>
      <w:pPr>
        <w:spacing w:after="60" w:line="276" w:lineRule="auto"/>
        <w:ind w:firstLine="420"/>
      </w:pPr>
      <w:r>
        <w:rPr>
          <w:rFonts w:ascii="Times New Roman" w:hAnsi="Times New Roman" w:eastAsia="SimSun"/>
          <w:sz w:val="21"/>
        </w:rPr>
        <w:t>针对仿生扑翼飞行器概念设计阶段知识分散、经验难复用和任务驱动推荐缺乏可解释方法的问题，提出了图谱增强的扑翼飞行器设计问答方法 BioBridge-GraphRAG。该方法构建生物原型层与工程样机层相结合的双层知识图谱，利用 4 类 MIMICS 关系表达跨域仿生映射；将重量估算、尺度律预测、Strouhal 数和 Reynolds 数校验封装为可调用物理工具，使大语言模型在图路径推理中具备数值校验能力；并通过飞行器—特征—任务张量分解实现候选样机粗筛，形成“粗筛—精排”的设计推荐流程。</w:t>
      </w:r>
    </w:p>
    <w:p>
      <w:pPr>
        <w:spacing w:after="60" w:line="276" w:lineRule="auto"/>
        <w:ind w:firstLine="420"/>
      </w:pPr>
      <w:r>
        <w:rPr>
          <w:rFonts w:ascii="Times New Roman" w:hAnsi="Times New Roman" w:eastAsia="SimSun"/>
          <w:sz w:val="21"/>
        </w:rPr>
        <w:t>本文还构建了 FWMAV-QA 中文测评数据集，为扑翼飞行器领域知识问答和方案推荐系统提供了可复现实验基础。后续工作将从 3 个方面展开：扩展样机和生物原型数据规模，提升张量召回稳定性；引入多专家推荐标注，完善方案推荐评价体系；将图路径推理从单路径 ReAct 扩展为多候选束搜索，以增强复杂任务下的证据覆盖和鲁棒性。</w:t>
      </w:r>
    </w:p>
    <w:p>
      <w:pPr>
        <w:pStyle w:val="60"/>
        <w:spacing w:before="160" w:after="80" w:line="264" w:lineRule="auto"/>
        <w:jc w:val="left"/>
      </w:pPr>
      <w:r>
        <w:rPr>
          <w:rFonts w:ascii="Times New Roman" w:hAnsi="Times New Roman" w:eastAsia="SimSun"/>
          <w:b/>
          <w:sz w:val="26"/>
        </w:rPr>
        <w:t>参考文献</w:t>
      </w:r>
    </w:p>
    <w:p>
      <w:pPr>
        <w:pStyle w:val="66"/>
        <w:spacing w:after="40" w:line="252" w:lineRule="auto"/>
      </w:pPr>
      <w:r>
        <w:rPr>
          <w:rFonts w:ascii="Times New Roman" w:hAnsi="Times New Roman" w:eastAsia="SimSun"/>
          <w:sz w:val="18"/>
        </w:rPr>
        <w:t>[1] SHYY W, AONO H, CHIMAKURTHI S K, et al. An introduction to flapping wing aerodynamics[M]. Cambridge: Cambridge University Press, 2013.</w:t>
      </w:r>
    </w:p>
    <w:p>
      <w:pPr>
        <w:pStyle w:val="66"/>
        <w:spacing w:after="40" w:line="252" w:lineRule="auto"/>
      </w:pPr>
      <w:r>
        <w:rPr>
          <w:rFonts w:ascii="Times New Roman" w:hAnsi="Times New Roman" w:eastAsia="SimSun"/>
          <w:sz w:val="18"/>
        </w:rPr>
        <w:t>[2] HASSANALIAN M, ABDELKEFI A. Methodologies for weight estimation of fixed and flapping wing micro air vehicles[J]. Meccanica, 2017, 52(9): 2047-2068.</w:t>
      </w:r>
    </w:p>
    <w:p>
      <w:pPr>
        <w:pStyle w:val="66"/>
        <w:spacing w:after="40" w:line="252" w:lineRule="auto"/>
      </w:pPr>
      <w:r>
        <w:rPr>
          <w:rFonts w:ascii="Times New Roman" w:hAnsi="Times New Roman" w:eastAsia="SimSun"/>
          <w:sz w:val="18"/>
        </w:rPr>
        <w:t>[3] KEENNON M, KLINGEBIEL K, WON H, et al. Development of the Nano Hummingbird: a tailless flapping wing micro air vehicle[C]//50th AIAA Aerospace Sciences Meeting. Reston: AIAA, 2012.</w:t>
      </w:r>
    </w:p>
    <w:p>
      <w:pPr>
        <w:pStyle w:val="66"/>
        <w:spacing w:after="40" w:line="252" w:lineRule="auto"/>
      </w:pPr>
      <w:r>
        <w:rPr>
          <w:rFonts w:ascii="Times New Roman" w:hAnsi="Times New Roman" w:eastAsia="SimSun"/>
          <w:sz w:val="18"/>
        </w:rPr>
        <w:t>[4] KARÁSEK M, MUĲRES F T, DE WAGTER C, et al. A tailless aerial robotic flapper reveals that flies use torque coupling in rapid banked turns[J]. Science, 2018, 361(6407): 1089-1094.</w:t>
      </w:r>
    </w:p>
    <w:p>
      <w:pPr>
        <w:pStyle w:val="66"/>
        <w:spacing w:after="40" w:line="252" w:lineRule="auto"/>
      </w:pPr>
      <w:r>
        <w:rPr>
          <w:rFonts w:ascii="Times New Roman" w:hAnsi="Times New Roman" w:eastAsia="SimSun"/>
          <w:sz w:val="18"/>
        </w:rPr>
        <w:t>[5] 聂同攀, 曾继炎, 程玉杰, 等. 面向飞机电源系统故障诊断的知识图谱构建技术及应用[J]. 航空学报, 2022, 43(8): 625499.</w:t>
      </w:r>
    </w:p>
    <w:p>
      <w:pPr>
        <w:pStyle w:val="66"/>
        <w:spacing w:after="40" w:line="252" w:lineRule="auto"/>
      </w:pPr>
      <w:r>
        <w:rPr>
          <w:rFonts w:ascii="Times New Roman" w:hAnsi="Times New Roman" w:eastAsia="SimSun"/>
          <w:sz w:val="18"/>
        </w:rPr>
        <w:t>[6] 程玉杰, 胡峥, 高永梅, 等. 知识图谱与大模型融合驱动的航空电子装备故障诊断[J/OL]. 航空学报, doi: 10.7527/S1000-6893.2026.33284.</w:t>
      </w:r>
    </w:p>
    <w:p>
      <w:pPr>
        <w:pStyle w:val="66"/>
        <w:spacing w:after="40" w:line="252" w:lineRule="auto"/>
      </w:pPr>
      <w:r>
        <w:rPr>
          <w:rFonts w:ascii="Times New Roman" w:hAnsi="Times New Roman" w:eastAsia="SimSun"/>
          <w:sz w:val="18"/>
        </w:rPr>
        <w:t>[7] 安凯, 黄伟, 王振国, 等. AI驱动高速飞行器多学科发展知识图谱分析[J]. 航空学报, 2024(S1): 730566.</w:t>
      </w:r>
    </w:p>
    <w:p>
      <w:pPr>
        <w:pStyle w:val="66"/>
        <w:spacing w:after="40" w:line="252" w:lineRule="auto"/>
      </w:pPr>
      <w:r>
        <w:rPr>
          <w:rFonts w:ascii="Times New Roman" w:hAnsi="Times New Roman" w:eastAsia="SimSun"/>
          <w:sz w:val="18"/>
        </w:rPr>
        <w:t>[8] SARICA S, SONG B, LOW M Y H, et al. Engineering knowledge graph for keyword discovery in patent search[J]. Advanced Engineering Informatics, 2020, 44: 101105.</w:t>
      </w:r>
    </w:p>
    <w:p>
      <w:pPr>
        <w:pStyle w:val="66"/>
        <w:spacing w:after="40" w:line="252" w:lineRule="auto"/>
      </w:pPr>
      <w:r>
        <w:rPr>
          <w:rFonts w:ascii="Times New Roman" w:hAnsi="Times New Roman" w:eastAsia="SimSun"/>
          <w:sz w:val="18"/>
        </w:rPr>
        <w:t>[9] JIA Y, LIU J, WANG G, et al. An approach to capturing and reusing tacit design knowledge using relational learning for knowledge graphs[J]. Advanced Engineering Informatics, 2022, 51: 101505.</w:t>
      </w:r>
    </w:p>
    <w:p>
      <w:pPr>
        <w:pStyle w:val="66"/>
        <w:spacing w:after="40" w:line="252" w:lineRule="auto"/>
      </w:pPr>
      <w:r>
        <w:rPr>
          <w:rFonts w:ascii="Times New Roman" w:hAnsi="Times New Roman" w:eastAsia="SimSun"/>
          <w:sz w:val="18"/>
        </w:rPr>
        <w:t>[10] CHEN Y, YU S, CHILTON L B, et al. A knowledge graph-based bio-inspired design approach for knowledge retrieval and reasoning[J]. Journal of Engineering Design, 2025, 36(7-9): 1321-1351.</w:t>
      </w:r>
    </w:p>
    <w:p>
      <w:pPr>
        <w:pStyle w:val="66"/>
        <w:spacing w:after="40" w:line="252" w:lineRule="auto"/>
      </w:pPr>
      <w:r>
        <w:rPr>
          <w:rFonts w:ascii="Times New Roman" w:hAnsi="Times New Roman" w:eastAsia="SimSun"/>
          <w:sz w:val="18"/>
        </w:rPr>
        <w:t>[11] HUANG C, ZHANG Y, YU S, et al. A case-based knowledge graph with reinforcement learning for the intelligent design approach of complex product[J]. Journal of Engineering Design, 2025, 36(7-9): 1451-1478.</w:t>
      </w:r>
    </w:p>
    <w:p>
      <w:pPr>
        <w:pStyle w:val="66"/>
        <w:spacing w:after="40" w:line="252" w:lineRule="auto"/>
      </w:pPr>
      <w:r>
        <w:rPr>
          <w:rFonts w:ascii="Times New Roman" w:hAnsi="Times New Roman" w:eastAsia="SimSun"/>
          <w:sz w:val="18"/>
        </w:rPr>
        <w:t>[12] LEWIS P, PEREZ E, PIKTUS A, et al. Retrieval-augmented generation for knowledge-intensive NLP tasks[C]//Advances in Neural Information Processing Systems. 2020: 9459-9474.</w:t>
      </w:r>
    </w:p>
    <w:p>
      <w:pPr>
        <w:pStyle w:val="66"/>
        <w:spacing w:after="40" w:line="252" w:lineRule="auto"/>
      </w:pPr>
      <w:r>
        <w:rPr>
          <w:rFonts w:ascii="Times New Roman" w:hAnsi="Times New Roman" w:eastAsia="SimSun"/>
          <w:sz w:val="18"/>
        </w:rPr>
        <w:t>[13] EDGE D, TRINH H, CHENG N, et al. From local to global: a graph RAG approach to query-focused summarization[EB/OL]. arXiv:2404.16130, 2024.</w:t>
      </w:r>
    </w:p>
    <w:p>
      <w:pPr>
        <w:pStyle w:val="66"/>
        <w:spacing w:after="40" w:line="252" w:lineRule="auto"/>
      </w:pPr>
      <w:r>
        <w:rPr>
          <w:rFonts w:ascii="Times New Roman" w:hAnsi="Times New Roman" w:eastAsia="SimSun"/>
          <w:sz w:val="18"/>
        </w:rPr>
        <w:t>[14] SUN J, XU C, TANG L, et al. Think-on-Graph: deep and responsible reasoning of large language model on knowledge graph[C]//International Conference on Learning Representations. 2024.</w:t>
      </w:r>
    </w:p>
    <w:p>
      <w:pPr>
        <w:pStyle w:val="66"/>
        <w:spacing w:after="40" w:line="252" w:lineRule="auto"/>
      </w:pPr>
      <w:r>
        <w:rPr>
          <w:rFonts w:ascii="Times New Roman" w:hAnsi="Times New Roman" w:eastAsia="SimSun"/>
          <w:sz w:val="18"/>
        </w:rPr>
        <w:t>[15] PAN S, LUO L, WANG Y, et al. Unifying large language models and knowledge graphs: a roadmap[J]. IEEE Transactions on Knowledge and Data Engineering, 2024, 36(7): 3580-3599.</w:t>
      </w:r>
    </w:p>
    <w:p>
      <w:pPr>
        <w:pStyle w:val="66"/>
        <w:spacing w:after="40" w:line="252" w:lineRule="auto"/>
      </w:pPr>
      <w:r>
        <w:rPr>
          <w:rFonts w:ascii="Times New Roman" w:hAnsi="Times New Roman" w:eastAsia="SimSun"/>
          <w:sz w:val="18"/>
        </w:rPr>
        <w:t>[16] LI X, ZHAO R, CHENG Y, et al. A survey of graph retrieval-augmented generation for customized large language models[EB/OL]. arXiv:2501.13958, 2025.</w:t>
      </w:r>
    </w:p>
    <w:p>
      <w:pPr>
        <w:pStyle w:val="66"/>
        <w:spacing w:after="40" w:line="252" w:lineRule="auto"/>
      </w:pPr>
      <w:r>
        <w:rPr>
          <w:rFonts w:ascii="Times New Roman" w:hAnsi="Times New Roman" w:eastAsia="SimSun"/>
          <w:sz w:val="18"/>
        </w:rPr>
        <w:t>[17] PENNYCUICK C J. Wingbeat frequency of birds in steady cruising flight: new data and improved predictions[J]. Journal of Experimental Biology, 1996, 199(7): 1613-1618.</w:t>
      </w:r>
    </w:p>
    <w:p>
      <w:pPr>
        <w:pStyle w:val="66"/>
        <w:spacing w:after="40" w:line="252" w:lineRule="auto"/>
      </w:pPr>
      <w:r>
        <w:rPr>
          <w:rFonts w:ascii="Times New Roman" w:hAnsi="Times New Roman" w:eastAsia="SimSun"/>
          <w:sz w:val="18"/>
        </w:rPr>
        <w:t>[18] GREENEWALT C H. The flight of birds[J]. Transactions of the American Philosophical Society, 1975, 65(4): 1-67.</w:t>
      </w:r>
    </w:p>
    <w:p>
      <w:pPr>
        <w:pStyle w:val="66"/>
        <w:spacing w:after="40" w:line="252" w:lineRule="auto"/>
      </w:pPr>
      <w:r>
        <w:rPr>
          <w:rFonts w:ascii="Times New Roman" w:hAnsi="Times New Roman" w:eastAsia="SimSun"/>
          <w:sz w:val="18"/>
        </w:rPr>
        <w:t>[19] TENNEKES H. The simple science of flight: from insects to jumbo jets[M]. Cambridge, MA: MIT Press, 2009.</w:t>
      </w:r>
    </w:p>
    <w:p>
      <w:pPr>
        <w:pStyle w:val="66"/>
        <w:spacing w:after="40" w:line="252" w:lineRule="auto"/>
      </w:pPr>
      <w:r>
        <w:rPr>
          <w:rFonts w:ascii="Times New Roman" w:hAnsi="Times New Roman" w:eastAsia="SimSun"/>
          <w:sz w:val="18"/>
        </w:rPr>
        <w:t>[20] TRIANTAFYLLOU G S, TRIANTAFYLLOU M S, GROSENBAUGH M A. Optimal thrust development in oscillating foils with application to fish propulsion[J]. Journal of Fluids and Structures, 1993, 7(2): 205-224.</w:t>
      </w:r>
    </w:p>
    <w:p>
      <w:pPr>
        <w:pStyle w:val="66"/>
        <w:spacing w:after="40" w:line="252" w:lineRule="auto"/>
      </w:pPr>
      <w:r>
        <w:rPr>
          <w:rFonts w:ascii="Times New Roman" w:hAnsi="Times New Roman" w:eastAsia="SimSun"/>
          <w:sz w:val="18"/>
        </w:rPr>
        <w:t>[21] YAO S, ZHAO J, YU D, et al. ReAct: synergizing reasoning and acting in language models[C]//International Conference on Learning Representations. 2023.</w:t>
      </w:r>
    </w:p>
    <w:p>
      <w:pPr>
        <w:pStyle w:val="66"/>
        <w:spacing w:after="40" w:line="252" w:lineRule="auto"/>
      </w:pPr>
      <w:r>
        <w:rPr>
          <w:rFonts w:ascii="Times New Roman" w:hAnsi="Times New Roman" w:eastAsia="SimSun"/>
          <w:sz w:val="18"/>
        </w:rPr>
        <w:t>[22] KOLDA T G, BADER B W. Tensor decompositions and applications[J]. SIAM Review, 2009, 51(3): 455-500.</w:t>
      </w:r>
    </w:p>
    <w:p>
      <w:pPr>
        <w:pStyle w:val="66"/>
        <w:spacing w:after="40" w:line="252" w:lineRule="auto"/>
      </w:pPr>
      <w:r>
        <w:rPr>
          <w:rFonts w:ascii="Times New Roman" w:hAnsi="Times New Roman" w:eastAsia="SimSun"/>
          <w:sz w:val="18"/>
        </w:rPr>
        <w:t>[23] BALAŽEVIĆ I, ALLEN C, HOSPODAŘ J. TuckER: tensor factorization for knowledge graph completion[C]//Proceedings of EMNLP-IJCNLP. 2019: 5185-5194.</w:t>
      </w:r>
    </w:p>
    <w:p>
      <w:pPr>
        <w:pStyle w:val="66"/>
        <w:spacing w:after="40" w:line="252" w:lineRule="auto"/>
      </w:pPr>
      <w:r>
        <w:rPr>
          <w:rFonts w:ascii="Times New Roman" w:hAnsi="Times New Roman" w:eastAsia="SimSun"/>
          <w:sz w:val="18"/>
        </w:rPr>
        <w:t>[24] PHAN H V, KANG T, PARK H C. Design and stable flight of a 21 g insect-like tailless flapping wing micro air vehicle with angular rates feedback control[J]. Bioinspiration &amp; Biomimetics, 2017, 12(3): 036006.</w:t>
      </w:r>
    </w:p>
    <w:p>
      <w:pPr>
        <w:pStyle w:val="66"/>
        <w:spacing w:after="40" w:line="252" w:lineRule="auto"/>
      </w:pPr>
      <w:r>
        <w:rPr>
          <w:rFonts w:ascii="Times New Roman" w:hAnsi="Times New Roman" w:eastAsia="SimSun"/>
          <w:sz w:val="18"/>
        </w:rPr>
        <w:t>[25] PHAN H V, PARK H C. KUBeetle-S: an insect-like, tailless, hover-capable robot that can fly with a low-voltage power source[J]. International Journal of Micro Air Vehicles, 2019, 11: 1-12.</w:t>
      </w:r>
    </w:p>
    <w:sectPr>
      <w:type w:val="continuous"/>
      <w:pgSz w:w="11907" w:h="16840"/>
      <w:pgMar w:top="1361" w:right="1247" w:bottom="1247" w:left="1247" w:header="1077" w:footer="1304" w:gutter="0"/>
      <w:cols w:num="1"/>
      <w:titlePg/>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AdvGulliv-R">
    <w:altName w:val="黑体"/>
    <w:panose1 w:val="00000000000000000000"/>
    <w:charset w:val="86"/>
    <w:family w:val="auto"/>
    <w:pitch w:val="default"/>
    <w:sig w:usb0="00000000" w:usb1="00000000" w:usb2="00000010" w:usb3="00000000" w:csb0="00040000" w:csb1="00000000"/>
  </w:font>
  <w:font w:name="Arial">
    <w:panose1 w:val="020B0604020202020204"/>
    <w:charset w:val="00"/>
    <w:family w:val="swiss"/>
    <w:pitch w:val="default"/>
    <w:sig w:usb0="E0002EFF" w:usb1="C000785B" w:usb2="00000009" w:usb3="00000000" w:csb0="400001FF" w:csb1="FFFF0000"/>
  </w:font>
  <w:font w:name="华文细黑">
    <w:panose1 w:val="02010600040101010101"/>
    <w:charset w:val="86"/>
    <w:family w:val="auto"/>
    <w:pitch w:val="default"/>
    <w:sig w:usb0="00000287" w:usb1="080F0000" w:usb2="00000000" w:usb3="00000000" w:csb0="0004009F" w:csb1="DFD70000"/>
  </w:font>
  <w:font w:name="Arial Unicode MS">
    <w:panose1 w:val="020B0604020202020204"/>
    <w:charset w:val="86"/>
    <w:family w:val="swiss"/>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F006F">
    <w:pPr>
      <w:pStyle w:val="18"/>
      <w:ind w:firstLine="360"/>
      <w:jc w:val="center"/>
    </w:pPr>
    <w:r>
      <w:rPr>
        <w:rFonts w:hint="eastAsia"/>
      </w:rPr>
      <w:t>XXXXXX-3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72DAA">
    <w:pPr>
      <w:pStyle w:val="18"/>
      <w:ind w:firstLine="360"/>
      <w:jc w:val="center"/>
    </w:pPr>
    <w:r>
      <w:rPr>
        <w:rFonts w:hint="eastAsia"/>
      </w:rPr>
      <w:t>XXXXXX-2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F9F70">
    <w:pPr>
      <w:pStyle w:val="18"/>
      <w:ind w:firstLine="360"/>
      <w:jc w:val="center"/>
    </w:pPr>
    <w:r>
      <w:rPr>
        <w:rFonts w:hint="eastAsia"/>
      </w:rPr>
      <w:t>XXXXXX-1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pPr>
        <w:spacing w:line="240" w:lineRule="auto"/>
      </w:pPr>
      <w:r>
        <w:separator/>
      </w:r>
    </w:p>
  </w:footnote>
  <w:footnote w:type="continuationSeparator" w:id="5">
    <w:p>
      <w:pPr>
        <w:spacing w:line="240" w:lineRule="auto"/>
      </w:pPr>
      <w:r>
        <w:continuationSeparator/>
      </w:r>
    </w:p>
  </w:footnote>
  <w:footnote w:id="0">
    <w:p w14:paraId="52DB3564">
      <w:pPr>
        <w:pStyle w:val="23"/>
        <w:spacing w:line="240" w:lineRule="exact"/>
        <w:ind w:firstLine="320"/>
        <w:rPr>
          <w:rFonts w:eastAsia="黑体"/>
          <w:sz w:val="16"/>
          <w:szCs w:val="16"/>
        </w:rPr>
      </w:pPr>
      <w:r>
        <w:rPr>
          <w:rFonts w:eastAsia="黑体"/>
          <w:sz w:val="16"/>
          <w:szCs w:val="16"/>
        </w:rPr>
        <w:t>收稿日期：2025-xx-xx；退修日期：2025-xx-xx；录用日期：2025-xx-xx；网络出版时间：</w:t>
      </w:r>
    </w:p>
    <w:p w14:paraId="40E4B05A">
      <w:pPr>
        <w:pStyle w:val="23"/>
        <w:spacing w:line="240" w:lineRule="exact"/>
        <w:ind w:firstLine="320"/>
        <w:rPr>
          <w:sz w:val="16"/>
          <w:szCs w:val="16"/>
        </w:rPr>
      </w:pPr>
      <w:r>
        <w:rPr>
          <w:rFonts w:eastAsia="黑体"/>
          <w:sz w:val="16"/>
          <w:szCs w:val="16"/>
        </w:rPr>
        <w:t>网络出版地址：</w:t>
      </w:r>
      <w:r>
        <w:rPr>
          <w:sz w:val="16"/>
          <w:szCs w:val="16"/>
        </w:rPr>
        <w:t xml:space="preserve">                                                            </w:t>
      </w:r>
    </w:p>
    <w:p w14:paraId="4FDFA8D2">
      <w:pPr>
        <w:pStyle w:val="23"/>
        <w:spacing w:line="240" w:lineRule="exact"/>
        <w:ind w:firstLine="320"/>
        <w:rPr>
          <w:rFonts w:eastAsia="仿宋_GB2312"/>
          <w:color w:val="0000FF"/>
          <w:sz w:val="15"/>
          <w:szCs w:val="15"/>
        </w:rPr>
      </w:pPr>
      <w:r>
        <w:rPr>
          <w:rFonts w:eastAsia="黑体"/>
          <w:sz w:val="16"/>
          <w:szCs w:val="16"/>
        </w:rPr>
        <w:t>基金项目：</w:t>
      </w:r>
      <w:r>
        <w:rPr>
          <w:rFonts w:ascii="宋体" w:hAnsi="宋体"/>
          <w:sz w:val="16"/>
          <w:szCs w:val="16"/>
        </w:rPr>
        <w:t>国家自然科学基金(基金号)；航空科学基金(基金号)</w:t>
      </w:r>
      <w:r>
        <w:rPr>
          <w:rFonts w:eastAsia="黑体"/>
          <w:color w:val="FF0000"/>
          <w:sz w:val="16"/>
          <w:szCs w:val="16"/>
        </w:rPr>
        <w:t xml:space="preserve"> </w:t>
      </w:r>
      <w:r>
        <w:rPr>
          <w:rFonts w:eastAsia="仿宋_GB2312"/>
          <w:color w:val="0000FF"/>
          <w:sz w:val="15"/>
          <w:szCs w:val="15"/>
        </w:rPr>
        <w:t>(注：投稿时请将具体基金删掉，不要填写与研究内容无关的基金)</w:t>
      </w:r>
    </w:p>
    <w:p w14:paraId="5650CEEF">
      <w:pPr>
        <w:pStyle w:val="23"/>
        <w:spacing w:line="240" w:lineRule="exact"/>
        <w:ind w:firstLine="320"/>
        <w:rPr>
          <w:sz w:val="16"/>
          <w:szCs w:val="16"/>
        </w:rPr>
      </w:pPr>
      <w:r>
        <w:rPr>
          <w:sz w:val="16"/>
          <w:szCs w:val="16"/>
        </w:rPr>
        <w:t>*</w:t>
      </w:r>
      <w:r>
        <w:rPr>
          <w:rFonts w:eastAsia="AdvGulliv-R"/>
          <w:sz w:val="16"/>
          <w:szCs w:val="16"/>
        </w:rPr>
        <w:t>通讯作者.</w:t>
      </w:r>
      <w:r>
        <w:rPr>
          <w:sz w:val="16"/>
          <w:szCs w:val="16"/>
        </w:rPr>
        <w:t xml:space="preserve"> E-mail: </w:t>
      </w:r>
      <w:r>
        <w:rPr>
          <w:color w:val="FF0000"/>
          <w:sz w:val="16"/>
          <w:szCs w:val="16"/>
        </w:rPr>
        <w:t xml:space="preserve">hkxb@buaa.edu.cn </w:t>
      </w:r>
      <w:r>
        <w:rPr>
          <w:rFonts w:eastAsia="仿宋_GB2312"/>
          <w:color w:val="0000FF"/>
          <w:sz w:val="15"/>
          <w:szCs w:val="15"/>
        </w:rPr>
        <w:t>(注：投稿时请将具体邮箱删掉)</w:t>
      </w:r>
    </w:p>
  </w:footnote>
  <w:footnote w:id="1">
    <w:p w14:paraId="58E50DF3">
      <w:pPr>
        <w:spacing w:line="276" w:lineRule="auto"/>
        <w:ind w:firstLine="300"/>
        <w:rPr>
          <w:sz w:val="15"/>
          <w:szCs w:val="15"/>
        </w:rPr>
      </w:pPr>
      <w:r>
        <w:rPr>
          <w:rFonts w:ascii="Arial" w:hAnsi="Arial" w:eastAsia="Arial Unicode MS" w:cs="Arial"/>
          <w:sz w:val="15"/>
          <w:szCs w:val="15"/>
        </w:rPr>
        <w:t>Received</w:t>
      </w:r>
      <w:r>
        <w:rPr>
          <w:rFonts w:hint="eastAsia" w:ascii="黑体" w:hAnsi="黑体" w:eastAsia="黑体"/>
          <w:sz w:val="15"/>
          <w:szCs w:val="15"/>
        </w:rPr>
        <w:t>：</w:t>
      </w:r>
      <w:r>
        <w:rPr>
          <w:rFonts w:ascii="Arial" w:hAnsi="Arial" w:eastAsia="Arial Unicode MS" w:cs="Arial"/>
          <w:sz w:val="15"/>
          <w:szCs w:val="15"/>
        </w:rPr>
        <w:t>2024-xx-xx</w:t>
      </w:r>
      <w:r>
        <w:rPr>
          <w:rFonts w:hint="eastAsia" w:ascii="黑体" w:hAnsi="黑体" w:eastAsia="黑体"/>
          <w:sz w:val="15"/>
          <w:szCs w:val="15"/>
        </w:rPr>
        <w:t>；</w:t>
      </w:r>
      <w:r>
        <w:rPr>
          <w:rFonts w:ascii="Arial" w:hAnsi="Arial" w:eastAsia="Arial Unicode MS" w:cs="Arial"/>
          <w:sz w:val="15"/>
          <w:szCs w:val="15"/>
        </w:rPr>
        <w:t>Revised</w:t>
      </w:r>
      <w:r>
        <w:rPr>
          <w:rFonts w:hint="eastAsia" w:ascii="黑体" w:hAnsi="黑体" w:eastAsia="黑体"/>
          <w:sz w:val="15"/>
          <w:szCs w:val="15"/>
        </w:rPr>
        <w:t>：</w:t>
      </w:r>
      <w:r>
        <w:rPr>
          <w:rFonts w:ascii="Arial" w:hAnsi="Arial" w:eastAsia="Arial Unicode MS" w:cs="Arial"/>
          <w:sz w:val="15"/>
          <w:szCs w:val="15"/>
        </w:rPr>
        <w:t>2024-xx-xx</w:t>
      </w:r>
      <w:r>
        <w:rPr>
          <w:rFonts w:hint="eastAsia" w:ascii="黑体" w:hAnsi="黑体" w:eastAsia="黑体"/>
          <w:sz w:val="15"/>
          <w:szCs w:val="15"/>
        </w:rPr>
        <w:t>；</w:t>
      </w:r>
      <w:r>
        <w:rPr>
          <w:rFonts w:ascii="Arial" w:hAnsi="Arial" w:eastAsia="Arial Unicode MS" w:cs="Arial"/>
          <w:sz w:val="15"/>
          <w:szCs w:val="15"/>
        </w:rPr>
        <w:t>Accepted</w:t>
      </w:r>
      <w:r>
        <w:rPr>
          <w:rFonts w:hint="eastAsia" w:ascii="黑体" w:hAnsi="黑体" w:eastAsia="黑体"/>
          <w:sz w:val="15"/>
          <w:szCs w:val="15"/>
        </w:rPr>
        <w:t>：</w:t>
      </w:r>
      <w:r>
        <w:rPr>
          <w:rFonts w:ascii="Arial" w:hAnsi="Arial" w:eastAsia="Arial Unicode MS" w:cs="Arial"/>
          <w:sz w:val="15"/>
          <w:szCs w:val="15"/>
        </w:rPr>
        <w:t>2024-xx-xx</w:t>
      </w:r>
      <w:r>
        <w:rPr>
          <w:rFonts w:hint="eastAsia" w:ascii="黑体" w:hAnsi="黑体" w:eastAsia="黑体"/>
          <w:sz w:val="15"/>
          <w:szCs w:val="15"/>
        </w:rPr>
        <w:t>；</w:t>
      </w:r>
      <w:r>
        <w:rPr>
          <w:rFonts w:ascii="Arial" w:hAnsi="Arial" w:eastAsia="Arial Unicode MS" w:cs="Arial"/>
          <w:sz w:val="15"/>
          <w:szCs w:val="15"/>
        </w:rPr>
        <w:t>Published online</w:t>
      </w:r>
      <w:r>
        <w:rPr>
          <w:rFonts w:hint="eastAsia" w:ascii="黑体" w:hAnsi="黑体" w:eastAsia="黑体"/>
          <w:sz w:val="15"/>
          <w:szCs w:val="15"/>
        </w:rPr>
        <w:t>：</w:t>
      </w:r>
    </w:p>
    <w:p w14:paraId="689D5F61">
      <w:pPr>
        <w:pStyle w:val="23"/>
        <w:spacing w:line="276" w:lineRule="auto"/>
        <w:ind w:firstLine="300"/>
        <w:rPr>
          <w:rFonts w:ascii="Arial" w:hAnsi="Arial" w:eastAsia="Arial Unicode MS" w:cs="Arial"/>
          <w:sz w:val="15"/>
          <w:szCs w:val="15"/>
        </w:rPr>
      </w:pPr>
      <w:r>
        <w:rPr>
          <w:rFonts w:ascii="Arial" w:hAnsi="Arial" w:eastAsia="Arial Unicode MS" w:cs="Arial"/>
          <w:sz w:val="15"/>
          <w:szCs w:val="15"/>
        </w:rPr>
        <w:t>URL</w:t>
      </w:r>
      <w:r>
        <w:rPr>
          <w:rFonts w:hint="eastAsia" w:ascii="黑体" w:hAnsi="黑体" w:eastAsia="黑体"/>
          <w:sz w:val="15"/>
          <w:szCs w:val="15"/>
        </w:rPr>
        <w:t>：</w:t>
      </w:r>
    </w:p>
    <w:p w14:paraId="7F560FD6">
      <w:pPr>
        <w:pStyle w:val="23"/>
        <w:spacing w:line="276" w:lineRule="auto"/>
        <w:ind w:firstLine="300"/>
        <w:rPr>
          <w:rFonts w:ascii="Arial" w:hAnsi="Arial" w:eastAsia="Arial Unicode MS" w:cs="Arial"/>
          <w:iCs/>
          <w:color w:val="FF0000"/>
          <w:sz w:val="15"/>
          <w:szCs w:val="15"/>
        </w:rPr>
      </w:pPr>
      <w:r>
        <w:rPr>
          <w:rFonts w:ascii="Arial" w:hAnsi="Arial" w:eastAsia="Arial Unicode MS" w:cs="Arial"/>
          <w:sz w:val="15"/>
          <w:szCs w:val="15"/>
        </w:rPr>
        <w:t>Foundation items</w:t>
      </w:r>
      <w:r>
        <w:rPr>
          <w:rFonts w:hint="eastAsia" w:ascii="黑体" w:hAnsi="黑体" w:eastAsia="黑体"/>
          <w:sz w:val="15"/>
          <w:szCs w:val="15"/>
        </w:rPr>
        <w:t>：</w:t>
      </w:r>
      <w:r>
        <w:rPr>
          <w:rFonts w:ascii="Arial" w:hAnsi="Arial" w:eastAsia="Arial Unicode MS" w:cs="Arial"/>
          <w:sz w:val="15"/>
          <w:szCs w:val="15"/>
        </w:rPr>
        <w:t>National Natural Science Foundation of China (*********)</w:t>
      </w:r>
      <w:r>
        <w:rPr>
          <w:rFonts w:hint="eastAsia" w:ascii="Arial" w:hAnsi="Arial" w:eastAsia="Arial Unicode MS" w:cs="Arial"/>
          <w:sz w:val="15"/>
          <w:szCs w:val="15"/>
        </w:rPr>
        <w:t xml:space="preserve"> </w:t>
      </w:r>
      <w:r>
        <w:rPr>
          <w:rFonts w:ascii="Arial" w:hAnsi="Arial" w:eastAsia="Arial Unicode MS" w:cs="Arial"/>
          <w:iCs/>
          <w:color w:val="0000FF"/>
          <w:sz w:val="15"/>
          <w:szCs w:val="15"/>
        </w:rPr>
        <w:t>(基金项目英文名称请查询下载中心“</w:t>
      </w:r>
      <w:r>
        <w:fldChar w:fldCharType="begin"/>
      </w:r>
      <w:r>
        <w:instrText xml:space="preserve"> HYPERLINK "http://hkxb.buaa.edu.cn/hkxb/download/jijin.doc" </w:instrText>
      </w:r>
      <w:r>
        <w:fldChar w:fldCharType="separate"/>
      </w:r>
      <w:r>
        <w:rPr>
          <w:rFonts w:ascii="Arial" w:hAnsi="Arial" w:eastAsia="Arial Unicode MS" w:cs="Arial"/>
          <w:iCs/>
          <w:color w:val="0000FF"/>
          <w:sz w:val="15"/>
          <w:szCs w:val="15"/>
        </w:rPr>
        <w:t>基金项目英文名称</w:t>
      </w:r>
      <w:r>
        <w:rPr>
          <w:rFonts w:ascii="Arial" w:hAnsi="Arial" w:eastAsia="Arial Unicode MS" w:cs="Arial"/>
          <w:iCs/>
          <w:color w:val="0000FF"/>
          <w:sz w:val="15"/>
          <w:szCs w:val="15"/>
        </w:rPr>
        <w:fldChar w:fldCharType="end"/>
      </w:r>
      <w:r>
        <w:rPr>
          <w:rFonts w:ascii="Arial" w:hAnsi="Arial" w:eastAsia="Arial Unicode MS" w:cs="Arial"/>
          <w:iCs/>
          <w:color w:val="0000FF"/>
          <w:sz w:val="15"/>
          <w:szCs w:val="15"/>
        </w:rPr>
        <w:t>”)</w:t>
      </w:r>
    </w:p>
    <w:p w14:paraId="3918B6D5">
      <w:pPr>
        <w:pStyle w:val="23"/>
        <w:spacing w:line="276" w:lineRule="auto"/>
        <w:ind w:firstLine="300"/>
        <w:rPr>
          <w:rFonts w:ascii="Arial" w:hAnsi="Arial" w:eastAsia="Arial Unicode MS" w:cs="Arial"/>
          <w:sz w:val="15"/>
          <w:szCs w:val="15"/>
        </w:rPr>
      </w:pPr>
      <w:r>
        <w:rPr>
          <w:rFonts w:ascii="Arial" w:hAnsi="Arial" w:eastAsia="Arial Unicode MS" w:cs="Arial"/>
          <w:sz w:val="15"/>
          <w:szCs w:val="15"/>
        </w:rPr>
        <w:t>*Corresponding author. E-mail</w:t>
      </w:r>
      <w:r>
        <w:rPr>
          <w:rFonts w:hint="eastAsia" w:ascii="黑体" w:hAnsi="黑体" w:eastAsia="黑体"/>
          <w:sz w:val="15"/>
          <w:szCs w:val="15"/>
        </w:rPr>
        <w:t>：</w:t>
      </w:r>
      <w:r>
        <w:rPr>
          <w:rFonts w:ascii="Arial" w:hAnsi="Arial" w:eastAsia="Arial Unicode MS" w:cs="Arial"/>
          <w:color w:val="FF0000"/>
          <w:sz w:val="15"/>
          <w:szCs w:val="15"/>
        </w:rPr>
        <w:t>hkxb@buaa.edu.cn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C5796">
    <w:pPr>
      <w:pStyle w:val="19"/>
      <w:pBdr>
        <w:bottom w:val="double" w:color="auto" w:sz="6" w:space="1"/>
      </w:pBdr>
      <w:ind w:firstLine="300"/>
    </w:pPr>
    <w:r>
      <w:rPr>
        <w:rFonts w:hint="eastAsia"/>
        <w:sz w:val="15"/>
      </w:rPr>
      <w:t>航空学报</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077E31">
    <w:pPr>
      <w:pStyle w:val="19"/>
      <w:pBdr>
        <w:bottom w:val="double" w:color="auto" w:sz="4" w:space="1"/>
      </w:pBdr>
      <w:ind w:firstLine="360"/>
      <w:rPr>
        <w:szCs w:val="18"/>
      </w:rPr>
    </w:pPr>
    <w:r>
      <w:rPr>
        <w:rFonts w:hint="eastAsia" w:ascii="黑体" w:eastAsia="黑体"/>
        <w:szCs w:val="18"/>
      </w:rPr>
      <w:t>航  空  学  报</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EF764">
    <w:pPr>
      <w:pStyle w:val="19"/>
      <w:pBdr>
        <w:bottom w:val="double" w:color="auto" w:sz="4" w:space="1"/>
      </w:pBdr>
      <w:jc w:val="distribute"/>
      <w:rPr>
        <w:rFonts w:ascii="Arial" w:hAnsi="Arial" w:cs="Arial"/>
      </w:rPr>
    </w:pPr>
    <w:r>
      <w:rPr>
        <w:rFonts w:hint="eastAsia" w:ascii="黑体" w:hAnsi="华文细黑" w:eastAsia="黑体" w:cs="Arial"/>
      </w:rPr>
      <w:t xml:space="preserve">航 空 学 报 </w:t>
    </w:r>
    <w:r>
      <w:rPr>
        <w:rFonts w:ascii="Arial" w:hAnsi="Arial" w:cs="Arial"/>
      </w:rPr>
      <w:t xml:space="preserve">                                           </w:t>
    </w:r>
    <w:r>
      <w:rPr>
        <w:rFonts w:hint="eastAsia" w:ascii="Arial" w:hAnsi="Arial" w:cs="Arial"/>
      </w:rPr>
      <w:t xml:space="preserve">                 </w:t>
    </w:r>
    <w:r>
      <w:rPr>
        <w:rFonts w:ascii="Arial" w:hAnsi="Arial" w:cs="Arial"/>
      </w:rPr>
      <w:t xml:space="preserve"> </w:t>
    </w:r>
    <w:r>
      <w:rPr>
        <w:rFonts w:hint="eastAsia" w:ascii="Arial" w:hAnsi="Arial" w:cs="Arial"/>
      </w:rPr>
      <w:t xml:space="preserve">      </w:t>
    </w:r>
    <w:r>
      <w:rPr>
        <w:rFonts w:ascii="Arial" w:hAnsi="Arial" w:cs="Arial"/>
      </w:rPr>
      <w:t>Jan.</w:t>
    </w:r>
    <w:r>
      <w:rPr>
        <w:rFonts w:hint="eastAsia" w:ascii="Arial" w:hAnsi="Arial" w:cs="Arial"/>
      </w:rPr>
      <w:t xml:space="preserve"> </w:t>
    </w:r>
    <w:r>
      <w:rPr>
        <w:rFonts w:ascii="Arial" w:hAnsi="Arial" w:cs="Arial"/>
      </w:rPr>
      <w:t>25</w:t>
    </w:r>
    <w:r>
      <w:rPr>
        <w:rFonts w:hint="eastAsia" w:ascii="Arial" w:hAnsi="Arial" w:cs="Arial"/>
      </w:rPr>
      <w:t xml:space="preserve"> </w:t>
    </w:r>
    <w:r>
      <w:rPr>
        <w:rFonts w:ascii="Arial" w:hAnsi="Arial" w:cs="Arial"/>
      </w:rPr>
      <w:t>202</w:t>
    </w:r>
    <w:r>
      <w:rPr>
        <w:rFonts w:hint="eastAsia" w:ascii="Arial" w:hAnsi="Arial" w:cs="Arial"/>
      </w:rPr>
      <w:t xml:space="preserve">5 </w:t>
    </w:r>
    <w:r>
      <w:rPr>
        <w:rFonts w:ascii="Arial" w:hAnsi="Arial" w:cs="Arial"/>
      </w:rPr>
      <w:t>Vol.4</w:t>
    </w:r>
    <w:r>
      <w:rPr>
        <w:rFonts w:hint="eastAsia" w:ascii="Arial" w:hAnsi="Arial" w:cs="Arial"/>
      </w:rPr>
      <w:t xml:space="preserve">6 </w:t>
    </w:r>
    <w:r>
      <w:rPr>
        <w:rFonts w:ascii="Arial" w:hAnsi="Arial" w:cs="Arial"/>
      </w:rPr>
      <w:t>No.</w:t>
    </w:r>
    <w:r>
      <w:rPr>
        <w:rFonts w:hint="eastAsia" w:ascii="Arial" w:hAnsi="Arial" w:cs="Arial"/>
      </w:rPr>
      <w:t>X</w:t>
    </w:r>
  </w:p>
  <w:p w14:paraId="486E8F1B">
    <w:pPr>
      <w:pStyle w:val="19"/>
      <w:pBdr>
        <w:bottom w:val="double" w:color="auto" w:sz="4" w:space="1"/>
      </w:pBdr>
      <w:jc w:val="distribute"/>
      <w:rPr>
        <w:rFonts w:ascii="Arial" w:hAnsi="Arial" w:cs="Arial"/>
      </w:rPr>
    </w:pPr>
    <w:r>
      <w:rPr>
        <w:rFonts w:ascii="Arial" w:hAnsi="Arial" w:cs="Arial"/>
      </w:rPr>
      <w:t xml:space="preserve">Acta Aeronautica et Astronautica Sinica          </w:t>
    </w:r>
    <w:r>
      <w:rPr>
        <w:rFonts w:hint="eastAsia" w:ascii="Arial" w:hAnsi="Arial" w:cs="Arial"/>
      </w:rPr>
      <w:t xml:space="preserve">           </w:t>
    </w:r>
    <w:r>
      <w:rPr>
        <w:rFonts w:ascii="Arial" w:hAnsi="Arial" w:cs="Arial"/>
      </w:rPr>
      <w:t xml:space="preserve">                  </w:t>
    </w:r>
    <w:r>
      <w:rPr>
        <w:rFonts w:hint="eastAsia" w:ascii="Arial" w:hAnsi="Arial" w:cs="Arial"/>
      </w:rPr>
      <w:t xml:space="preserve">  </w:t>
    </w:r>
    <w:r>
      <w:rPr>
        <w:rFonts w:ascii="Arial" w:hAnsi="Arial" w:cs="Arial"/>
      </w:rPr>
      <w:t>ISSN 1000-6893 CN 11-1929/V</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D918A">
    <w:pPr>
      <w:pStyle w:val="19"/>
      <w:pBdr>
        <w:bottom w:val="double" w:color="auto" w:sz="6" w:space="1"/>
      </w:pBdr>
      <w:ind w:firstLine="360"/>
      <w:rPr>
        <w:rFonts w:hint="eastAsia" w:ascii="黑体" w:hAnsi="黑体" w:eastAsia="黑体"/>
        <w:szCs w:val="18"/>
      </w:rPr>
    </w:pPr>
    <w:r>
      <w:rPr>
        <w:rFonts w:hint="eastAsia" w:ascii="黑体" w:hAnsi="黑体" w:eastAsia="黑体"/>
        <w:szCs w:val="18"/>
      </w:rPr>
      <w:t xml:space="preserve">航 </w:t>
    </w:r>
    <w:r>
      <w:rPr>
        <w:rFonts w:ascii="黑体" w:hAnsi="黑体" w:eastAsia="黑体"/>
        <w:szCs w:val="18"/>
      </w:rPr>
      <w:t>空</w:t>
    </w:r>
    <w:r>
      <w:rPr>
        <w:rFonts w:hint="eastAsia" w:ascii="黑体" w:hAnsi="黑体" w:eastAsia="黑体"/>
        <w:szCs w:val="18"/>
      </w:rPr>
      <w:t xml:space="preserve"> </w:t>
    </w:r>
    <w:r>
      <w:rPr>
        <w:rFonts w:ascii="黑体" w:hAnsi="黑体" w:eastAsia="黑体"/>
        <w:szCs w:val="18"/>
      </w:rPr>
      <w:t>学</w:t>
    </w:r>
    <w:r>
      <w:rPr>
        <w:rFonts w:hint="eastAsia" w:ascii="黑体" w:hAnsi="黑体" w:eastAsia="黑体"/>
        <w:szCs w:val="18"/>
      </w:rPr>
      <w:t xml:space="preserve"> </w:t>
    </w:r>
    <w:r>
      <w:rPr>
        <w:rFonts w:ascii="黑体" w:hAnsi="黑体" w:eastAsia="黑体"/>
        <w:szCs w:val="18"/>
      </w:rPr>
      <w:t>报</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autoHyphenation/>
  <w:hyphenationZone w:val="357"/>
  <w:doNotHyphenateCaps/>
  <w:evenAndOddHeaders w:val="1"/>
  <w:drawingGridHorizontalSpacing w:val="120"/>
  <w:drawingGridVerticalSpacing w:val="163"/>
  <w:displayHorizontalDrawingGridEvery w:val="0"/>
  <w:displayVerticalDrawingGridEvery w:val="2"/>
  <w:noPunctuationKerning w:val="1"/>
  <w:characterSpacingControl w:val="doNotCompress"/>
  <w:noLineBreaksAfter w:lang="zh-CN" w:val="([{·‘“〈《「『【〔〖（．［｛￡￥"/>
  <w:noLineBreaksBefore w:lang="zh-CN" w:val="!),.:;?D]}¨·ˇˉ‖’”…∶、。〃々〉》」』】〕〗！＂＇），．：；？］｀｜｝～￠"/>
  <w:footnotePr>
    <w:footnote w:id="4"/>
    <w:footnote w:id="5"/>
  </w:footnotePr>
  <w:endnotePr>
    <w:endnote w:id="0"/>
    <w:endnote w:id="1"/>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914"/>
    <w:rsid w:val="00005814"/>
    <w:rsid w:val="00005A28"/>
    <w:rsid w:val="00010174"/>
    <w:rsid w:val="0003079C"/>
    <w:rsid w:val="00031C36"/>
    <w:rsid w:val="00043339"/>
    <w:rsid w:val="000433B7"/>
    <w:rsid w:val="00062800"/>
    <w:rsid w:val="00072437"/>
    <w:rsid w:val="00076E5C"/>
    <w:rsid w:val="00080B99"/>
    <w:rsid w:val="00085FAB"/>
    <w:rsid w:val="00086EA7"/>
    <w:rsid w:val="00097B16"/>
    <w:rsid w:val="000A0548"/>
    <w:rsid w:val="000A1D6A"/>
    <w:rsid w:val="000B1557"/>
    <w:rsid w:val="000B2D2B"/>
    <w:rsid w:val="000C4C9D"/>
    <w:rsid w:val="000D26DF"/>
    <w:rsid w:val="000E22E7"/>
    <w:rsid w:val="000E326F"/>
    <w:rsid w:val="000F17E7"/>
    <w:rsid w:val="000F4176"/>
    <w:rsid w:val="00113FEE"/>
    <w:rsid w:val="00124DD2"/>
    <w:rsid w:val="00137A93"/>
    <w:rsid w:val="00145E98"/>
    <w:rsid w:val="0015129E"/>
    <w:rsid w:val="0016052F"/>
    <w:rsid w:val="00162E9D"/>
    <w:rsid w:val="001649C8"/>
    <w:rsid w:val="001656C2"/>
    <w:rsid w:val="00175ABE"/>
    <w:rsid w:val="00181574"/>
    <w:rsid w:val="00186B89"/>
    <w:rsid w:val="001876EF"/>
    <w:rsid w:val="00191AF9"/>
    <w:rsid w:val="00195C5E"/>
    <w:rsid w:val="001A5501"/>
    <w:rsid w:val="001A60CF"/>
    <w:rsid w:val="001A63D5"/>
    <w:rsid w:val="001B4C1C"/>
    <w:rsid w:val="001B6D0A"/>
    <w:rsid w:val="001C3ADD"/>
    <w:rsid w:val="001D1313"/>
    <w:rsid w:val="001D1EE0"/>
    <w:rsid w:val="001D7CAC"/>
    <w:rsid w:val="001E101F"/>
    <w:rsid w:val="001F2276"/>
    <w:rsid w:val="001F76FD"/>
    <w:rsid w:val="00203914"/>
    <w:rsid w:val="00206C6F"/>
    <w:rsid w:val="002258A0"/>
    <w:rsid w:val="00230D67"/>
    <w:rsid w:val="002465BE"/>
    <w:rsid w:val="00253C51"/>
    <w:rsid w:val="0026398E"/>
    <w:rsid w:val="00263F77"/>
    <w:rsid w:val="00265099"/>
    <w:rsid w:val="00285BD0"/>
    <w:rsid w:val="00292F2E"/>
    <w:rsid w:val="00293B86"/>
    <w:rsid w:val="002A13E3"/>
    <w:rsid w:val="002A6790"/>
    <w:rsid w:val="002A745D"/>
    <w:rsid w:val="002B03BB"/>
    <w:rsid w:val="002C3482"/>
    <w:rsid w:val="002C795A"/>
    <w:rsid w:val="002D2001"/>
    <w:rsid w:val="002D382E"/>
    <w:rsid w:val="002D6055"/>
    <w:rsid w:val="002F4834"/>
    <w:rsid w:val="00301FEA"/>
    <w:rsid w:val="003028DC"/>
    <w:rsid w:val="00303F2A"/>
    <w:rsid w:val="00306EC5"/>
    <w:rsid w:val="00315A29"/>
    <w:rsid w:val="00315D82"/>
    <w:rsid w:val="00322E7C"/>
    <w:rsid w:val="00326251"/>
    <w:rsid w:val="00332259"/>
    <w:rsid w:val="0033394E"/>
    <w:rsid w:val="00336904"/>
    <w:rsid w:val="003406BC"/>
    <w:rsid w:val="0034281E"/>
    <w:rsid w:val="00360213"/>
    <w:rsid w:val="00365319"/>
    <w:rsid w:val="0039151A"/>
    <w:rsid w:val="003A38DA"/>
    <w:rsid w:val="003B2878"/>
    <w:rsid w:val="003B4A27"/>
    <w:rsid w:val="003B6853"/>
    <w:rsid w:val="003C07BB"/>
    <w:rsid w:val="003D621E"/>
    <w:rsid w:val="003E4876"/>
    <w:rsid w:val="003E7444"/>
    <w:rsid w:val="003F22F9"/>
    <w:rsid w:val="003F273A"/>
    <w:rsid w:val="00404E47"/>
    <w:rsid w:val="004071F9"/>
    <w:rsid w:val="00407C54"/>
    <w:rsid w:val="00410AAF"/>
    <w:rsid w:val="00424A7F"/>
    <w:rsid w:val="00427433"/>
    <w:rsid w:val="00427FA8"/>
    <w:rsid w:val="00430A4E"/>
    <w:rsid w:val="00442CF1"/>
    <w:rsid w:val="0045077B"/>
    <w:rsid w:val="0046337A"/>
    <w:rsid w:val="00471EC2"/>
    <w:rsid w:val="00473095"/>
    <w:rsid w:val="00475813"/>
    <w:rsid w:val="00475E4C"/>
    <w:rsid w:val="00480C80"/>
    <w:rsid w:val="00481F2E"/>
    <w:rsid w:val="00486FCE"/>
    <w:rsid w:val="004935DA"/>
    <w:rsid w:val="00497EEE"/>
    <w:rsid w:val="004A055D"/>
    <w:rsid w:val="004A5B5C"/>
    <w:rsid w:val="004A6532"/>
    <w:rsid w:val="004C22CE"/>
    <w:rsid w:val="004C4E1C"/>
    <w:rsid w:val="004C7D43"/>
    <w:rsid w:val="004D4DE4"/>
    <w:rsid w:val="004D6575"/>
    <w:rsid w:val="004E2306"/>
    <w:rsid w:val="004F25D5"/>
    <w:rsid w:val="004F4637"/>
    <w:rsid w:val="004F7FDC"/>
    <w:rsid w:val="00500561"/>
    <w:rsid w:val="00504358"/>
    <w:rsid w:val="00507C86"/>
    <w:rsid w:val="00510534"/>
    <w:rsid w:val="00520B1B"/>
    <w:rsid w:val="00536E63"/>
    <w:rsid w:val="005452CE"/>
    <w:rsid w:val="00547E57"/>
    <w:rsid w:val="00560C1C"/>
    <w:rsid w:val="005677AF"/>
    <w:rsid w:val="00584187"/>
    <w:rsid w:val="0058673B"/>
    <w:rsid w:val="00594D2D"/>
    <w:rsid w:val="005A295E"/>
    <w:rsid w:val="005A48E1"/>
    <w:rsid w:val="005B0FE1"/>
    <w:rsid w:val="005B246B"/>
    <w:rsid w:val="005B46F6"/>
    <w:rsid w:val="005B4D9F"/>
    <w:rsid w:val="005C441C"/>
    <w:rsid w:val="005C537B"/>
    <w:rsid w:val="005C7C37"/>
    <w:rsid w:val="00603F0D"/>
    <w:rsid w:val="00607B9B"/>
    <w:rsid w:val="00623B74"/>
    <w:rsid w:val="00624AF0"/>
    <w:rsid w:val="00625C1A"/>
    <w:rsid w:val="00630F45"/>
    <w:rsid w:val="006330C9"/>
    <w:rsid w:val="0063575C"/>
    <w:rsid w:val="0064116C"/>
    <w:rsid w:val="00643080"/>
    <w:rsid w:val="006447DF"/>
    <w:rsid w:val="00647AE7"/>
    <w:rsid w:val="00657588"/>
    <w:rsid w:val="00667756"/>
    <w:rsid w:val="00671C5D"/>
    <w:rsid w:val="006854DF"/>
    <w:rsid w:val="00686337"/>
    <w:rsid w:val="00694CD5"/>
    <w:rsid w:val="006A1B89"/>
    <w:rsid w:val="006A2F2B"/>
    <w:rsid w:val="006A529E"/>
    <w:rsid w:val="006A7B75"/>
    <w:rsid w:val="006B2FA9"/>
    <w:rsid w:val="006B4050"/>
    <w:rsid w:val="006B5723"/>
    <w:rsid w:val="006C0930"/>
    <w:rsid w:val="006C3A62"/>
    <w:rsid w:val="006C3EA6"/>
    <w:rsid w:val="006C736A"/>
    <w:rsid w:val="006D5BC0"/>
    <w:rsid w:val="006D67DC"/>
    <w:rsid w:val="006D703C"/>
    <w:rsid w:val="006F4B1F"/>
    <w:rsid w:val="00702471"/>
    <w:rsid w:val="00704F25"/>
    <w:rsid w:val="00705F35"/>
    <w:rsid w:val="00711B42"/>
    <w:rsid w:val="007165AE"/>
    <w:rsid w:val="0071759F"/>
    <w:rsid w:val="00717F2D"/>
    <w:rsid w:val="007253F9"/>
    <w:rsid w:val="00741C42"/>
    <w:rsid w:val="00750F06"/>
    <w:rsid w:val="00757351"/>
    <w:rsid w:val="007636E5"/>
    <w:rsid w:val="00767A45"/>
    <w:rsid w:val="00771C68"/>
    <w:rsid w:val="00793FCE"/>
    <w:rsid w:val="0079610A"/>
    <w:rsid w:val="007A0E72"/>
    <w:rsid w:val="007B392B"/>
    <w:rsid w:val="007C4BE1"/>
    <w:rsid w:val="007C5ED2"/>
    <w:rsid w:val="007D0961"/>
    <w:rsid w:val="007D4E8E"/>
    <w:rsid w:val="007D642E"/>
    <w:rsid w:val="007E300E"/>
    <w:rsid w:val="007F5365"/>
    <w:rsid w:val="00807F82"/>
    <w:rsid w:val="00812D9E"/>
    <w:rsid w:val="00812EE6"/>
    <w:rsid w:val="00814BB2"/>
    <w:rsid w:val="00816D72"/>
    <w:rsid w:val="00827A03"/>
    <w:rsid w:val="008419E2"/>
    <w:rsid w:val="00845F08"/>
    <w:rsid w:val="00847FD0"/>
    <w:rsid w:val="00853E97"/>
    <w:rsid w:val="00870C47"/>
    <w:rsid w:val="00872444"/>
    <w:rsid w:val="008739B9"/>
    <w:rsid w:val="008758C9"/>
    <w:rsid w:val="00880B1F"/>
    <w:rsid w:val="00886748"/>
    <w:rsid w:val="00886D32"/>
    <w:rsid w:val="008A0854"/>
    <w:rsid w:val="008A23DD"/>
    <w:rsid w:val="008A6896"/>
    <w:rsid w:val="008B24C1"/>
    <w:rsid w:val="008B28E8"/>
    <w:rsid w:val="008B2DAD"/>
    <w:rsid w:val="008B5C02"/>
    <w:rsid w:val="008C183F"/>
    <w:rsid w:val="008C245E"/>
    <w:rsid w:val="008C4B7F"/>
    <w:rsid w:val="008C4C09"/>
    <w:rsid w:val="008D0BF5"/>
    <w:rsid w:val="008E4919"/>
    <w:rsid w:val="008E570E"/>
    <w:rsid w:val="008E73A7"/>
    <w:rsid w:val="008F4FCD"/>
    <w:rsid w:val="008F5321"/>
    <w:rsid w:val="008F5C16"/>
    <w:rsid w:val="008F7DBF"/>
    <w:rsid w:val="0090601C"/>
    <w:rsid w:val="00910E5F"/>
    <w:rsid w:val="00912FC9"/>
    <w:rsid w:val="009231B4"/>
    <w:rsid w:val="009238AD"/>
    <w:rsid w:val="009323FE"/>
    <w:rsid w:val="00934828"/>
    <w:rsid w:val="00943BEA"/>
    <w:rsid w:val="00950472"/>
    <w:rsid w:val="0095237E"/>
    <w:rsid w:val="00954F04"/>
    <w:rsid w:val="00956EC8"/>
    <w:rsid w:val="00973A71"/>
    <w:rsid w:val="00980714"/>
    <w:rsid w:val="00983379"/>
    <w:rsid w:val="0098345C"/>
    <w:rsid w:val="009870FF"/>
    <w:rsid w:val="009A1161"/>
    <w:rsid w:val="009A3DB2"/>
    <w:rsid w:val="009A69B8"/>
    <w:rsid w:val="009B590E"/>
    <w:rsid w:val="009C3B44"/>
    <w:rsid w:val="009D16A6"/>
    <w:rsid w:val="009D78AE"/>
    <w:rsid w:val="009D7C76"/>
    <w:rsid w:val="00A1562A"/>
    <w:rsid w:val="00A17255"/>
    <w:rsid w:val="00A22705"/>
    <w:rsid w:val="00A22882"/>
    <w:rsid w:val="00A24D76"/>
    <w:rsid w:val="00A25DB8"/>
    <w:rsid w:val="00A33091"/>
    <w:rsid w:val="00A40BF9"/>
    <w:rsid w:val="00A42597"/>
    <w:rsid w:val="00A46B8D"/>
    <w:rsid w:val="00A57BEB"/>
    <w:rsid w:val="00A635B2"/>
    <w:rsid w:val="00A64F81"/>
    <w:rsid w:val="00A755F1"/>
    <w:rsid w:val="00A86125"/>
    <w:rsid w:val="00A92ED5"/>
    <w:rsid w:val="00A93E30"/>
    <w:rsid w:val="00A9513A"/>
    <w:rsid w:val="00A9600D"/>
    <w:rsid w:val="00A97118"/>
    <w:rsid w:val="00AA475D"/>
    <w:rsid w:val="00AB0C11"/>
    <w:rsid w:val="00AB3271"/>
    <w:rsid w:val="00AB3734"/>
    <w:rsid w:val="00AB54B3"/>
    <w:rsid w:val="00AB5885"/>
    <w:rsid w:val="00AC32DB"/>
    <w:rsid w:val="00AC640B"/>
    <w:rsid w:val="00AD1935"/>
    <w:rsid w:val="00AD3040"/>
    <w:rsid w:val="00AD7468"/>
    <w:rsid w:val="00AE185E"/>
    <w:rsid w:val="00AE5A72"/>
    <w:rsid w:val="00AE63B2"/>
    <w:rsid w:val="00AF6474"/>
    <w:rsid w:val="00B06B3E"/>
    <w:rsid w:val="00B22AF3"/>
    <w:rsid w:val="00B24710"/>
    <w:rsid w:val="00B30F59"/>
    <w:rsid w:val="00B33629"/>
    <w:rsid w:val="00B33DCB"/>
    <w:rsid w:val="00B35D01"/>
    <w:rsid w:val="00B46838"/>
    <w:rsid w:val="00B53543"/>
    <w:rsid w:val="00B55D0B"/>
    <w:rsid w:val="00B645E6"/>
    <w:rsid w:val="00B76F13"/>
    <w:rsid w:val="00B77FBE"/>
    <w:rsid w:val="00B904E8"/>
    <w:rsid w:val="00B90710"/>
    <w:rsid w:val="00B9247F"/>
    <w:rsid w:val="00B94E2E"/>
    <w:rsid w:val="00BA34CC"/>
    <w:rsid w:val="00BA641A"/>
    <w:rsid w:val="00BB0B4E"/>
    <w:rsid w:val="00BB183B"/>
    <w:rsid w:val="00BB439A"/>
    <w:rsid w:val="00BB7105"/>
    <w:rsid w:val="00BD7762"/>
    <w:rsid w:val="00BE02DF"/>
    <w:rsid w:val="00BE05C7"/>
    <w:rsid w:val="00BE414D"/>
    <w:rsid w:val="00BE4489"/>
    <w:rsid w:val="00BE4F65"/>
    <w:rsid w:val="00C0211F"/>
    <w:rsid w:val="00C02B86"/>
    <w:rsid w:val="00C03F84"/>
    <w:rsid w:val="00C049F8"/>
    <w:rsid w:val="00C1033A"/>
    <w:rsid w:val="00C108C3"/>
    <w:rsid w:val="00C11856"/>
    <w:rsid w:val="00C13E4F"/>
    <w:rsid w:val="00C145F2"/>
    <w:rsid w:val="00C40DFE"/>
    <w:rsid w:val="00C426A5"/>
    <w:rsid w:val="00C62B31"/>
    <w:rsid w:val="00C82A16"/>
    <w:rsid w:val="00C830C2"/>
    <w:rsid w:val="00C90C91"/>
    <w:rsid w:val="00C9268A"/>
    <w:rsid w:val="00C96677"/>
    <w:rsid w:val="00CA6381"/>
    <w:rsid w:val="00CB129F"/>
    <w:rsid w:val="00CC250A"/>
    <w:rsid w:val="00CD6A0C"/>
    <w:rsid w:val="00CE51B5"/>
    <w:rsid w:val="00CE5D5A"/>
    <w:rsid w:val="00D00656"/>
    <w:rsid w:val="00D00AF1"/>
    <w:rsid w:val="00D070C2"/>
    <w:rsid w:val="00D13516"/>
    <w:rsid w:val="00D16D85"/>
    <w:rsid w:val="00D210DA"/>
    <w:rsid w:val="00D22105"/>
    <w:rsid w:val="00D31B53"/>
    <w:rsid w:val="00D3493A"/>
    <w:rsid w:val="00D62C57"/>
    <w:rsid w:val="00D65581"/>
    <w:rsid w:val="00D66101"/>
    <w:rsid w:val="00D70962"/>
    <w:rsid w:val="00D75AE6"/>
    <w:rsid w:val="00D8558D"/>
    <w:rsid w:val="00D95477"/>
    <w:rsid w:val="00DA0AFA"/>
    <w:rsid w:val="00DB4B89"/>
    <w:rsid w:val="00DB6D85"/>
    <w:rsid w:val="00DC3F5D"/>
    <w:rsid w:val="00DD2C4C"/>
    <w:rsid w:val="00DD34DF"/>
    <w:rsid w:val="00DD4676"/>
    <w:rsid w:val="00DD7C9B"/>
    <w:rsid w:val="00DE5F2B"/>
    <w:rsid w:val="00DE71F9"/>
    <w:rsid w:val="00DF5F2D"/>
    <w:rsid w:val="00E030B0"/>
    <w:rsid w:val="00E05B6C"/>
    <w:rsid w:val="00E069DA"/>
    <w:rsid w:val="00E10C21"/>
    <w:rsid w:val="00E14A79"/>
    <w:rsid w:val="00E16078"/>
    <w:rsid w:val="00E164AB"/>
    <w:rsid w:val="00E26AEB"/>
    <w:rsid w:val="00E34F9E"/>
    <w:rsid w:val="00E41C0C"/>
    <w:rsid w:val="00E442A8"/>
    <w:rsid w:val="00E443E9"/>
    <w:rsid w:val="00E45617"/>
    <w:rsid w:val="00E467E9"/>
    <w:rsid w:val="00E520CB"/>
    <w:rsid w:val="00E70457"/>
    <w:rsid w:val="00E71B1C"/>
    <w:rsid w:val="00E83AEF"/>
    <w:rsid w:val="00E91C47"/>
    <w:rsid w:val="00EA0131"/>
    <w:rsid w:val="00EA1059"/>
    <w:rsid w:val="00EA43E1"/>
    <w:rsid w:val="00EA6F73"/>
    <w:rsid w:val="00EC17AA"/>
    <w:rsid w:val="00ED18FF"/>
    <w:rsid w:val="00EE5CD7"/>
    <w:rsid w:val="00EE6A38"/>
    <w:rsid w:val="00EE7348"/>
    <w:rsid w:val="00EF0AAE"/>
    <w:rsid w:val="00EF2E45"/>
    <w:rsid w:val="00F05F91"/>
    <w:rsid w:val="00F115E5"/>
    <w:rsid w:val="00F158A5"/>
    <w:rsid w:val="00F25E0A"/>
    <w:rsid w:val="00F35746"/>
    <w:rsid w:val="00F4088A"/>
    <w:rsid w:val="00F43FD5"/>
    <w:rsid w:val="00F459B0"/>
    <w:rsid w:val="00F53EE3"/>
    <w:rsid w:val="00F554C6"/>
    <w:rsid w:val="00F766D3"/>
    <w:rsid w:val="00F77FCE"/>
    <w:rsid w:val="00F8226B"/>
    <w:rsid w:val="00F84430"/>
    <w:rsid w:val="00F87ED7"/>
    <w:rsid w:val="00F92E78"/>
    <w:rsid w:val="00F957FD"/>
    <w:rsid w:val="00FA2CD3"/>
    <w:rsid w:val="00FA7095"/>
    <w:rsid w:val="00FB1984"/>
    <w:rsid w:val="00FB205D"/>
    <w:rsid w:val="00FB2165"/>
    <w:rsid w:val="00FB2B36"/>
    <w:rsid w:val="00FB5A93"/>
    <w:rsid w:val="00FC6C25"/>
    <w:rsid w:val="00FD0F1D"/>
    <w:rsid w:val="00FD35EB"/>
    <w:rsid w:val="00FD6E26"/>
    <w:rsid w:val="00FE26DD"/>
    <w:rsid w:val="00FE50B1"/>
    <w:rsid w:val="00FE7C2C"/>
    <w:rsid w:val="00FF4DDC"/>
    <w:rsid w:val="5CD72E2A"/>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name="footnote text"/>
    <w:lsdException w:unhideWhenUsed="0" w:uiPriority="0" w:name="annotation text"/>
    <w:lsdException w:unhideWhenUsed="0" w:uiPriority="0" w:semiHidden="0" w:name="header"/>
    <w:lsdException w:unhideWhenUsed="0" w:uiPriority="0" w:semiHidden="0" w:name="footer"/>
    <w:lsdException w:unhideWhenUsed="0" w:uiPriority="0" w:name="index heading"/>
    <w:lsdException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1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unhideWhenUsed="0" w:uiPriority="22" w:semiHidden="0" w:name="Strong"/>
    <w:lsdException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34" w:semiHidden="0" w:name="List Paragraph"/>
    <w:lsdException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pPr>
      <w:widowControl w:val="0"/>
      <w:suppressAutoHyphens/>
      <w:snapToGrid w:val="0"/>
      <w:spacing w:line="314" w:lineRule="atLeast"/>
      <w:jc w:val="both"/>
    </w:pPr>
    <w:rPr>
      <w:rFonts w:ascii="Times New Roman" w:hAnsi="Times New Roman" w:eastAsia="SimSun" w:cs="Times New Roman"/>
      <w:sz w:val="21"/>
      <w:szCs w:val="24"/>
      <w:lang w:val="en-US" w:eastAsia="zh-CN" w:bidi="ar-SA"/>
    </w:rPr>
  </w:style>
  <w:style w:type="paragraph" w:styleId="2">
    <w:name w:val="heading 1"/>
    <w:basedOn w:val="1"/>
    <w:next w:val="1"/>
    <w:link w:val="78"/>
    <w:pPr>
      <w:keepNext/>
      <w:spacing w:before="240" w:after="60"/>
      <w:outlineLvl w:val="0"/>
    </w:pPr>
    <w:rPr>
      <w:rFonts w:asciiTheme="majorHAnsi" w:hAnsiTheme="majorHAnsi" w:eastAsiaTheme="majorEastAsia"/>
      <w:b/>
      <w:bCs/>
      <w:kern w:val="32"/>
      <w:sz w:val="32"/>
      <w:szCs w:val="32"/>
    </w:rPr>
  </w:style>
  <w:style w:type="paragraph" w:styleId="3">
    <w:name w:val="heading 2"/>
    <w:basedOn w:val="1"/>
    <w:next w:val="1"/>
    <w:link w:val="79"/>
    <w:semiHidden/>
    <w:unhideWhenUsed/>
    <w:qFormat/>
    <w:pPr>
      <w:keepNext/>
      <w:spacing w:before="240" w:after="60"/>
      <w:outlineLvl w:val="1"/>
    </w:pPr>
    <w:rPr>
      <w:rFonts w:asciiTheme="majorHAnsi" w:hAnsiTheme="majorHAnsi" w:eastAsiaTheme="majorEastAsia"/>
      <w:b/>
      <w:bCs/>
      <w:i/>
      <w:iCs/>
      <w:sz w:val="28"/>
      <w:szCs w:val="28"/>
    </w:rPr>
  </w:style>
  <w:style w:type="paragraph" w:styleId="4">
    <w:name w:val="heading 3"/>
    <w:basedOn w:val="1"/>
    <w:next w:val="1"/>
    <w:link w:val="80"/>
    <w:semiHidden/>
    <w:unhideWhenUsed/>
    <w:qFormat/>
    <w:pPr>
      <w:keepNext/>
      <w:spacing w:before="240" w:after="60"/>
      <w:outlineLvl w:val="2"/>
    </w:pPr>
    <w:rPr>
      <w:rFonts w:asciiTheme="majorHAnsi" w:hAnsiTheme="majorHAnsi" w:eastAsiaTheme="majorEastAsia"/>
      <w:b/>
      <w:bCs/>
      <w:sz w:val="26"/>
      <w:szCs w:val="26"/>
    </w:rPr>
  </w:style>
  <w:style w:type="paragraph" w:styleId="5">
    <w:name w:val="heading 4"/>
    <w:basedOn w:val="1"/>
    <w:next w:val="1"/>
    <w:link w:val="81"/>
    <w:semiHidden/>
    <w:unhideWhenUsed/>
    <w:qFormat/>
    <w:pPr>
      <w:keepNext/>
      <w:spacing w:before="240" w:after="60"/>
      <w:outlineLvl w:val="3"/>
    </w:pPr>
    <w:rPr>
      <w:b/>
      <w:bCs/>
      <w:sz w:val="28"/>
      <w:szCs w:val="28"/>
    </w:rPr>
  </w:style>
  <w:style w:type="paragraph" w:styleId="6">
    <w:name w:val="heading 5"/>
    <w:basedOn w:val="1"/>
    <w:next w:val="1"/>
    <w:link w:val="82"/>
    <w:semiHidden/>
    <w:unhideWhenUsed/>
    <w:qFormat/>
    <w:pPr>
      <w:spacing w:before="240" w:after="60"/>
      <w:outlineLvl w:val="4"/>
    </w:pPr>
    <w:rPr>
      <w:b/>
      <w:bCs/>
      <w:i/>
      <w:iCs/>
      <w:sz w:val="26"/>
      <w:szCs w:val="26"/>
    </w:rPr>
  </w:style>
  <w:style w:type="paragraph" w:styleId="7">
    <w:name w:val="heading 6"/>
    <w:basedOn w:val="1"/>
    <w:next w:val="1"/>
    <w:link w:val="83"/>
    <w:semiHidden/>
    <w:unhideWhenUsed/>
    <w:qFormat/>
    <w:pPr>
      <w:spacing w:before="240" w:after="60"/>
      <w:outlineLvl w:val="5"/>
    </w:pPr>
    <w:rPr>
      <w:b/>
      <w:bCs/>
      <w:sz w:val="22"/>
      <w:szCs w:val="22"/>
    </w:rPr>
  </w:style>
  <w:style w:type="paragraph" w:styleId="8">
    <w:name w:val="heading 7"/>
    <w:basedOn w:val="1"/>
    <w:next w:val="1"/>
    <w:link w:val="84"/>
    <w:semiHidden/>
    <w:unhideWhenUsed/>
    <w:qFormat/>
    <w:pPr>
      <w:spacing w:before="240" w:after="60"/>
      <w:outlineLvl w:val="6"/>
    </w:pPr>
  </w:style>
  <w:style w:type="paragraph" w:styleId="9">
    <w:name w:val="heading 8"/>
    <w:basedOn w:val="1"/>
    <w:next w:val="1"/>
    <w:link w:val="85"/>
    <w:semiHidden/>
    <w:unhideWhenUsed/>
    <w:qFormat/>
    <w:pPr>
      <w:spacing w:before="240" w:after="60"/>
      <w:outlineLvl w:val="7"/>
    </w:pPr>
    <w:rPr>
      <w:i/>
      <w:iCs/>
    </w:rPr>
  </w:style>
  <w:style w:type="paragraph" w:styleId="10">
    <w:name w:val="heading 9"/>
    <w:basedOn w:val="1"/>
    <w:next w:val="1"/>
    <w:link w:val="86"/>
    <w:semiHidden/>
    <w:unhideWhenUsed/>
    <w:qFormat/>
    <w:pPr>
      <w:spacing w:before="240" w:after="60"/>
      <w:outlineLvl w:val="8"/>
    </w:pPr>
    <w:rPr>
      <w:rFonts w:asciiTheme="majorHAnsi" w:hAnsiTheme="majorHAnsi" w:eastAsiaTheme="majorEastAsia"/>
      <w:sz w:val="22"/>
      <w:szCs w:val="22"/>
    </w:rPr>
  </w:style>
  <w:style w:type="character" w:default="1" w:styleId="30">
    <w:name w:val="Default Paragraph Font"/>
    <w:semiHidden/>
    <w:unhideWhenUsed/>
    <w:qFormat/>
  </w:style>
  <w:style w:type="table" w:default="1" w:styleId="28">
    <w:name w:val="Normal Table"/>
    <w:semiHidden/>
    <w:unhideWhenUsed/>
    <w:tblPr>
      <w:tblCellMar>
        <w:top w:w="0" w:type="dxa"/>
        <w:left w:w="108" w:type="dxa"/>
        <w:bottom w:w="0" w:type="dxa"/>
        <w:right w:w="108" w:type="dxa"/>
      </w:tblCellMar>
    </w:tblPr>
  </w:style>
  <w:style w:type="paragraph" w:styleId="11">
    <w:name w:val="index 8"/>
    <w:basedOn w:val="1"/>
    <w:next w:val="1"/>
    <w:autoRedefine/>
    <w:semiHidden/>
    <w:pPr>
      <w:ind w:left="2940"/>
    </w:pPr>
  </w:style>
  <w:style w:type="paragraph" w:styleId="12">
    <w:name w:val="index 5"/>
    <w:basedOn w:val="1"/>
    <w:next w:val="1"/>
    <w:autoRedefine/>
    <w:semiHidden/>
    <w:pPr>
      <w:ind w:left="1680"/>
    </w:pPr>
  </w:style>
  <w:style w:type="paragraph" w:styleId="13">
    <w:name w:val="annotation text"/>
    <w:basedOn w:val="1"/>
    <w:semiHidden/>
  </w:style>
  <w:style w:type="paragraph" w:styleId="14">
    <w:name w:val="index 6"/>
    <w:basedOn w:val="1"/>
    <w:next w:val="1"/>
    <w:autoRedefine/>
    <w:semiHidden/>
    <w:pPr>
      <w:ind w:left="2100"/>
    </w:pPr>
  </w:style>
  <w:style w:type="paragraph" w:styleId="15">
    <w:name w:val="index 4"/>
    <w:basedOn w:val="1"/>
    <w:next w:val="1"/>
    <w:autoRedefine/>
    <w:semiHidden/>
    <w:pPr>
      <w:ind w:left="1260"/>
    </w:pPr>
  </w:style>
  <w:style w:type="paragraph" w:styleId="16">
    <w:name w:val="index 3"/>
    <w:basedOn w:val="1"/>
    <w:next w:val="1"/>
    <w:autoRedefine/>
    <w:semiHidden/>
    <w:pPr>
      <w:ind w:left="840"/>
    </w:pPr>
  </w:style>
  <w:style w:type="paragraph" w:styleId="17">
    <w:name w:val="Balloon Text"/>
    <w:basedOn w:val="1"/>
    <w:semiHidden/>
    <w:rPr>
      <w:sz w:val="18"/>
      <w:szCs w:val="18"/>
    </w:rPr>
  </w:style>
  <w:style w:type="paragraph" w:styleId="18">
    <w:name w:val="footer"/>
    <w:basedOn w:val="1"/>
    <w:pPr>
      <w:tabs>
        <w:tab w:val="center" w:pos="4153"/>
        <w:tab w:val="right" w:pos="8306"/>
      </w:tabs>
    </w:pPr>
    <w:rPr>
      <w:sz w:val="18"/>
    </w:rPr>
  </w:style>
  <w:style w:type="paragraph" w:styleId="19">
    <w:name w:val="header"/>
    <w:basedOn w:val="1"/>
    <w:pPr>
      <w:pBdr>
        <w:bottom w:val="single" w:color="auto" w:sz="6" w:space="1"/>
      </w:pBdr>
      <w:tabs>
        <w:tab w:val="center" w:pos="4153"/>
        <w:tab w:val="right" w:pos="8306"/>
      </w:tabs>
      <w:spacing w:line="240" w:lineRule="atLeast"/>
      <w:jc w:val="center"/>
    </w:pPr>
    <w:rPr>
      <w:sz w:val="18"/>
    </w:rPr>
  </w:style>
  <w:style w:type="paragraph" w:styleId="20">
    <w:name w:val="index heading"/>
    <w:basedOn w:val="1"/>
    <w:next w:val="21"/>
    <w:semiHidden/>
  </w:style>
  <w:style w:type="paragraph" w:styleId="21">
    <w:name w:val="index 1"/>
    <w:basedOn w:val="1"/>
    <w:next w:val="1"/>
    <w:autoRedefine/>
    <w:semiHidden/>
  </w:style>
  <w:style w:type="paragraph" w:styleId="22">
    <w:name w:val="Subtitle"/>
    <w:basedOn w:val="1"/>
    <w:next w:val="1"/>
    <w:link w:val="87"/>
    <w:pPr>
      <w:spacing w:after="60"/>
      <w:jc w:val="center"/>
      <w:outlineLvl w:val="1"/>
    </w:pPr>
    <w:rPr>
      <w:rFonts w:asciiTheme="majorHAnsi" w:hAnsiTheme="majorHAnsi" w:eastAsiaTheme="majorEastAsia"/>
    </w:rPr>
  </w:style>
  <w:style w:type="paragraph" w:styleId="23">
    <w:name w:val="footnote text"/>
    <w:basedOn w:val="1"/>
    <w:semiHidden/>
    <w:rPr>
      <w:sz w:val="18"/>
    </w:rPr>
  </w:style>
  <w:style w:type="paragraph" w:styleId="24">
    <w:name w:val="index 7"/>
    <w:basedOn w:val="1"/>
    <w:next w:val="1"/>
    <w:autoRedefine/>
    <w:semiHidden/>
    <w:pPr>
      <w:ind w:left="2520"/>
    </w:pPr>
  </w:style>
  <w:style w:type="paragraph" w:styleId="25">
    <w:name w:val="index 9"/>
    <w:basedOn w:val="1"/>
    <w:next w:val="1"/>
    <w:autoRedefine/>
    <w:semiHidden/>
    <w:pPr>
      <w:ind w:left="3360"/>
    </w:pPr>
  </w:style>
  <w:style w:type="paragraph" w:styleId="26">
    <w:name w:val="index 2"/>
    <w:basedOn w:val="1"/>
    <w:next w:val="1"/>
    <w:autoRedefine/>
    <w:semiHidden/>
    <w:pPr>
      <w:ind w:left="420"/>
    </w:pPr>
  </w:style>
  <w:style w:type="paragraph" w:styleId="27">
    <w:name w:val="annotation subject"/>
    <w:basedOn w:val="13"/>
    <w:next w:val="13"/>
    <w:semiHidden/>
    <w:rPr>
      <w:b/>
      <w:bCs/>
    </w:rPr>
  </w:style>
  <w:style w:type="table" w:styleId="29">
    <w:name w:val="Table Grid"/>
    <w:basedOn w:val="2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basedOn w:val="30"/>
    <w:rPr>
      <w:b/>
      <w:bCs/>
    </w:rPr>
  </w:style>
  <w:style w:type="character" w:styleId="32">
    <w:name w:val="Emphasis"/>
    <w:basedOn w:val="30"/>
    <w:rPr>
      <w:rFonts w:asciiTheme="minorHAnsi" w:hAnsiTheme="minorHAnsi"/>
      <w:b/>
      <w:i/>
      <w:iCs/>
    </w:rPr>
  </w:style>
  <w:style w:type="character" w:styleId="33">
    <w:name w:val="Hyperlink"/>
    <w:basedOn w:val="30"/>
    <w:rPr>
      <w:color w:val="0563C1" w:themeColor="hyperlink"/>
      <w:u w:val="single"/>
      <w14:textFill>
        <w14:solidFill>
          <w14:schemeClr w14:val="hlink"/>
        </w14:solidFill>
      </w14:textFill>
    </w:rPr>
  </w:style>
  <w:style w:type="character" w:styleId="34">
    <w:name w:val="annotation reference"/>
    <w:semiHidden/>
    <w:rPr>
      <w:sz w:val="21"/>
    </w:rPr>
  </w:style>
  <w:style w:type="character" w:styleId="35">
    <w:name w:val="footnote reference"/>
    <w:semiHidden/>
    <w:rPr>
      <w:vertAlign w:val="superscript"/>
    </w:rPr>
  </w:style>
  <w:style w:type="paragraph" w:customStyle="1" w:styleId="36">
    <w:name w:val="中文图题"/>
    <w:basedOn w:val="1"/>
    <w:link w:val="37"/>
    <w:qFormat/>
    <w:pPr>
      <w:autoSpaceDE w:val="0"/>
      <w:autoSpaceDN w:val="0"/>
      <w:spacing w:before="120" w:beforeLines="50" w:line="276" w:lineRule="auto"/>
      <w:jc w:val="center"/>
    </w:pPr>
    <w:rPr>
      <w:rFonts w:ascii="Times New Roman" w:hAnsi="Times New Roman" w:eastAsia="SimSun"/>
      <w:sz w:val="18"/>
      <w:szCs w:val="16"/>
    </w:rPr>
  </w:style>
  <w:style w:type="character" w:customStyle="1" w:styleId="37">
    <w:name w:val="中文图题 字符"/>
    <w:basedOn w:val="30"/>
    <w:link w:val="36"/>
    <w:rPr>
      <w:kern w:val="2"/>
      <w:sz w:val="18"/>
      <w:szCs w:val="16"/>
    </w:rPr>
  </w:style>
  <w:style w:type="paragraph" w:customStyle="1" w:styleId="38">
    <w:name w:val="中文表题"/>
    <w:basedOn w:val="1"/>
    <w:link w:val="39"/>
    <w:qFormat/>
    <w:pPr>
      <w:autoSpaceDE w:val="0"/>
      <w:autoSpaceDN w:val="0"/>
      <w:spacing w:before="240" w:beforeLines="100"/>
      <w:jc w:val="center"/>
    </w:pPr>
    <w:rPr>
      <w:rFonts w:ascii="Times New Roman" w:hAnsi="Times New Roman" w:eastAsia="SimSun"/>
      <w:b/>
      <w:sz w:val="18"/>
      <w:szCs w:val="18"/>
      <w:lang w:val="zh-CN"/>
    </w:rPr>
  </w:style>
  <w:style w:type="character" w:customStyle="1" w:styleId="39">
    <w:name w:val="中文表题 字符"/>
    <w:basedOn w:val="30"/>
    <w:link w:val="38"/>
    <w:rPr>
      <w:b/>
      <w:kern w:val="2"/>
      <w:sz w:val="18"/>
      <w:szCs w:val="18"/>
      <w:lang w:val="zh-CN"/>
    </w:rPr>
  </w:style>
  <w:style w:type="paragraph" w:customStyle="1" w:styleId="40">
    <w:name w:val="英文表题"/>
    <w:basedOn w:val="1"/>
    <w:link w:val="42"/>
    <w:qFormat/>
    <w:pPr>
      <w:autoSpaceDE w:val="0"/>
      <w:autoSpaceDN w:val="0"/>
      <w:spacing w:after="120"/>
      <w:jc w:val="center"/>
    </w:pPr>
    <w:rPr>
      <w:rFonts w:eastAsia="SimSun" w:ascii="Times New Roman" w:hAnsi="Times New Roman"/>
      <w:b/>
      <w:bCs/>
      <w:sz w:val="17"/>
      <w:szCs w:val="18"/>
    </w:rPr>
  </w:style>
  <w:style w:type="paragraph" w:customStyle="1" w:styleId="41">
    <w:name w:val="英文图题"/>
    <w:basedOn w:val="1"/>
    <w:link w:val="43"/>
    <w:qFormat/>
    <w:pPr>
      <w:autoSpaceDE w:val="0"/>
      <w:autoSpaceDN w:val="0"/>
      <w:spacing w:after="240" w:afterLines="100" w:line="276" w:lineRule="auto"/>
      <w:jc w:val="center"/>
    </w:pPr>
    <w:rPr>
      <w:rFonts w:ascii="Times New Roman" w:hAnsi="Times New Roman" w:eastAsia="SimSun"/>
      <w:bCs/>
      <w:sz w:val="17"/>
      <w:szCs w:val="18"/>
    </w:rPr>
  </w:style>
  <w:style w:type="character" w:customStyle="1" w:styleId="42">
    <w:name w:val="英文表题 字符"/>
    <w:basedOn w:val="30"/>
    <w:link w:val="40"/>
    <w:rPr>
      <w:rFonts w:eastAsia="黑体"/>
      <w:b/>
      <w:bCs/>
      <w:kern w:val="2"/>
      <w:sz w:val="18"/>
      <w:szCs w:val="18"/>
    </w:rPr>
  </w:style>
  <w:style w:type="character" w:customStyle="1" w:styleId="43">
    <w:name w:val="英文图题 字符"/>
    <w:basedOn w:val="30"/>
    <w:link w:val="41"/>
    <w:rPr>
      <w:bCs/>
      <w:kern w:val="2"/>
      <w:sz w:val="18"/>
      <w:szCs w:val="18"/>
    </w:rPr>
  </w:style>
  <w:style w:type="paragraph" w:customStyle="1" w:styleId="44">
    <w:name w:val="中文文题"/>
    <w:basedOn w:val="1"/>
    <w:link w:val="45"/>
    <w:qFormat/>
    <w:pPr>
      <w:spacing w:after="240" w:afterLines="100"/>
    </w:pPr>
    <w:rPr>
      <w:rFonts w:ascii="Times New Roman" w:hAnsi="Times New Roman" w:eastAsia="SimSun"/>
      <w:b/>
      <w:sz w:val="36"/>
      <w:szCs w:val="36"/>
    </w:rPr>
  </w:style>
  <w:style w:type="character" w:customStyle="1" w:styleId="45">
    <w:name w:val="中文文题 字符"/>
    <w:basedOn w:val="30"/>
    <w:link w:val="44"/>
    <w:rPr>
      <w:rFonts w:ascii="华文中宋" w:hAnsi="华文中宋" w:eastAsia="华文中宋"/>
      <w:sz w:val="36"/>
      <w:szCs w:val="36"/>
    </w:rPr>
  </w:style>
  <w:style w:type="table" w:customStyle="1" w:styleId="46">
    <w:name w:val="Grid Table Light"/>
    <w:basedOn w:val="28"/>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47">
    <w:name w:val="表内文字"/>
    <w:basedOn w:val="1"/>
    <w:link w:val="48"/>
    <w:qFormat/>
    <w:pPr>
      <w:autoSpaceDE w:val="0"/>
      <w:autoSpaceDN w:val="0"/>
      <w:spacing w:before="10" w:beforeLines="10" w:after="10" w:afterLines="10" w:line="240" w:lineRule="auto"/>
    </w:pPr>
    <w:rPr>
      <w:rFonts w:ascii="Times New Roman" w:hAnsi="Times New Roman" w:eastAsia="SimSun"/>
      <w:sz w:val="17"/>
      <w:szCs w:val="18"/>
    </w:rPr>
  </w:style>
  <w:style w:type="character" w:customStyle="1" w:styleId="48">
    <w:name w:val="表内文字 字符"/>
    <w:basedOn w:val="30"/>
    <w:link w:val="47"/>
    <w:rPr>
      <w:rFonts w:ascii="Times New Roman" w:hAnsi="Times New Roman" w:eastAsia="宋体"/>
      <w:sz w:val="18"/>
      <w:szCs w:val="18"/>
    </w:rPr>
  </w:style>
  <w:style w:type="character" w:customStyle="1" w:styleId="49">
    <w:name w:val="Unresolved Mention"/>
    <w:semiHidden/>
    <w:unhideWhenUsed/>
    <w:rPr>
      <w:color w:val="605E5C"/>
      <w:shd w:val="clear" w:color="auto" w:fill="E1DFDD"/>
    </w:rPr>
  </w:style>
  <w:style w:type="paragraph" w:customStyle="1" w:styleId="50">
    <w:name w:val="引用格式"/>
    <w:basedOn w:val="1"/>
    <w:next w:val="2"/>
    <w:link w:val="51"/>
    <w:qFormat/>
    <w:pPr>
      <w:spacing w:before="120" w:beforeLines="50" w:line="240" w:lineRule="exact"/>
      <w:ind w:left="825" w:hanging="825" w:hangingChars="550"/>
    </w:pPr>
    <w:rPr>
      <w:rFonts w:eastAsia="仿宋_GB2312"/>
      <w:bCs/>
      <w:i/>
      <w:sz w:val="15"/>
      <w:szCs w:val="15"/>
    </w:rPr>
  </w:style>
  <w:style w:type="character" w:customStyle="1" w:styleId="51">
    <w:name w:val="引用格式 字符"/>
    <w:basedOn w:val="30"/>
    <w:link w:val="50"/>
    <w:rPr>
      <w:rFonts w:eastAsia="仿宋_GB2312"/>
      <w:bCs/>
      <w:i/>
      <w:kern w:val="2"/>
      <w:sz w:val="15"/>
      <w:szCs w:val="15"/>
    </w:rPr>
  </w:style>
  <w:style w:type="paragraph" w:customStyle="1" w:styleId="52">
    <w:name w:val="中文作者名"/>
    <w:basedOn w:val="1"/>
    <w:next w:val="53"/>
    <w:link w:val="54"/>
    <w:qFormat/>
    <w:pPr>
      <w:spacing w:after="120"/>
    </w:pPr>
    <w:rPr>
      <w:rFonts w:eastAsia="楷体"/>
      <w:kern w:val="2"/>
      <w:sz w:val="28"/>
      <w:szCs w:val="28"/>
      <w:lang w:val="zh-CN"/>
    </w:rPr>
  </w:style>
  <w:style w:type="paragraph" w:customStyle="1" w:styleId="53">
    <w:name w:val="中文作者单位"/>
    <w:basedOn w:val="1"/>
    <w:link w:val="55"/>
    <w:qFormat/>
    <w:pPr>
      <w:autoSpaceDE w:val="0"/>
      <w:autoSpaceDN w:val="0"/>
      <w:spacing w:line="300" w:lineRule="exact"/>
    </w:pPr>
    <w:rPr>
      <w:rFonts w:eastAsia="仿宋"/>
      <w:color w:val="000000"/>
      <w:sz w:val="18"/>
      <w:szCs w:val="18"/>
      <w:lang w:val="zh-CN"/>
    </w:rPr>
  </w:style>
  <w:style w:type="character" w:customStyle="1" w:styleId="54">
    <w:name w:val="中文作者名 字符"/>
    <w:basedOn w:val="30"/>
    <w:link w:val="52"/>
    <w:rPr>
      <w:rFonts w:ascii="Times New Roman" w:hAnsi="Times New Roman" w:eastAsia="楷体"/>
      <w:kern w:val="2"/>
      <w:sz w:val="28"/>
      <w:szCs w:val="28"/>
      <w:lang w:val="zh-CN"/>
    </w:rPr>
  </w:style>
  <w:style w:type="character" w:customStyle="1" w:styleId="55">
    <w:name w:val="中文作者单位 字符"/>
    <w:basedOn w:val="30"/>
    <w:link w:val="53"/>
    <w:rPr>
      <w:rFonts w:eastAsia="仿宋"/>
      <w:color w:val="000000"/>
      <w:kern w:val="2"/>
      <w:sz w:val="18"/>
      <w:szCs w:val="18"/>
      <w:lang w:val="zh-CN"/>
    </w:rPr>
  </w:style>
  <w:style w:type="paragraph" w:customStyle="1" w:styleId="56">
    <w:name w:val="中文摘要"/>
    <w:basedOn w:val="1"/>
    <w:next w:val="57"/>
    <w:link w:val="58"/>
    <w:qFormat/>
    <w:pPr>
      <w:autoSpaceDE w:val="0"/>
      <w:autoSpaceDN w:val="0"/>
      <w:spacing w:before="120" w:beforeLines="50" w:line="300" w:lineRule="exact"/>
    </w:pPr>
    <w:rPr>
      <w:rFonts w:ascii="Times New Roman" w:hAnsi="Times New Roman" w:eastAsia="SimSun"/>
      <w:color w:val="000000"/>
      <w:sz w:val="19"/>
      <w:szCs w:val="18"/>
      <w:lang w:val="zh-CN"/>
    </w:rPr>
  </w:style>
  <w:style w:type="paragraph" w:customStyle="1" w:styleId="57">
    <w:name w:val="中文关键词"/>
    <w:basedOn w:val="1"/>
    <w:link w:val="59"/>
    <w:qFormat/>
    <w:pPr>
      <w:autoSpaceDE w:val="0"/>
      <w:autoSpaceDN w:val="0"/>
      <w:spacing w:before="120" w:beforeLines="50" w:line="300" w:lineRule="exact"/>
      <w:ind w:right="425"/>
    </w:pPr>
    <w:rPr>
      <w:rFonts w:ascii="Times New Roman" w:hAnsi="Times New Roman" w:eastAsia="SimSun"/>
      <w:color w:val="000000"/>
      <w:sz w:val="19"/>
      <w:szCs w:val="18"/>
      <w:lang w:val="zh-CN"/>
    </w:rPr>
  </w:style>
  <w:style w:type="character" w:customStyle="1" w:styleId="58">
    <w:name w:val="中文摘要 字符"/>
    <w:basedOn w:val="30"/>
    <w:link w:val="56"/>
    <w:rPr>
      <w:color w:val="000000"/>
      <w:kern w:val="2"/>
      <w:sz w:val="18"/>
      <w:szCs w:val="18"/>
      <w:lang w:val="zh-CN"/>
    </w:rPr>
  </w:style>
  <w:style w:type="character" w:customStyle="1" w:styleId="59">
    <w:name w:val="中文关键词 字符"/>
    <w:basedOn w:val="30"/>
    <w:link w:val="57"/>
    <w:rPr>
      <w:color w:val="000000"/>
      <w:kern w:val="2"/>
      <w:sz w:val="18"/>
      <w:szCs w:val="18"/>
      <w:lang w:val="zh-CN"/>
    </w:rPr>
  </w:style>
  <w:style w:type="paragraph" w:customStyle="1" w:styleId="60">
    <w:name w:val="节题1"/>
    <w:basedOn w:val="1"/>
    <w:next w:val="1"/>
    <w:link w:val="61"/>
    <w:qFormat/>
    <w:pPr>
      <w:autoSpaceDE w:val="0"/>
      <w:autoSpaceDN w:val="0"/>
      <w:spacing w:before="120" w:beforeLines="50" w:after="120" w:afterLines="50"/>
    </w:pPr>
    <w:rPr>
      <w:rFonts w:ascii="Times New Roman" w:hAnsi="Times New Roman" w:eastAsia="SimSun"/>
      <w:b/>
      <w:bCs/>
      <w:kern w:val="2"/>
      <w:sz w:val="26"/>
    </w:rPr>
  </w:style>
  <w:style w:type="character" w:customStyle="1" w:styleId="61">
    <w:name w:val="节题1 字符"/>
    <w:basedOn w:val="30"/>
    <w:link w:val="60"/>
    <w:rPr>
      <w:rFonts w:ascii="Times New Roman" w:hAnsi="Times New Roman" w:eastAsia="宋体"/>
      <w:b/>
      <w:bCs/>
      <w:kern w:val="2"/>
      <w:sz w:val="24"/>
      <w:szCs w:val="24"/>
    </w:rPr>
  </w:style>
  <w:style w:type="paragraph" w:customStyle="1" w:styleId="62">
    <w:name w:val="节题2"/>
    <w:basedOn w:val="60"/>
    <w:next w:val="1"/>
    <w:link w:val="63"/>
    <w:qFormat/>
    <w:rPr>
      <w:rFonts w:eastAsia="SimSun" w:ascii="Times New Roman" w:hAnsi="Times New Roman"/>
      <w:b/>
      <w:bCs w:val="0"/>
      <w:sz w:val="22"/>
      <w:szCs w:val="21"/>
    </w:rPr>
  </w:style>
  <w:style w:type="character" w:customStyle="1" w:styleId="63">
    <w:name w:val="节题2 字符"/>
    <w:basedOn w:val="61"/>
    <w:link w:val="62"/>
    <w:rPr>
      <w:rFonts w:ascii="Times New Roman" w:hAnsi="Times New Roman" w:eastAsia="黑体"/>
      <w:b w:val="0"/>
      <w:bCs w:val="0"/>
      <w:kern w:val="2"/>
      <w:sz w:val="21"/>
      <w:szCs w:val="21"/>
    </w:rPr>
  </w:style>
  <w:style w:type="paragraph" w:customStyle="1" w:styleId="64">
    <w:name w:val="节题3"/>
    <w:basedOn w:val="62"/>
    <w:next w:val="1"/>
    <w:link w:val="65"/>
    <w:qFormat/>
    <w:rPr>
      <w:rFonts w:eastAsia="SimSun" w:ascii="Times New Roman" w:hAnsi="Times New Roman"/>
      <w:b/>
      <w:sz w:val="21"/>
      <w:lang w:val="zh-CN"/>
    </w:rPr>
  </w:style>
  <w:style w:type="character" w:customStyle="1" w:styleId="65">
    <w:name w:val="节题3 字符"/>
    <w:basedOn w:val="63"/>
    <w:link w:val="64"/>
    <w:rPr>
      <w:rFonts w:ascii="Times New Roman" w:hAnsi="Times New Roman" w:eastAsia="仿宋"/>
      <w:kern w:val="2"/>
      <w:sz w:val="21"/>
      <w:szCs w:val="21"/>
      <w:lang w:val="zh-CN"/>
    </w:rPr>
  </w:style>
  <w:style w:type="paragraph" w:customStyle="1" w:styleId="66">
    <w:name w:val="参考文献"/>
    <w:basedOn w:val="1"/>
    <w:link w:val="67"/>
    <w:qFormat/>
    <w:pPr>
      <w:tabs>
        <w:tab w:val="left" w:pos="420"/>
      </w:tabs>
      <w:autoSpaceDE w:val="0"/>
      <w:autoSpaceDN w:val="0"/>
      <w:spacing w:line="314" w:lineRule="exact"/>
      <w:ind w:left="360" w:hanging="360" w:hangingChars="200"/>
    </w:pPr>
    <w:rPr>
      <w:rFonts w:ascii="Times New Roman" w:hAnsi="Times New Roman" w:eastAsia="SimSun"/>
      <w:sz w:val="18"/>
      <w:szCs w:val="18"/>
    </w:rPr>
  </w:style>
  <w:style w:type="character" w:customStyle="1" w:styleId="67">
    <w:name w:val="参考文献 字符"/>
    <w:basedOn w:val="30"/>
    <w:link w:val="66"/>
    <w:rPr>
      <w:kern w:val="2"/>
      <w:sz w:val="18"/>
      <w:szCs w:val="18"/>
    </w:rPr>
  </w:style>
  <w:style w:type="paragraph" w:customStyle="1" w:styleId="68">
    <w:name w:val="英文文题"/>
    <w:basedOn w:val="1"/>
    <w:next w:val="69"/>
    <w:link w:val="71"/>
    <w:qFormat/>
    <w:pPr>
      <w:autoSpaceDE w:val="0"/>
      <w:autoSpaceDN w:val="0"/>
      <w:spacing w:before="240" w:beforeLines="100" w:after="120" w:afterLines="50" w:line="360" w:lineRule="auto"/>
      <w:ind w:right="851"/>
    </w:pPr>
    <w:rPr>
      <w:rFonts w:ascii="Times New Roman" w:hAnsi="Times New Roman" w:eastAsia="SimSun"/>
      <w:b/>
      <w:bCs/>
      <w:sz w:val="26"/>
      <w:szCs w:val="28"/>
    </w:rPr>
  </w:style>
  <w:style w:type="paragraph" w:customStyle="1" w:styleId="69">
    <w:name w:val="英文作者名"/>
    <w:basedOn w:val="1"/>
    <w:next w:val="70"/>
    <w:link w:val="72"/>
    <w:qFormat/>
    <w:pPr>
      <w:autoSpaceDE w:val="0"/>
      <w:autoSpaceDN w:val="0"/>
      <w:spacing w:after="120" w:afterLines="50" w:line="300" w:lineRule="exact"/>
    </w:pPr>
  </w:style>
  <w:style w:type="paragraph" w:customStyle="1" w:styleId="70">
    <w:name w:val="英文作者单位"/>
    <w:basedOn w:val="53"/>
    <w:link w:val="73"/>
    <w:qFormat/>
    <w:rPr>
      <w:i/>
      <w:iCs/>
    </w:rPr>
  </w:style>
  <w:style w:type="character" w:customStyle="1" w:styleId="71">
    <w:name w:val="英文文题 字符"/>
    <w:basedOn w:val="30"/>
    <w:link w:val="68"/>
    <w:rPr>
      <w:b/>
      <w:bCs/>
      <w:kern w:val="2"/>
      <w:sz w:val="28"/>
      <w:szCs w:val="28"/>
    </w:rPr>
  </w:style>
  <w:style w:type="character" w:customStyle="1" w:styleId="72">
    <w:name w:val="英文作者名 字符"/>
    <w:basedOn w:val="30"/>
    <w:link w:val="69"/>
    <w:rPr>
      <w:kern w:val="2"/>
      <w:sz w:val="21"/>
    </w:rPr>
  </w:style>
  <w:style w:type="character" w:customStyle="1" w:styleId="73">
    <w:name w:val="英文作者单位 字符"/>
    <w:basedOn w:val="55"/>
    <w:link w:val="70"/>
    <w:rPr>
      <w:rFonts w:eastAsia="仿宋"/>
      <w:i/>
      <w:iCs/>
      <w:color w:val="000000"/>
      <w:kern w:val="2"/>
      <w:sz w:val="18"/>
      <w:szCs w:val="18"/>
      <w:lang w:val="zh-CN"/>
    </w:rPr>
  </w:style>
  <w:style w:type="paragraph" w:customStyle="1" w:styleId="74">
    <w:name w:val="英文摘要"/>
    <w:basedOn w:val="1"/>
    <w:next w:val="75"/>
    <w:link w:val="76"/>
    <w:qFormat/>
    <w:pPr>
      <w:autoSpaceDE w:val="0"/>
      <w:autoSpaceDN w:val="0"/>
      <w:spacing w:before="120" w:beforeLines="50" w:after="120" w:afterLines="50" w:line="300" w:lineRule="exact"/>
    </w:pPr>
    <w:rPr>
      <w:rFonts w:ascii="Times New Roman" w:hAnsi="Times New Roman" w:eastAsia="SimSun"/>
      <w:sz w:val="19"/>
    </w:rPr>
  </w:style>
  <w:style w:type="paragraph" w:customStyle="1" w:styleId="75">
    <w:name w:val="英文关键词"/>
    <w:basedOn w:val="1"/>
    <w:next w:val="1"/>
    <w:link w:val="77"/>
    <w:qFormat/>
    <w:rPr>
      <w:rFonts w:ascii="Times New Roman" w:hAnsi="Times New Roman" w:eastAsia="SimSun"/>
      <w:sz w:val="19"/>
      <w:szCs w:val="18"/>
    </w:rPr>
  </w:style>
  <w:style w:type="character" w:customStyle="1" w:styleId="76">
    <w:name w:val="英文摘要 字符"/>
    <w:basedOn w:val="30"/>
    <w:link w:val="74"/>
    <w:rPr>
      <w:kern w:val="2"/>
      <w:sz w:val="18"/>
    </w:rPr>
  </w:style>
  <w:style w:type="character" w:customStyle="1" w:styleId="77">
    <w:name w:val="英文关键词 字符"/>
    <w:basedOn w:val="30"/>
    <w:link w:val="75"/>
    <w:rPr>
      <w:kern w:val="2"/>
      <w:sz w:val="18"/>
      <w:szCs w:val="18"/>
    </w:rPr>
  </w:style>
  <w:style w:type="character" w:customStyle="1" w:styleId="78">
    <w:name w:val="标题 1 字符"/>
    <w:basedOn w:val="30"/>
    <w:link w:val="2"/>
    <w:rPr>
      <w:rFonts w:asciiTheme="majorHAnsi" w:hAnsiTheme="majorHAnsi" w:eastAsiaTheme="majorEastAsia"/>
      <w:b/>
      <w:bCs/>
      <w:kern w:val="32"/>
      <w:sz w:val="32"/>
      <w:szCs w:val="32"/>
    </w:rPr>
  </w:style>
  <w:style w:type="character" w:customStyle="1" w:styleId="79">
    <w:name w:val="标题 2 字符"/>
    <w:basedOn w:val="30"/>
    <w:link w:val="3"/>
    <w:semiHidden/>
    <w:rPr>
      <w:rFonts w:asciiTheme="majorHAnsi" w:hAnsiTheme="majorHAnsi" w:eastAsiaTheme="majorEastAsia"/>
      <w:b/>
      <w:bCs/>
      <w:i/>
      <w:iCs/>
      <w:sz w:val="28"/>
      <w:szCs w:val="28"/>
    </w:rPr>
  </w:style>
  <w:style w:type="character" w:customStyle="1" w:styleId="80">
    <w:name w:val="标题 3 字符"/>
    <w:basedOn w:val="30"/>
    <w:link w:val="4"/>
    <w:semiHidden/>
    <w:rPr>
      <w:rFonts w:asciiTheme="majorHAnsi" w:hAnsiTheme="majorHAnsi" w:eastAsiaTheme="majorEastAsia"/>
      <w:b/>
      <w:bCs/>
      <w:sz w:val="26"/>
      <w:szCs w:val="26"/>
    </w:rPr>
  </w:style>
  <w:style w:type="character" w:customStyle="1" w:styleId="81">
    <w:name w:val="标题 4 字符"/>
    <w:basedOn w:val="30"/>
    <w:link w:val="5"/>
    <w:semiHidden/>
    <w:rPr>
      <w:b/>
      <w:bCs/>
      <w:sz w:val="28"/>
      <w:szCs w:val="28"/>
    </w:rPr>
  </w:style>
  <w:style w:type="character" w:customStyle="1" w:styleId="82">
    <w:name w:val="标题 5 字符"/>
    <w:basedOn w:val="30"/>
    <w:link w:val="6"/>
    <w:semiHidden/>
    <w:rPr>
      <w:b/>
      <w:bCs/>
      <w:i/>
      <w:iCs/>
      <w:sz w:val="26"/>
      <w:szCs w:val="26"/>
    </w:rPr>
  </w:style>
  <w:style w:type="character" w:customStyle="1" w:styleId="83">
    <w:name w:val="标题 6 字符"/>
    <w:basedOn w:val="30"/>
    <w:link w:val="7"/>
    <w:semiHidden/>
    <w:rPr>
      <w:b/>
      <w:bCs/>
    </w:rPr>
  </w:style>
  <w:style w:type="character" w:customStyle="1" w:styleId="84">
    <w:name w:val="标题 7 字符"/>
    <w:basedOn w:val="30"/>
    <w:link w:val="8"/>
    <w:semiHidden/>
    <w:rPr>
      <w:sz w:val="24"/>
      <w:szCs w:val="24"/>
    </w:rPr>
  </w:style>
  <w:style w:type="character" w:customStyle="1" w:styleId="85">
    <w:name w:val="标题 8 字符"/>
    <w:basedOn w:val="30"/>
    <w:link w:val="9"/>
    <w:semiHidden/>
    <w:rPr>
      <w:i/>
      <w:iCs/>
      <w:sz w:val="24"/>
      <w:szCs w:val="24"/>
    </w:rPr>
  </w:style>
  <w:style w:type="character" w:customStyle="1" w:styleId="86">
    <w:name w:val="标题 9 字符"/>
    <w:basedOn w:val="30"/>
    <w:link w:val="10"/>
    <w:semiHidden/>
    <w:rPr>
      <w:rFonts w:asciiTheme="majorHAnsi" w:hAnsiTheme="majorHAnsi" w:eastAsiaTheme="majorEastAsia"/>
    </w:rPr>
  </w:style>
  <w:style w:type="character" w:customStyle="1" w:styleId="87">
    <w:name w:val="副标题 字符"/>
    <w:basedOn w:val="30"/>
    <w:link w:val="22"/>
    <w:rPr>
      <w:rFonts w:asciiTheme="majorHAnsi" w:hAnsiTheme="majorHAnsi" w:eastAsiaTheme="majorEastAsia"/>
      <w:sz w:val="24"/>
      <w:szCs w:val="24"/>
    </w:rPr>
  </w:style>
  <w:style w:type="paragraph" w:styleId="88">
    <w:name w:val="List Paragraph"/>
    <w:basedOn w:val="1"/>
    <w:pPr>
      <w:ind w:left="720"/>
      <w:contextualSpacing/>
    </w:pPr>
  </w:style>
  <w:style w:type="paragraph" w:styleId="89">
    <w:name w:val="Quote"/>
    <w:basedOn w:val="1"/>
    <w:next w:val="1"/>
    <w:link w:val="90"/>
    <w:rPr>
      <w:i/>
    </w:rPr>
  </w:style>
  <w:style w:type="character" w:customStyle="1" w:styleId="90">
    <w:name w:val="引用 字符"/>
    <w:basedOn w:val="30"/>
    <w:link w:val="89"/>
    <w:rPr>
      <w:i/>
      <w:sz w:val="24"/>
      <w:szCs w:val="24"/>
    </w:rPr>
  </w:style>
  <w:style w:type="character" w:customStyle="1" w:styleId="91">
    <w:name w:val="Subtle Emphasis"/>
    <w:rPr>
      <w:i/>
      <w:color w:val="595959" w:themeColor="text1" w:themeTint="A6"/>
      <w14:textFill>
        <w14:solidFill>
          <w14:schemeClr w14:val="tx1">
            <w14:lumMod w14:val="65000"/>
            <w14:lumOff w14:val="35000"/>
          </w14:schemeClr>
        </w14:solidFill>
      </w14:textFill>
    </w:rPr>
  </w:style>
  <w:style w:type="character" w:customStyle="1" w:styleId="92">
    <w:name w:val="Intense Emphasis"/>
    <w:basedOn w:val="30"/>
    <w:rPr>
      <w:b/>
      <w:i/>
      <w:sz w:val="24"/>
      <w:szCs w:val="24"/>
      <w:u w:val="single"/>
    </w:rPr>
  </w:style>
  <w:style w:type="character" w:customStyle="1" w:styleId="93">
    <w:name w:val="Subtle Reference"/>
    <w:basedOn w:val="30"/>
    <w:rPr>
      <w:sz w:val="24"/>
      <w:szCs w:val="24"/>
      <w:u w:val="single"/>
    </w:rPr>
  </w:style>
  <w:style w:type="paragraph" w:customStyle="1" w:styleId="94">
    <w:name w:val="TOC Heading"/>
    <w:basedOn w:val="2"/>
    <w:next w:val="1"/>
    <w:semiHidden/>
    <w:unhideWhenUsed/>
    <w:qFormat/>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4.tiff"/><Relationship Id="rId16" Type="http://schemas.openxmlformats.org/officeDocument/2006/relationships/image" Target="media/image3.tiff"/><Relationship Id="rId15" Type="http://schemas.openxmlformats.org/officeDocument/2006/relationships/image" Target="media/image2.jpeg"/><Relationship Id="rId14" Type="http://schemas.openxmlformats.org/officeDocument/2006/relationships/image" Target="media/image1.wmf"/><Relationship Id="rId13" Type="http://schemas.openxmlformats.org/officeDocument/2006/relationships/oleObject" Target="embeddings/oleObject1.bin"/><Relationship Id="rId12" Type="http://schemas.openxmlformats.org/officeDocument/2006/relationships/theme" Target="theme/theme1.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XC\Documents\&#33258;&#23450;&#20041;%20Office%20&#27169;&#26495;\&#20013;&#25991;&#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26EA1A-EA72-4310-B552-D9BF71374AF2}">
  <ds:schemaRefs/>
</ds:datastoreItem>
</file>

<file path=docProps/app.xml><?xml version="1.0" encoding="utf-8"?>
<Properties xmlns="http://schemas.openxmlformats.org/officeDocument/2006/extended-properties" xmlns:vt="http://schemas.openxmlformats.org/officeDocument/2006/docPropsVTypes">
  <Template>中文模板</Template>
  <Company>航空学报杂志社</Company>
  <Pages>8</Pages>
  <Words>3069</Words>
  <Characters>3580</Characters>
  <Lines>149</Lines>
  <Paragraphs>120</Paragraphs>
  <TotalTime>15</TotalTime>
  <ScaleCrop>false</ScaleCrop>
  <LinksUpToDate>false</LinksUpToDate>
  <CharactersWithSpaces>3715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2025-06-18T09:38:00Z</dcterms:created>
  <dc:creator/>
  <cp:lastModifiedBy/>
  <cp:lastPrinted>2015-10-23T07:54:00Z</cp:lastPrinted>
  <dcterms:modified xsi:type="dcterms:W3CDTF">2026-02-26T06:54:06Z</dcterms:modified>
  <dc:title>图谱增强的扑翼飞行器设计问答方法</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054A9DF1BE054E39ACC03F79920081EA_13</vt:lpwstr>
  </property>
</Properties>
</file>