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Request for Market Analysis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Independent assessment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Independent market analysts / advisory firms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[Founder, company name redacted for assessment purposes]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[Insert date]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Engagement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Independent written market assessment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of this request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We are seeking independent market assessments from a small number of analysts to inform strategic and capital-formation decisions. Each respondent will receive the same brief and will be asked to deliver an independent written analysis — we are deliberately not sharing other respondents' inputs.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deliverables we are looking for are described in Section 6. Please confirm scope and pricing before commencing work.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Company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this product exists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category's deepest psychological hook is the dream of financial freedom through real estate. The influencer ecosystem (creator-led real-estate education) sells that dream at scale but stops at education and inspiration. Property listing portals supply inventory at scale but offer no structuring know-how. Users motivated by the dream freeze at the “what next?” moment when looking at a real listing — they have aspiration and inventory, but no bridge between them.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This product is the bridge.</w:t>
      </w:r>
      <w:r>
        <w:rPr>
          <w:rFonts w:ascii="Arial" w:cs="Arial" w:eastAsia="Arial" w:hAnsi="Arial"/>
        </w:rPr>
        <w:t xml:space="preserve"> Every feature exists to convert “I want financial freedom through real estate” into “here is the structured offer I'm sending on this specific property.”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Category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Vertical SaaS for residential real-estate investors in the United States.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 web and mobile application that takes any US property address as input and returns, within seconds: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 multi-source valuation drawn from several third-party data providers, expressed as a percentage gap between verified value and asking price, with a plain-English explanation of each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 set of pre-structured offer scenarios showing how a given property could close — under price-only, capital-only, financing-only, income-re-verification, or blended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 per-scenario negotiation script designed to be printed, emailed, or copied to clipboard.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Strategy worksheets modeling the property under six investment strategies (long-term rental, short-term rental, BRRRR, fix-and-flip, house hack, wholesale).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Architecture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Single codebase deployed to web, iOS, and Android. Web checkout via a standard payment processor; mobile in-app purchase via a third-party subscription platform.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Position in the market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product sits between two established categories: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Property listing portals stop at price discovery.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Investor calculator tools stop at cash-flow analysis.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Our product extends past both into offer structuring and negotiation enablement — converting a marginal listing into a credible, structured offer in minutes rather than the multi-hour spreadsheet workflow investors currently use.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 deliberately do not 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We do not provide financial, legal, or investment advice.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We do not currently model wraparound mortgages or land contracts (deferred pending state-by-state legal review).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We do not claim every property is a deal — only that every property has more leverage than its asking price suggests.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Target audience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We see two co-primary personas. They share an underlying motivation (the dream of financial freedom through real estate) and differ in proximity to action. Both must be served by the same product surface.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Co-primary persona A — the active residential investor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Portfolio size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1–50 doors, or pre-first-acquisition within ~6 months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Volume behavior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Analyzes 20–100 properties per year; closes 1–3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Asset class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Single-family and 2–4-unit multifamily; occasional short-term rental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Knowledge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Familiar (or actively learning) creative-finance terms — Subject-To, seller carry, 0% second mortgages, rate buydowns, assumable mortgages, FHA house-hack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Job-to-be-done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Move from “scrolling listings” to “structuring offers” without a spreadsheet rebuild per property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Distribution surfaces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Real-estate investing forums, REI subreddits, creator-led investor communities (Pace Morby / Subto / Gator orbits), local meetups, real-estate Twitter/X, niche YouTube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Willingness-to-pay driver. </w:t>
      </w:r>
      <w:r>
        <w:rPr>
          <w:rFonts w:ascii="Arial" w:cs="Arial" w:eastAsia="Arial" w:hAnsi="Arial"/>
        </w:rPr>
        <w:t xml:space="preserve">Investors can already analyze — spreadsheets and forums solve that. What they cannot do at speed is convert a marginal listing into a defensible offer script before another bidder does. The synthesis-under-time-pressure step is the price-insensitive part of the workflow.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Co-primary persona B — the curious enthusiast / aspiring investor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Founder's prior operating experience in an adjacent real-estate-data category indicates this segment was approximately 60% of paid subscribers. Treat as co-primary, not tertiary.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Pre-acquisition; may never acquire. Researching real estate as a wealth-building category, or exploring the market for its own sake.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Behavior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Runs verdicts on properties for curiosity — homes they grew up in, listings they drove past, neighborhoods they're tracking, viral listings. Treats the instant-analysis experience as part-tool, part-entertainment.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Market literacy, wealth-building education, neighborhood-level curiosity. Higher engagement frequency, lower transactional intent.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Distribution surfaces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Real-estate “doomscrolling” audiences on TikTok / Instagram / YouTube, financial-literacy creator orbits, casual users of major listing sites, personal-finance subreddits and newsletters.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Monetization profile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Lower willingness-to-pay for the active-investor price tier; potentially addressable via a lower-priced consumer tier, ad-supported free experience, or content / lead-magnet funnels into the primary product.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Strategic role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Top-of-funnel volume, viral surface area, SEO compounding, and a forcing function for product simplicity. A non-trivial fraction is expected to graduate to the active-investor persona over time.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Secondary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Hook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Wholesalers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Fast verdicts on off-market leads; assignment-fee math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House hackers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First-time buyers running FHA scenarios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Cold-market buy-and-hold investors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Price negotiation + seller-financing structures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Coaches / educators (channel partners, not end users)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 live tool that proves their teaching curriculum on real properties — high-leverage distribution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Disqualifiers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Spreadsheet-power-users with bespoke models who do not want a tool's opinion.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Passive investors looking for syndications / REITs.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Pure 70%-rule MLS flippers (better served by comp tools).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Anyone seeking financial / legal / investment advice.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Pricing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240"/>
        <w:gridCol w:w="2240"/>
        <w:gridCol w:w="2240"/>
      </w:tblGrid>
      <w:tr>
        <w:trPr>
          <w:tblHeader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Tier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Monthly price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Annual price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Effective monthly (annual)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Starter (Free)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$0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$39.99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$349.99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$29.17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The free tier requires no signup and no payment method to receive a baseline valuation result. Paid tier gates strategy worksheets, negotiation scripts, exports, and saved properties.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Annual pricing is set at a ~27% discount to month-to-month to incentivize annual conversion and reduce churn.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Single paid tier in v1 (no SKU stratification yet).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Channel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Channel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Processing fee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Net revenue per paid month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Web checkout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2.9% + $0.30 / transaction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$38.53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iOS in-app purchase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15% commission (small-business program)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$33.99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Android in-app purchase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15% commission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$33.99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Channel mix planning assumption: </w:t>
      </w:r>
      <w:r>
        <w:rPr>
          <w:rFonts w:ascii="Arial" w:cs="Arial" w:eastAsia="Arial" w:hAnsi="Arial"/>
        </w:rPr>
        <w:t xml:space="preserve">~52% web monthly / ~28% web annual / ~13% iOS monthly / ~7% iOS annual → blended net ARPU </w:t>
      </w:r>
      <w:r>
        <w:rPr>
          <w:rFonts w:ascii="Arial" w:cs="Arial" w:eastAsia="Arial" w:hAnsi="Arial"/>
          <w:b/>
          <w:bCs/>
        </w:rPr>
        <w:t xml:space="preserve">$34.12 / month.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Positioning intent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Mid-market price band — above commodity calculator tools, below creative-finance coaching subscriptions.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Intended to read as a professional tool, not a hobbyist calculator.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Free entry analysis is the conversion event; the result itself is the marketing artifact (shareable, SEO-friendly).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Competitive landscape (our current view, for the analyst to challenge)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Tier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Examples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Where they stop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Listing portals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Major US listing sites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Price discovery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Investor calculator tools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Established residential-investor calculators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Cash-flow analysis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Comp / AVM data tools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Investor-facing data and lead-list providers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Data — silent on synthesis or negotiation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This company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Verdict → structured offers → negotiation script → strategy worksheet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We believe the synthesis layer (verdict → structured offer set → script) is the defensible wedge, but that view should be challenged in the assessment.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What we are asking the analyst to deliver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 written market assessment of approximately 8–15 pages (or equivalent), addressing: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1. Addressable market sizing. </w:t>
      </w:r>
      <w:r>
        <w:rPr>
          <w:rFonts w:ascii="Arial" w:cs="Arial" w:eastAsia="Arial" w:hAnsi="Arial"/>
        </w:rPr>
        <w:t xml:space="preserve">TAM / SAM / SOM for the segment described in §3, with sources and methodology shown. Where US-investor population data is contested, please present the range and the assumptions behind each end of it.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2. Growth trends. </w:t>
      </w:r>
      <w:r>
        <w:rPr>
          <w:rFonts w:ascii="Arial" w:cs="Arial" w:eastAsia="Arial" w:hAnsi="Arial"/>
        </w:rPr>
        <w:t xml:space="preserve">Macro and category-specific tailwinds and headwinds over a 3-year horizon. Particular interest in: interest-rate environment effects on creative-finance demand; the role of creator-led investing communities in adoption; mobile-vs-desktop investor workflow trends.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3. Competitive landscape. </w:t>
      </w:r>
      <w:r>
        <w:rPr>
          <w:rFonts w:ascii="Arial" w:cs="Arial" w:eastAsia="Arial" w:hAnsi="Arial"/>
        </w:rPr>
        <w:t xml:space="preserve">Independent characterization of the incumbents in each tier above, including any incumbents we have likely missed. For each, please assess: feature overlap, distribution advantage, pricing posture, and the realistic likelihood of them building into the synthesis layer themselves within 18 months.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4. Pricing assessment. </w:t>
      </w:r>
      <w:r>
        <w:rPr>
          <w:rFonts w:ascii="Arial" w:cs="Arial" w:eastAsia="Arial" w:hAnsi="Arial"/>
        </w:rPr>
        <w:t xml:space="preserve">Is the $39.99 / $349.99 single-tier structure well-positioned for the personas described? Specifically: (a) is the price point too high, too low, or appropriately positioned vs. willingness-to-pay; (b) should there be a second paid tier, and if so what should it gate; (c) what discount/incentive levers most reliably reduce prosumer-SaaS churn in this category.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5. Audience validation. </w:t>
      </w:r>
      <w:r>
        <w:rPr>
          <w:rFonts w:ascii="Arial" w:cs="Arial" w:eastAsia="Arial" w:hAnsi="Arial"/>
        </w:rPr>
        <w:t xml:space="preserve">Are the two co-primary personas as described an accurate representation of the buying segment, or is the analyst's read of the market different? In particular, is the willingness-to-pay driver (synthesis-under-time-pressure for the active investor; aspiration-fueled curiosity for the enthusiast) the right anchor, or is something else doing more of the work?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6. Top three risks to the thesis. </w:t>
      </w:r>
      <w:r>
        <w:rPr>
          <w:rFonts w:ascii="Arial" w:cs="Arial" w:eastAsia="Arial" w:hAnsi="Arial"/>
        </w:rPr>
        <w:t xml:space="preserve">Ranked, with reasoning. We are explicitly asking for disconfirming views.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7. Top three opportunities not in our current plan. </w:t>
      </w:r>
      <w:r>
        <w:rPr>
          <w:rFonts w:ascii="Arial" w:cs="Arial" w:eastAsia="Arial" w:hAnsi="Arial"/>
        </w:rPr>
        <w:t xml:space="preserve">Adjacencies, distribution levers, or partnerships the analyst would prioritize.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</w:rPr>
        <w:t xml:space="preserve">8. Two-segment monetization, trial mechanics, and CAC envelope. </w:t>
      </w:r>
      <w:r>
        <w:rPr>
          <w:rFonts w:ascii="Arial" w:cs="Arial" w:eastAsia="Arial" w:hAnsi="Arial"/>
        </w:rPr>
        <w:t xml:space="preserve">Founder's prior 24-year operating experience in an adjacent real-estate-data category produced these operating priors: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~60% of paid subscribers were curious / aspiring investors rather than active deal-hunters.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Median paid tenure ~3 months, with ~5% becoming multi-year payers.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7-day free trial converted to paid at 48%–52% every single month for 24 years — never outside that band.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CAC was approximately one month of subscription revenue (“1 × 3” — one month of CAC for three months of paid tenure), implying a 1-month payback period.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Please: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(a) Assess whether this audience composition is likely to replicate in our product, given a more universal and more engaging product hook (instant scan/verdict on any address vs. niche foreclosure listings).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(b) Model expected LTV for each of the two segments using the historical anchors as a starting prior. Identify which assumptions you would adjust upward or downward for our broader, more entertaining product hook.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(c) Evaluate trial-vs-freemium not as a binary but as a two-stage funnel question: (i) free verdict / no-signup as top-of-funnel for maximum reach, (ii) 7-day Pro trial as the upgrade path for engaged users. Specifically: do you expect the historical 48–52% trial-to-paid number to replicate today with this audience, and what is the expected paid-subs-per-dollar of marketing spend under each funnel design?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(d) Recommend a tier structure (single tier vs. two-tier consumer/pro) that maximizes blended ARPU without diluting positioning with the active-investor persona.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(e) Assess whether the historical CAC anchor (≤1× monthly ARPU) is achievable in 2026 across the channels we would realistically use (founder-led organic on investor forums and creator orbits, paid social, paid search, content/SEO, App Store paid acquisition); identify channels most/least likely to come in at or below that ceiling; and provide implied marketing-budget envelopes to reach 1,000 / 5,000 / 25,000 paid subscribers under each channel mix.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</w:rPr>
        <w:t xml:space="preserve">9. Bridge-positioning thesis and creator-channel strategy. </w:t>
      </w:r>
      <w:r>
        <w:rPr>
          <w:rFonts w:ascii="Arial" w:cs="Arial" w:eastAsia="Arial" w:hAnsi="Arial"/>
        </w:rPr>
        <w:t xml:space="preserve">We position the product as the bridge between real-estate influencers (who sell the financial-freedom dream and create aspiration at scale, but provide no tooling on real inventory) and property inventory (which exists everywhere but does not come with structuring know-how). Please: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(a) Assess whether this “bridge between aspiration and inventory” framing is defensible as a category position, or whether the analyst sees a more accurate framing of the user's underlying motivation.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(b) Evaluate the strategic case for a formal creator-channel partner program — revenue share, co-branded landing pages, embedded CTAs in creator content (“run this address yourself”) — and which segments of the creator ecosystem (large general-audience financial-literacy creators vs. niche real-estate-specific creators) offer the best risk-adjusted partnership ROI.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(c) Evaluate the retention thesis: if the historical 3-month median tenure was driven by the post-signup “what next?” gap, and our product closes that gap with structured offer paths and negotiation scripts, can we credibly forecast median tenure materially above 3 months? What would be the leading indicator for that, and at what subscriber sample size could the analyst conclude the thesis is working or failing?</w:t>
      </w:r>
    </w:p>
    <w:p>
      <w:pPr>
        <w:spacing w:after="120" w:before="200"/>
      </w:pPr>
      <w:r>
        <w:rPr>
          <w:rFonts w:ascii="Arial" w:cs="Arial" w:eastAsia="Arial" w:hAnsi="Arial"/>
          <w:b/>
          <w:bCs/>
        </w:rPr>
        <w:t xml:space="preserve">We are not asking for: </w:t>
      </w:r>
      <w:r>
        <w:rPr>
          <w:rFonts w:ascii="Arial" w:cs="Arial" w:eastAsia="Arial" w:hAnsi="Arial"/>
        </w:rPr>
        <w:t xml:space="preserve">revenue projections, financial modeling, fundraising strategy, or product roadmap recommendations. We have those internally and want the analyst's view kept independent of them.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Format and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Deliverable: </w:t>
      </w:r>
      <w:r>
        <w:rPr>
          <w:rFonts w:ascii="Arial" w:cs="Arial" w:eastAsia="Arial" w:hAnsi="Arial"/>
        </w:rPr>
        <w:t xml:space="preserve">Written report (PDF or DOCX), with citations or source links for any externally-sourced figures.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Independence: </w:t>
      </w:r>
      <w:r>
        <w:rPr>
          <w:rFonts w:ascii="Arial" w:cs="Arial" w:eastAsia="Arial" w:hAnsi="Arial"/>
        </w:rPr>
        <w:t xml:space="preserve">Please do not consult other respondents to this request. We will share assessments across respondents only after all are received.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Timeline: </w:t>
      </w:r>
      <w:r>
        <w:rPr>
          <w:rFonts w:ascii="Arial" w:cs="Arial" w:eastAsia="Arial" w:hAnsi="Arial"/>
        </w:rPr>
        <w:t xml:space="preserve">[Insert your target — typical engagements of this scope are 2–4 weeks.]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Budget: </w:t>
      </w:r>
      <w:r>
        <w:rPr>
          <w:rFonts w:ascii="Arial" w:cs="Arial" w:eastAsia="Arial" w:hAnsi="Arial"/>
        </w:rPr>
        <w:t xml:space="preserve">[Insert range, or request proposal.]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Contact: </w:t>
      </w:r>
      <w:r>
        <w:rPr>
          <w:rFonts w:ascii="Arial" w:cs="Arial" w:eastAsia="Arial" w:hAnsi="Arial"/>
        </w:rPr>
        <w:t xml:space="preserve">[Insert name and email.]</w:t>
      </w:r>
    </w:p>
    <w:p>
      <w:pPr>
        <w:spacing w:after="120" w:before="160"/>
      </w:pPr>
      <w:r>
        <w:rPr>
          <w:rFonts w:ascii="Arial" w:cs="Arial" w:eastAsia="Arial" w:hAnsi="Arial"/>
        </w:rPr>
        <w:t xml:space="preserve">Please confirm receipt and indicate (a) availability, (b) proposed timeline, (c) fee, and (d) any conflicts of interest with named or implied competitors before commencing.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Request for Market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Market Analysis</dc:title>
  <dc:creator>DealGapIQ</dc:creator>
  <dc:description>Independent market-assessment brief</dc:description>
  <cp:lastModifiedBy>Un-named</cp:lastModifiedBy>
  <cp:revision>1</cp:revision>
  <dcterms:created xsi:type="dcterms:W3CDTF">2026-05-04T19:21:10.345Z</dcterms:created>
  <dcterms:modified xsi:type="dcterms:W3CDTF">2026-05-04T19:21:10.345Z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