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dealgapiq--brand-color--style-guide"/>
    <w:p>
      <w:pPr>
        <w:pStyle w:val="Heading1"/>
      </w:pPr>
      <w:r>
        <w:t xml:space="preserve">DealGapIQ — Brand Color &amp; Style Guide</w:t>
      </w:r>
    </w:p>
    <w:p>
      <w:pPr>
        <w:pStyle w:val="BlockText"/>
      </w:pPr>
      <w:r>
        <w:rPr>
          <w:b/>
          <w:bCs/>
        </w:rPr>
        <w:t xml:space="preserve">Visual identity reference only.</w:t>
      </w:r>
      <w:r>
        <w:t xml:space="preserve"> </w:t>
      </w:r>
      <w:r>
        <w:t xml:space="preserve">Colors, typography, spacing, surfaces, and</w:t>
      </w:r>
      <w:r>
        <w:t xml:space="preserve"> </w:t>
      </w:r>
      <w:r>
        <w:t xml:space="preserve">component styling. No marketing copy, voice, or positioning — for those, see the</w:t>
      </w:r>
      <w:r>
        <w:t xml:space="preserve"> </w:t>
      </w:r>
      <w:r>
        <w:t xml:space="preserve">marketing library.</w:t>
      </w:r>
    </w:p>
    <w:p>
      <w:pPr>
        <w:pStyle w:val="BlockText"/>
      </w:pPr>
      <w:r>
        <w:rPr>
          <w:b/>
          <w:bCs/>
        </w:rPr>
        <w:t xml:space="preserve">Theme:</w:t>
      </w:r>
      <w:r>
        <w:t xml:space="preserve"> </w:t>
      </w:r>
      <w:r>
        <w:t xml:space="preserve">Dark-first, dual-theme (dark + light). True-black base with deep-navy</w:t>
      </w:r>
      <w:r>
        <w:t xml:space="preserve"> </w:t>
      </w:r>
      <w:r>
        <w:t xml:space="preserve">elevated surfaces; sky-blue glow for elevation in dark mode, soft drop shadows in</w:t>
      </w:r>
      <w:r>
        <w:t xml:space="preserve"> </w:t>
      </w:r>
      <w:r>
        <w:t xml:space="preserve">light mode.</w:t>
      </w:r>
    </w:p>
    <w:p>
      <w:pPr>
        <w:pStyle w:val="BlockText"/>
      </w:pPr>
      <w:r>
        <w:rPr>
          <w:b/>
          <w:bCs/>
        </w:rPr>
        <w:t xml:space="preserve">Design principles:</w:t>
      </w:r>
      <w:r>
        <w:t xml:space="preserve"> </w:t>
      </w:r>
      <w:r>
        <w:t xml:space="preserve">Size and weight carry hierarchy, not visibility. Color</w:t>
      </w:r>
      <w:r>
        <w:t xml:space="preserve"> </w:t>
      </w:r>
      <w:r>
        <w:t xml:space="preserve">carries meaning, not decoration.</w:t>
      </w:r>
    </w:p>
    <w:p>
      <w:pPr>
        <w:pStyle w:val="Block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June 2026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v1</w:t>
      </w:r>
    </w:p>
    <w:p>
      <w:r>
        <w:pict>
          <v:rect style="width:0;height:1.5pt" o:hralign="center" o:hrstd="t" o:hr="t"/>
        </w:pict>
      </w:r>
    </w:p>
    <w:bookmarkStart w:id="9" w:name="Xed684d4d147b63fecb588279d5c568975090905"/>
    <w:p>
      <w:pPr>
        <w:pStyle w:val="Heading2"/>
      </w:pPr>
      <w:r>
        <w:t xml:space="preserve">1. Logo</w:t>
      </w:r>
    </w:p>
    <w:p>
      <w:pPr>
        <w:pStyle w:val="FirstParagraph"/>
      </w:pPr>
      <w:r>
        <w:t xml:space="preserve">The DealGapIQ identity has two locked assets.</w:t>
      </w:r>
    </w:p>
    <w:p>
      <w:pPr>
        <w:pStyle w:val="BodyText"/>
      </w:pPr>
      <w:r>
        <w:rPr>
          <w:b/>
          <w:bCs/>
        </w:rPr>
        <w:t xml:space="preserve">Wordmark — "DealGap" + "IQ":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"IQ" is always cyan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#0FA4E9</w:t>
      </w:r>
      <w:r>
        <w:rPr>
          <w:b/>
          <w:bCs/>
        </w:rPr>
        <w:t xml:space="preserve">.</w:t>
      </w:r>
      <w:r>
        <w:t xml:space="preserve"> </w:t>
      </w:r>
      <w:r>
        <w:t xml:space="preserve">Never recolor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"DealGap"</w:t>
      </w:r>
      <w:r>
        <w:t xml:space="preserve"> </w:t>
      </w:r>
      <w:r>
        <w:t xml:space="preserve">flips with the background:</w:t>
      </w:r>
    </w:p>
    <w:p>
      <w:pPr>
        <w:pStyle w:val="Compact"/>
        <w:numPr>
          <w:ilvl w:val="1"/>
          <w:numId w:val="1002"/>
        </w:numPr>
      </w:pPr>
      <w:r>
        <w:t xml:space="preserve">On dark/black →</w:t>
      </w:r>
      <w:r>
        <w:t xml:space="preserve"> </w:t>
      </w:r>
      <w:r>
        <w:rPr>
          <w:b/>
          <w:bCs/>
        </w:rPr>
        <w:t xml:space="preserve">white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#FFFFFF</w:t>
      </w:r>
    </w:p>
    <w:p>
      <w:pPr>
        <w:pStyle w:val="Compact"/>
        <w:numPr>
          <w:ilvl w:val="1"/>
          <w:numId w:val="1002"/>
        </w:numPr>
      </w:pPr>
      <w:r>
        <w:t xml:space="preserve">On light/white →</w:t>
      </w:r>
      <w:r>
        <w:t xml:space="preserve"> </w:t>
      </w:r>
      <w:r>
        <w:rPr>
          <w:b/>
          <w:bCs/>
        </w:rPr>
        <w:t xml:space="preserve">near-black navy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#0F172A</w:t>
      </w:r>
    </w:p>
    <w:p>
      <w:pPr>
        <w:pStyle w:val="Compact"/>
        <w:numPr>
          <w:ilvl w:val="0"/>
          <w:numId w:val="1001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cyan underline bar</w:t>
      </w:r>
      <w:r>
        <w:t xml:space="preserve"> </w:t>
      </w:r>
      <w:r>
        <w:t xml:space="preserve">sits beneath the wordmark — it is part of the mark.</w:t>
      </w:r>
    </w:p>
    <w:p>
      <w:pPr>
        <w:pStyle w:val="FirstParagraph"/>
      </w:pPr>
      <w:r>
        <w:rPr>
          <w:b/>
          <w:bCs/>
        </w:rPr>
        <w:t xml:space="preserve">Icon (app/avatar mark):</w:t>
      </w:r>
      <w:r>
        <w:t xml:space="preserve"> </w:t>
      </w:r>
      <w:r>
        <w:t xml:space="preserve">a single-line illustration of a</w:t>
      </w:r>
      <w:r>
        <w:t xml:space="preserve"> </w:t>
      </w:r>
      <w:r>
        <w:rPr>
          <w:b/>
          <w:bCs/>
        </w:rPr>
        <w:t xml:space="preserve">human head profile with a house inside it</w:t>
      </w:r>
      <w:r>
        <w:t xml:space="preserve">, drawn in cyan</w:t>
      </w:r>
      <w:r>
        <w:t xml:space="preserve"> </w:t>
      </w:r>
      <w:r>
        <w:rPr>
          <w:rStyle w:val="VerbatimChar"/>
        </w:rPr>
        <w:t xml:space="preserve">#0FA4E9</w:t>
      </w:r>
      <w:r>
        <w:t xml:space="preserve">. Use where a square/compact mark is needed.</w:t>
      </w:r>
    </w:p>
    <w:p>
      <w:pPr>
        <w:pStyle w:val="BodyText"/>
      </w:pPr>
      <w:r>
        <w:rPr>
          <w:b/>
          <w:bCs/>
        </w:rPr>
        <w:t xml:space="preserve">Logo font:</w:t>
      </w:r>
      <w:r>
        <w:t xml:space="preserve"> </w:t>
      </w:r>
      <w:r>
        <w:t xml:space="preserve">Source Sans 3 (the wordmark only — distinct from the UI font).</w:t>
      </w:r>
    </w:p>
    <w:p>
      <w:pPr>
        <w:pStyle w:val="BodyText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03"/>
        </w:numPr>
      </w:pPr>
      <w:r>
        <w:t xml:space="preserve">Clear space ≥ the height of the "I" in "IQ" (~12% of logo height) on all sides.</w:t>
      </w:r>
    </w:p>
    <w:p>
      <w:pPr>
        <w:pStyle w:val="Compact"/>
        <w:numPr>
          <w:ilvl w:val="0"/>
          <w:numId w:val="1003"/>
        </w:numPr>
      </w:pPr>
      <w:r>
        <w:t xml:space="preserve">Minimum size: wordmark ≥ 120 px wide; icon ≥ 32 px.</w:t>
      </w:r>
    </w:p>
    <w:p>
      <w:pPr>
        <w:pStyle w:val="Compact"/>
        <w:numPr>
          <w:ilvl w:val="0"/>
          <w:numId w:val="1003"/>
        </w:numPr>
      </w:pPr>
      <w:r>
        <w:t xml:space="preserve">Default to the mark on</w:t>
      </w:r>
      <w:r>
        <w:t xml:space="preserve"> </w:t>
      </w:r>
      <w:r>
        <w:rPr>
          <w:b/>
          <w:bCs/>
        </w:rPr>
        <w:t xml:space="preserve">black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#000000</w:t>
      </w:r>
      <w:r>
        <w:t xml:space="preserve"> </w:t>
      </w:r>
      <w:r>
        <w:t xml:space="preserve">(dark-first).</w:t>
      </w:r>
    </w:p>
    <w:p>
      <w:pPr>
        <w:pStyle w:val="Compact"/>
        <w:numPr>
          <w:ilvl w:val="0"/>
          <w:numId w:val="1003"/>
        </w:numPr>
      </w:pPr>
      <w:r>
        <w:t xml:space="preserve">Never: recolor "IQ", stretch/skew, add outlines or drop shadows, recreate the letterforms in another font, or place the wordmark on a busy image without a solid scrim.</w:t>
      </w:r>
    </w:p>
    <w:p>
      <w:r>
        <w:pict>
          <v:rect style="width:0;height:1.5pt" o:hralign="center" o:hrstd="t" o:hr="t"/>
        </w:pict>
      </w:r>
    </w:p>
    <w:bookmarkEnd w:id="9"/>
    <w:bookmarkStart w:id="16" w:name="Xb24429efa1d24836120d36a947c99f7a878055e"/>
    <w:p>
      <w:pPr>
        <w:pStyle w:val="Heading2"/>
      </w:pPr>
      <w:r>
        <w:t xml:space="preserve">2. Color System</w:t>
      </w:r>
    </w:p>
    <w:p>
      <w:pPr>
        <w:pStyle w:val="FirstParagraph"/>
      </w:pPr>
      <w:r>
        <w:t xml:space="preserve">All colors below list</w:t>
      </w:r>
      <w:r>
        <w:t xml:space="preserve"> </w:t>
      </w:r>
      <w:r>
        <w:rPr>
          <w:b/>
          <w:bCs/>
        </w:rPr>
        <w:t xml:space="preserve">Dark / Light</w:t>
      </w:r>
      <w:r>
        <w:t xml:space="preserve"> </w:t>
      </w:r>
      <w:r>
        <w:t xml:space="preserve">values. Dark mode is the default theme.</w:t>
      </w:r>
    </w:p>
    <w:bookmarkStart w:id="10" w:name="Xfd1311c81993421ab6c4e16e4a2bfb678260a00"/>
    <w:p>
      <w:pPr>
        <w:pStyle w:val="Heading3"/>
      </w:pPr>
      <w:r>
        <w:t xml:space="preserve">2.1 Brand / accent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Sky (primary accent)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#0FA4E9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#0465F2</w:t>
            </w:r>
          </w:p>
        </w:tc>
        <w:tc>
          <w:tcPr/>
          <w:p>
            <w:pPr>
              <w:pStyle w:val="Compact"/>
            </w:pPr>
            <w:r>
              <w:t xml:space="preserve">The signature color — CTAs, links, focus, the "IQ", icon.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Sky Light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#38BDF8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#0354D1</w:t>
            </w:r>
          </w:p>
        </w:tc>
        <w:tc>
          <w:tcPr/>
          <w:p>
            <w:pPr>
              <w:pStyle w:val="Compact"/>
            </w:pPr>
            <w:r>
              <w:t xml:space="preserve">Highlights, hover, gradient 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Brand 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#0465F2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#0465F2</w:t>
            </w:r>
          </w:p>
        </w:tc>
        <w:tc>
          <w:tcPr/>
          <w:p>
            <w:pPr>
              <w:pStyle w:val="Compact"/>
            </w:pPr>
            <w:r>
              <w:t xml:space="preserve">Gradient origin, deep button states.</w:t>
            </w:r>
          </w:p>
        </w:tc>
      </w:tr>
    </w:tbl>
    <w:bookmarkEnd w:id="10"/>
    <w:bookmarkStart w:id="11" w:name="X26694cb8b44e93acd41108d6dbe53227419d69d"/>
    <w:p>
      <w:pPr>
        <w:pStyle w:val="Heading3"/>
      </w:pPr>
      <w:r>
        <w:t xml:space="preserve">2.2 Surfaces (background hierarchy)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#EAEEF3</w:t>
            </w:r>
          </w:p>
        </w:tc>
        <w:tc>
          <w:tcPr/>
          <w:p>
            <w:pPr>
              <w:pStyle w:val="Compact"/>
            </w:pPr>
            <w:r>
              <w:t xml:space="preserve">Page shell, outermost containers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#060B14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#F1F4F8</w:t>
            </w:r>
          </w:p>
        </w:tc>
        <w:tc>
          <w:tcPr/>
          <w:p>
            <w:pPr>
              <w:pStyle w:val="Compact"/>
            </w:pPr>
            <w:r>
              <w:t xml:space="preserve">Alternating section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Cards, panels, modals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Card 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#0C1220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#F5F7FA</w:t>
            </w:r>
          </w:p>
        </w:tc>
        <w:tc>
          <w:tcPr/>
          <w:p>
            <w:pPr>
              <w:pStyle w:val="Compact"/>
            </w:pPr>
            <w:r>
              <w:t xml:space="preserve">Card hover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Elevated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#0C1220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#F1F4F8</w:t>
            </w:r>
          </w:p>
        </w:tc>
        <w:tc>
          <w:tcPr/>
          <w:p>
            <w:pPr>
              <w:pStyle w:val="Compact"/>
            </w:pPr>
            <w:r>
              <w:t xml:space="preserve">Tooltips, dropdowns, nested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#0C1220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Form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rgba(0,0,0,0.5)</w:t>
            </w:r>
          </w:p>
        </w:tc>
        <w:tc>
          <w:tcPr/>
          <w:p>
            <w:pPr>
              <w:pStyle w:val="Compact"/>
            </w:pPr>
            <w:r>
              <w:t xml:space="preserve">Modal backdrops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Surface contract:</w:t>
      </w:r>
      <w:r>
        <w:t xml:space="preserve"> </w:t>
      </w:r>
      <w:r>
        <w:t xml:space="preserve">page shells →</w:t>
      </w:r>
      <w:r>
        <w:t xml:space="preserve"> </w:t>
      </w:r>
      <w:r>
        <w:rPr>
          <w:b/>
          <w:bCs/>
        </w:rPr>
        <w:t xml:space="preserve">Base</w:t>
      </w:r>
      <w:r>
        <w:t xml:space="preserve">. Cards/panels inside shells →</w:t>
      </w:r>
      <w:r>
        <w:t xml:space="preserve"> </w:t>
      </w:r>
      <w:r>
        <w:rPr>
          <w:b/>
          <w:bCs/>
        </w:rPr>
        <w:t xml:space="preserve">Card</w:t>
      </w:r>
      <w:r>
        <w:t xml:space="preserve">. Content nested inside cards →</w:t>
      </w:r>
      <w:r>
        <w:t xml:space="preserve"> </w:t>
      </w:r>
      <w:r>
        <w:rPr>
          <w:b/>
          <w:bCs/>
        </w:rPr>
        <w:t xml:space="preserve">Elevated</w:t>
      </w:r>
      <w:r>
        <w:t xml:space="preserve">. Never hardcode hex backgrounds in product code — use the surface tokens.</w:t>
      </w:r>
    </w:p>
    <w:bookmarkEnd w:id="11"/>
    <w:bookmarkStart w:id="12" w:name="X95a174cc335fd830b1e1ef4fbf0f375f4a823ca"/>
    <w:p>
      <w:pPr>
        <w:pStyle w:val="Heading3"/>
      </w:pPr>
      <w:r>
        <w:t xml:space="preserve">2.3 Text (four-tier slate hierarchy)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#F1F5F9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#0F172A</w:t>
            </w:r>
          </w:p>
        </w:tc>
        <w:tc>
          <w:tcPr/>
          <w:p>
            <w:pPr>
              <w:pStyle w:val="Compact"/>
            </w:pPr>
            <w:r>
              <w:t xml:space="preserve">Titles, section headers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#CBD5E1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#1E293B</w:t>
            </w:r>
          </w:p>
        </w:tc>
        <w:tc>
          <w:tcPr/>
          <w:p>
            <w:pPr>
              <w:pStyle w:val="Compact"/>
            </w:pPr>
            <w:r>
              <w:t xml:space="preserve">Paragraphs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#94A3B8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#475569</w:t>
            </w:r>
          </w:p>
        </w:tc>
        <w:tc>
          <w:tcPr/>
          <w:p>
            <w:pPr>
              <w:pStyle w:val="Compact"/>
            </w:pPr>
            <w:r>
              <w:t xml:space="preserve">Supporting text,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#7C8CA0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</w:pPr>
            <w:r>
              <w:t xml:space="preserve">Field labels, captions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#94A3B8</w:t>
            </w:r>
          </w:p>
        </w:tc>
        <w:tc>
          <w:tcPr/>
          <w:p>
            <w:pPr>
              <w:pStyle w:val="Compact"/>
            </w:pPr>
            <w:r>
              <w:t xml:space="preserve">Disabled, timestamps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Text on accent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#0FA4E9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#0465F2</w:t>
            </w:r>
          </w:p>
        </w:tc>
        <w:tc>
          <w:tcPr/>
          <w:p>
            <w:pPr>
              <w:pStyle w:val="Compact"/>
            </w:pPr>
            <w:r>
              <w:t xml:space="preserve">Hyperlinks, interactive text</w:t>
            </w:r>
          </w:p>
        </w:tc>
      </w:tr>
    </w:tbl>
    <w:bookmarkEnd w:id="12"/>
    <w:bookmarkStart w:id="13" w:name="Xac86f378e0f7035638341ed8ebd02c87963294e"/>
    <w:p>
      <w:pPr>
        <w:pStyle w:val="Heading3"/>
      </w:pPr>
      <w:r>
        <w:t xml:space="preserve">2.4 Status colors</w:t>
      </w:r>
    </w:p>
    <w:p>
      <w:pPr>
        <w:pStyle w:val="FirstParagraph"/>
      </w:pPr>
      <w:r>
        <w:t xml:space="preserve">Reserved for data state — never decoration.</w:t>
      </w:r>
      <w:r>
        <w:t xml:space="preserve"> </w:t>
      </w:r>
      <w:r>
        <w:t xml:space="preserve">| Status | Dark | Light | Meaning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#34D399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#15803D</w:t>
      </w:r>
      <w:r>
        <w:t xml:space="preserve"> </w:t>
      </w:r>
      <w:r>
        <w:t xml:space="preserve">| Profit, cash flow, success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#FBBF24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#B7791F</w:t>
      </w:r>
      <w:r>
        <w:t xml:space="preserve"> </w:t>
      </w:r>
      <w:r>
        <w:t xml:space="preserve">| Caution, moderate, scores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#F87171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#B42318</w:t>
      </w:r>
      <w:r>
        <w:t xml:space="preserve"> </w:t>
      </w:r>
      <w:r>
        <w:t xml:space="preserve">| Loss, high risk, failure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Info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#38BDF8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#0465F2</w:t>
      </w:r>
      <w:r>
        <w:t xml:space="preserve"> </w:t>
      </w:r>
      <w:r>
        <w:t xml:space="preserve">| Neutral / informational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Income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#FACC15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#B7791F</w:t>
      </w:r>
      <w:r>
        <w:t xml:space="preserve"> </w:t>
      </w:r>
      <w:r>
        <w:t xml:space="preserve">| Revenue, income highlights |</w:t>
      </w:r>
    </w:p>
    <w:bookmarkEnd w:id="13"/>
    <w:bookmarkStart w:id="14" w:name="X6a5f71161b622769570c1dd71491a22ff918a1a"/>
    <w:p>
      <w:pPr>
        <w:pStyle w:val="Heading3"/>
      </w:pPr>
      <w:r>
        <w:t xml:space="preserve">2.5 Strategy colors</w:t>
      </w:r>
    </w:p>
    <w:p>
      <w:pPr>
        <w:pStyle w:val="FirstParagraph"/>
      </w:pPr>
      <w:r>
        <w:t xml:space="preserve">Intentionally distinct from status colors so "which strategy" never reads as "how it performed."</w:t>
      </w:r>
      <w:r>
        <w:t xml:space="preserve"> </w:t>
      </w:r>
      <w:r>
        <w:t xml:space="preserve">| Strategy | Dark | Light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Long-Term Rental |</w:t>
      </w:r>
      <w:r>
        <w:t xml:space="preserve"> </w:t>
      </w:r>
      <w:r>
        <w:rPr>
          <w:rStyle w:val="VerbatimChar"/>
        </w:rPr>
        <w:t xml:space="preserve">#0465F2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#0344A6</w:t>
      </w:r>
      <w:r>
        <w:t xml:space="preserve"> </w:t>
      </w:r>
      <w:r>
        <w:t xml:space="preserve">|</w:t>
      </w:r>
      <w:r>
        <w:t xml:space="preserve"> </w:t>
      </w:r>
      <w:r>
        <w:t xml:space="preserve">| Short-Term Rental |</w:t>
      </w:r>
      <w:r>
        <w:t xml:space="preserve"> </w:t>
      </w:r>
      <w:r>
        <w:rPr>
          <w:rStyle w:val="VerbatimChar"/>
        </w:rPr>
        <w:t xml:space="preserve">#8B5CF6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#6D28D9</w:t>
      </w:r>
      <w:r>
        <w:t xml:space="preserve"> </w:t>
      </w:r>
      <w:r>
        <w:t xml:space="preserve">|</w:t>
      </w:r>
      <w:r>
        <w:t xml:space="preserve"> </w:t>
      </w:r>
      <w:r>
        <w:t xml:space="preserve">| BRRRR |</w:t>
      </w:r>
      <w:r>
        <w:t xml:space="preserve"> </w:t>
      </w:r>
      <w:r>
        <w:rPr>
          <w:rStyle w:val="VerbatimChar"/>
        </w:rPr>
        <w:t xml:space="preserve">#F97316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#C2410C</w:t>
      </w:r>
      <w:r>
        <w:t xml:space="preserve"> </w:t>
      </w:r>
      <w:r>
        <w:t xml:space="preserve">|</w:t>
      </w:r>
      <w:r>
        <w:t xml:space="preserve"> </w:t>
      </w:r>
      <w:r>
        <w:t xml:space="preserve">| Fix &amp; Flip |</w:t>
      </w:r>
      <w:r>
        <w:t xml:space="preserve"> </w:t>
      </w:r>
      <w:r>
        <w:rPr>
          <w:rStyle w:val="VerbatimChar"/>
        </w:rPr>
        <w:t xml:space="preserve">#EC4899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#BE185D</w:t>
      </w:r>
      <w:r>
        <w:t xml:space="preserve"> </w:t>
      </w:r>
      <w:r>
        <w:t xml:space="preserve">|</w:t>
      </w:r>
      <w:r>
        <w:t xml:space="preserve"> </w:t>
      </w:r>
      <w:r>
        <w:t xml:space="preserve">| House Hack |</w:t>
      </w:r>
      <w:r>
        <w:t xml:space="preserve"> </w:t>
      </w:r>
      <w:r>
        <w:rPr>
          <w:rStyle w:val="VerbatimChar"/>
        </w:rPr>
        <w:t xml:space="preserve">#0FA4E9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#0369A1</w:t>
      </w:r>
      <w:r>
        <w:t xml:space="preserve"> </w:t>
      </w:r>
      <w:r>
        <w:t xml:space="preserve">|</w:t>
      </w:r>
      <w:r>
        <w:t xml:space="preserve"> </w:t>
      </w:r>
      <w:r>
        <w:t xml:space="preserve">| Wholesale |</w:t>
      </w:r>
      <w:r>
        <w:t xml:space="preserve"> </w:t>
      </w:r>
      <w:r>
        <w:rPr>
          <w:rStyle w:val="VerbatimChar"/>
        </w:rPr>
        <w:t xml:space="preserve">#84CC16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#4D7C0F</w:t>
      </w:r>
      <w:r>
        <w:t xml:space="preserve"> </w:t>
      </w:r>
      <w:r>
        <w:t xml:space="preserve">|</w:t>
      </w:r>
    </w:p>
    <w:bookmarkEnd w:id="14"/>
    <w:bookmarkStart w:id="15" w:name="Xf9731a56c024406e34e803854f9d6187f585a09"/>
    <w:p>
      <w:pPr>
        <w:pStyle w:val="Heading3"/>
      </w:pPr>
      <w:r>
        <w:t xml:space="preserve">2.6 Borders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rgba(14,165,233,0.25)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#D5DBE4</w:t>
            </w:r>
          </w:p>
        </w:tc>
        <w:tc>
          <w:tcPr/>
          <w:p>
            <w:pPr>
              <w:pStyle w:val="Compact"/>
            </w:pPr>
            <w:r>
              <w:t xml:space="preserve">Decorative separators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#334155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#B8C4CE</w:t>
            </w:r>
          </w:p>
        </w:tc>
        <w:tc>
          <w:tcPr/>
          <w:p>
            <w:pPr>
              <w:pStyle w:val="Compact"/>
            </w:pPr>
            <w:r>
              <w:t xml:space="preserve">Card borders, dividers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#475569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#8896A6</w:t>
            </w:r>
          </w:p>
        </w:tc>
        <w:tc>
          <w:tcPr/>
          <w:p>
            <w:pPr>
              <w:pStyle w:val="Compact"/>
            </w:pPr>
            <w:r>
              <w:t xml:space="preserve">Emphasis borders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#0FA4E9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#0465F2</w:t>
            </w:r>
          </w:p>
        </w:tc>
        <w:tc>
          <w:tcPr/>
          <w:p>
            <w:pPr>
              <w:pStyle w:val="Compact"/>
            </w:pPr>
            <w:r>
              <w:t xml:space="preserve">Focus rings, selected state</w:t>
            </w:r>
          </w:p>
        </w:tc>
      </w:tr>
    </w:tbl>
    <w:p>
      <w:pPr>
        <w:pStyle w:val="BodyText"/>
      </w:pPr>
      <w:r>
        <w:t xml:space="preserve">In dark mode, hairline borders are often</w:t>
      </w:r>
      <w:r>
        <w:t xml:space="preserve"> </w:t>
      </w:r>
      <w:r>
        <w:rPr>
          <w:rStyle w:val="VerbatimChar"/>
        </w:rPr>
        <w:t xml:space="preserve">rgba(255,255,255,0.07)</w:t>
      </w:r>
      <w:r>
        <w:t xml:space="preserve"> </w:t>
      </w:r>
      <w:r>
        <w:t xml:space="preserve">(default) and</w:t>
      </w:r>
      <w:r>
        <w:t xml:space="preserve"> </w:t>
      </w:r>
      <w:r>
        <w:rPr>
          <w:rStyle w:val="VerbatimChar"/>
        </w:rPr>
        <w:t xml:space="preserve">rgba(255,255,255,0.12)</w:t>
      </w:r>
      <w:r>
        <w:t xml:space="preserve"> </w:t>
      </w:r>
      <w:r>
        <w:t xml:space="preserve">(stronger).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2be10f7bedb33136e7969b3754eefaf40df1a42"/>
    <w:p>
      <w:pPr>
        <w:pStyle w:val="Heading2"/>
      </w:pPr>
      <w:r>
        <w:t xml:space="preserve">3. Typography</w:t>
      </w:r>
    </w:p>
    <w:bookmarkStart w:id="17" w:name="X322a8499eb85d998393f9821211902ca4c3dae9"/>
    <w:p>
      <w:pPr>
        <w:pStyle w:val="Heading3"/>
      </w:pPr>
      <w:r>
        <w:t xml:space="preserve">3.1 Font families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Weights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Poppins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UI</w:t>
            </w:r>
            <w:r>
              <w:t xml:space="preserve"> </w:t>
            </w:r>
            <w:r>
              <w:t xml:space="preserve">— headings, body, controls (</w:t>
            </w:r>
            <w:r>
              <w:rPr>
                <w:rStyle w:val="VerbatimChar"/>
              </w:rPr>
              <w:t xml:space="preserve">font-sans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400, 500, 600, 700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Secondary / fallback in the sans stack; financial data</w:t>
            </w:r>
          </w:p>
        </w:tc>
        <w:tc>
          <w:tcPr/>
          <w:p>
            <w:pPr>
              <w:pStyle w:val="Compact"/>
            </w:pPr>
            <w:r>
              <w:t xml:space="preserve">100–900 (variable)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Sans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 wordmark 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font-logo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400, 600, 700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 Sans</w:t>
            </w:r>
          </w:p>
        </w:tc>
        <w:tc>
          <w:tcPr/>
          <w:p>
            <w:pPr>
              <w:pStyle w:val="Compact"/>
            </w:pPr>
            <w:r>
              <w:t xml:space="preserve">Landing-page section accents</w:t>
            </w:r>
          </w:p>
        </w:tc>
        <w:tc>
          <w:tcPr/>
          <w:p>
            <w:pPr>
              <w:pStyle w:val="Compact"/>
            </w:pPr>
            <w:r>
              <w:t xml:space="preserve">400, 500, 600, 700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 Mono</w:t>
            </w:r>
          </w:p>
        </w:tc>
        <w:tc>
          <w:tcPr/>
          <w:p>
            <w:pPr>
              <w:pStyle w:val="Compact"/>
            </w:pPr>
            <w:r>
              <w:t xml:space="preserve">Monospace accent (code, data labels)</w:t>
            </w:r>
          </w:p>
        </w:tc>
        <w:tc>
          <w:tcPr/>
          <w:p>
            <w:pPr>
              <w:pStyle w:val="Compact"/>
            </w:pPr>
            <w:r>
              <w:t xml:space="preserve">400, 700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Stack:</w:t>
      </w:r>
      <w:r>
        <w:t xml:space="preserve"> </w:t>
      </w:r>
      <w:r>
        <w:rPr>
          <w:rStyle w:val="VerbatimChar"/>
        </w:rPr>
        <w:t xml:space="preserve">font-sans</w:t>
      </w:r>
      <w:r>
        <w:t xml:space="preserve"> </w:t>
      </w:r>
      <w:r>
        <w:t xml:space="preserve">= Poppins → Inter →</w:t>
      </w:r>
      <w:r>
        <w:t xml:space="preserve"> </w:t>
      </w:r>
      <w:r>
        <w:rPr>
          <w:rStyle w:val="VerbatimChar"/>
        </w:rPr>
        <w:t xml:space="preserve">-apple-system, BlinkMacSystemFont, 'Segoe UI', sans-serif</w:t>
      </w:r>
      <w:r>
        <w:t xml:space="preserve">. All fonts are self-hosted (no external requests).</w:t>
      </w:r>
    </w:p>
    <w:bookmarkEnd w:id="17"/>
    <w:bookmarkStart w:id="18" w:name="Xafa05acbb9c5f90f46b2bffae9e9612cc0b536e"/>
    <w:p>
      <w:pPr>
        <w:pStyle w:val="Heading3"/>
      </w:pPr>
      <w:r>
        <w:t xml:space="preserve">3.2 Display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Line height</w:t>
            </w:r>
          </w:p>
        </w:tc>
        <w:tc>
          <w:tcPr/>
          <w:p>
            <w:pPr>
              <w:pStyle w:val="Compact"/>
            </w:pPr>
            <w:r>
              <w:t xml:space="preserve">Tracking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display-xl</w:t>
            </w:r>
          </w:p>
        </w:tc>
        <w:tc>
          <w:tcPr/>
          <w:p>
            <w:pPr>
              <w:pStyle w:val="Compact"/>
            </w:pPr>
            <w:r>
              <w:t xml:space="preserve">4.5rem (72px)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-0.02em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display-lg</w:t>
            </w:r>
          </w:p>
        </w:tc>
        <w:tc>
          <w:tcPr/>
          <w:p>
            <w:pPr>
              <w:pStyle w:val="Compact"/>
            </w:pPr>
            <w:r>
              <w:t xml:space="preserve">3.75rem (60px)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-0.02em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display-md</w:t>
            </w:r>
          </w:p>
        </w:tc>
        <w:tc>
          <w:tcPr/>
          <w:p>
            <w:pPr>
              <w:pStyle w:val="Compact"/>
            </w:pPr>
            <w:r>
              <w:t xml:space="preserve">3rem (48px)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-0.01em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display-sm</w:t>
            </w:r>
          </w:p>
        </w:tc>
        <w:tc>
          <w:tcPr/>
          <w:p>
            <w:pPr>
              <w:pStyle w:val="Compact"/>
            </w:pPr>
            <w:r>
              <w:t xml:space="preserve">2.25rem (36px)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-0.01em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</w:tr>
    </w:tbl>
    <w:bookmarkEnd w:id="18"/>
    <w:bookmarkStart w:id="19" w:name="Xc01fcaed41737269f171ae14736bf5dddd8d495"/>
    <w:p>
      <w:pPr>
        <w:pStyle w:val="Heading3"/>
      </w:pPr>
      <w:r>
        <w:t xml:space="preserve">3.3 Component scale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/ hero number</w:t>
            </w:r>
          </w:p>
        </w:tc>
        <w:tc>
          <w:tcPr/>
          <w:p>
            <w:pPr>
              <w:pStyle w:val="Compact"/>
            </w:pPr>
            <w:r>
              <w:t xml:space="preserve">56px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tabular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</w:t>
            </w:r>
          </w:p>
        </w:tc>
        <w:tc>
          <w:tcPr/>
          <w:p>
            <w:pPr>
              <w:pStyle w:val="Compact"/>
            </w:pPr>
            <w:r>
              <w:t xml:space="preserve">22px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section 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line-height ~1.65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Small</w:t>
            </w:r>
          </w:p>
        </w:tc>
        <w:tc>
          <w:tcPr/>
          <w:p>
            <w:pPr>
              <w:pStyle w:val="Compact"/>
            </w:pPr>
            <w:r>
              <w:t xml:space="preserve">15px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dense layouts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16px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tabular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 Large</w:t>
            </w:r>
          </w:p>
        </w:tc>
        <w:tc>
          <w:tcPr/>
          <w:p>
            <w:pPr>
              <w:pStyle w:val="Compact"/>
            </w:pPr>
            <w:r>
              <w:t xml:space="preserve">24px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tabular 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12–13px</w:t>
            </w:r>
          </w:p>
        </w:tc>
        <w:tc>
          <w:tcPr/>
          <w:p>
            <w:pPr>
              <w:pStyle w:val="Compact"/>
            </w:pPr>
            <w:r>
              <w:t xml:space="preserve">600–700</w:t>
            </w:r>
          </w:p>
        </w:tc>
        <w:tc>
          <w:tcPr/>
          <w:p>
            <w:pPr>
              <w:pStyle w:val="Compact"/>
            </w:pPr>
            <w:r>
              <w:t xml:space="preserve">UPPERCASE, +0.04–0.12em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12–13px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footnotes, helpers</w:t>
            </w:r>
          </w:p>
        </w:tc>
      </w:tr>
    </w:tbl>
    <w:bookmarkEnd w:id="19"/>
    <w:bookmarkStart w:id="20" w:name="Xb1dfd9d877540bbc6abe149de05b34129340242"/>
    <w:p>
      <w:pPr>
        <w:pStyle w:val="Heading3"/>
      </w:pPr>
      <w:r>
        <w:t xml:space="preserve">3.4 Weight conventions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700</w:t>
      </w:r>
      <w:r>
        <w:t xml:space="preserve"> </w:t>
      </w:r>
      <w:r>
        <w:t xml:space="preserve">— headlines, section titles, CTAs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600</w:t>
      </w:r>
      <w:r>
        <w:t xml:space="preserve"> </w:t>
      </w:r>
      <w:r>
        <w:t xml:space="preserve">— financial numbers, subheadings, emphasis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500</w:t>
      </w:r>
      <w:r>
        <w:t xml:space="preserve"> </w:t>
      </w:r>
      <w:r>
        <w:t xml:space="preserve">— labels, UI controls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— body text</w:t>
      </w:r>
    </w:p>
    <w:p>
      <w:pPr>
        <w:pStyle w:val="FirstParagraph"/>
      </w:pPr>
      <w:r>
        <w:t xml:space="preserve">Financial numbers always use</w:t>
      </w:r>
      <w:r>
        <w:t xml:space="preserve"> </w:t>
      </w:r>
      <w:r>
        <w:rPr>
          <w:rStyle w:val="VerbatimChar"/>
        </w:rPr>
        <w:t xml:space="preserve">font-variant-numeric: tabular-nums</w:t>
      </w:r>
      <w:r>
        <w:t xml:space="preserve"> </w:t>
      </w:r>
      <w:r>
        <w:t xml:space="preserve">for column alignment.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a80793cb030cb5776369e906a91dca6c9c82170"/>
    <w:p>
      <w:pPr>
        <w:pStyle w:val="Heading2"/>
      </w:pPr>
      <w:r>
        <w:t xml:space="preserve">4. Spacing</w:t>
      </w:r>
    </w:p>
    <w:p>
      <w:pPr>
        <w:pStyle w:val="FirstParagraph"/>
      </w:pPr>
      <w:r>
        <w:t xml:space="preserve">8px base scale.</w:t>
      </w:r>
      <w:r>
        <w:t xml:space="preserve"> </w:t>
      </w:r>
      <w:r>
        <w:t xml:space="preserve">| Token | Value | Usage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| 4px | Tight gaps, icon padding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sm</w:t>
      </w:r>
      <w:r>
        <w:t xml:space="preserve"> </w:t>
      </w:r>
      <w:r>
        <w:t xml:space="preserve">| 8px | Inline spacing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md</w:t>
      </w:r>
      <w:r>
        <w:t xml:space="preserve"> </w:t>
      </w:r>
      <w:r>
        <w:t xml:space="preserve">| 16px | Default component padding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lg</w:t>
      </w:r>
      <w:r>
        <w:t xml:space="preserve"> </w:t>
      </w:r>
      <w:r>
        <w:t xml:space="preserve">| 24px | Section padding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xl</w:t>
      </w:r>
      <w:r>
        <w:t xml:space="preserve"> </w:t>
      </w:r>
      <w:r>
        <w:t xml:space="preserve">| 32px | Large section gaps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2xl</w:t>
      </w:r>
      <w:r>
        <w:t xml:space="preserve"> </w:t>
      </w:r>
      <w:r>
        <w:t xml:space="preserve">| 48px | Page-level spacing |</w:t>
      </w:r>
    </w:p>
    <w:p>
      <w:pPr>
        <w:pStyle w:val="BodyText"/>
      </w:pPr>
      <w:r>
        <w:rPr>
          <w:b/>
          <w:bCs/>
        </w:rPr>
        <w:t xml:space="preserve">Container padding:</w:t>
      </w:r>
      <w:r>
        <w:t xml:space="preserve"> </w:t>
      </w:r>
      <w:r>
        <w:t xml:space="preserve">16px mobile · 24px desktop.</w:t>
      </w:r>
    </w:p>
    <w:p>
      <w:r>
        <w:pict>
          <v:rect style="width:0;height:1.5pt" o:hralign="center" o:hrstd="t" o:hr="t"/>
        </w:pict>
      </w:r>
    </w:p>
    <w:bookmarkEnd w:id="22"/>
    <w:bookmarkStart w:id="23" w:name="X1f929274cc51979b0ea96dca5fe1f19e68cf3cf"/>
    <w:p>
      <w:pPr>
        <w:pStyle w:val="Heading2"/>
      </w:pPr>
      <w:r>
        <w:t xml:space="preserve">5. Border Radius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16px (1rem)</w:t>
            </w:r>
          </w:p>
        </w:tc>
        <w:tc>
          <w:tcPr/>
          <w:p>
            <w:pPr>
              <w:pStyle w:val="Compact"/>
            </w:pPr>
            <w:r>
              <w:t xml:space="preserve">Standard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2xl</w:t>
            </w:r>
          </w:p>
        </w:tc>
        <w:tc>
          <w:tcPr/>
          <w:p>
            <w:pPr>
              <w:pStyle w:val="Compact"/>
            </w:pPr>
            <w:r>
              <w:t xml:space="preserve">20px (1.25rem)</w:t>
            </w:r>
          </w:p>
        </w:tc>
        <w:tc>
          <w:tcPr/>
          <w:p>
            <w:pPr>
              <w:pStyle w:val="Compact"/>
            </w:pPr>
            <w:r>
              <w:t xml:space="preserve">Large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3xl</w:t>
            </w:r>
          </w:p>
        </w:tc>
        <w:tc>
          <w:tcPr/>
          <w:p>
            <w:pPr>
              <w:pStyle w:val="Compact"/>
            </w:pPr>
            <w:r>
              <w:t xml:space="preserve">24px (1.5rem)</w:t>
            </w:r>
          </w:p>
        </w:tc>
        <w:tc>
          <w:tcPr/>
          <w:p>
            <w:pPr>
              <w:pStyle w:val="Compact"/>
            </w:pPr>
            <w:r>
              <w:t xml:space="preserve">Hero sections, modals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4xl</w:t>
            </w:r>
          </w:p>
        </w:tc>
        <w:tc>
          <w:tcPr/>
          <w:p>
            <w:pPr>
              <w:pStyle w:val="Compact"/>
            </w:pPr>
            <w:r>
              <w:t xml:space="preserve">32px (2rem)</w:t>
            </w:r>
          </w:p>
        </w:tc>
        <w:tc>
          <w:tcPr/>
          <w:p>
            <w:pPr>
              <w:pStyle w:val="Compact"/>
            </w:pPr>
            <w:r>
              <w:t xml:space="preserve">Feature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pill</w:t>
            </w:r>
          </w:p>
        </w:tc>
        <w:tc>
          <w:tcPr/>
          <w:p>
            <w:pPr>
              <w:pStyle w:val="Compact"/>
            </w:pPr>
            <w:r>
              <w:t xml:space="preserve">40px</w:t>
            </w:r>
          </w:p>
        </w:tc>
        <w:tc>
          <w:tcPr/>
          <w:p>
            <w:pPr>
              <w:pStyle w:val="Compact"/>
            </w:pPr>
            <w:r>
              <w:t xml:space="preserve">Buttons, tags, badges</w:t>
            </w:r>
          </w:p>
        </w:tc>
      </w:tr>
    </w:tbl>
    <w:p>
      <w:pPr>
        <w:pStyle w:val="BodyText"/>
      </w:pPr>
      <w:r>
        <w:t xml:space="preserve">Cards commonly use 14–16px radius. Progress bars / small chips use 4px.</w:t>
      </w:r>
    </w:p>
    <w:p>
      <w:r>
        <w:pict>
          <v:rect style="width:0;height:1.5pt" o:hralign="center" o:hrstd="t" o:hr="t"/>
        </w:pict>
      </w:r>
    </w:p>
    <w:bookmarkEnd w:id="23"/>
    <w:bookmarkStart w:id="27" w:name="X0162a63049f03880337eed9e4c28e8945d02fdb"/>
    <w:p>
      <w:pPr>
        <w:pStyle w:val="Heading2"/>
      </w:pPr>
      <w:r>
        <w:t xml:space="preserve">6. Elevation &amp; Shadows</w:t>
      </w:r>
    </w:p>
    <w:p>
      <w:pPr>
        <w:pStyle w:val="FirstParagraph"/>
      </w:pPr>
      <w:r>
        <w:rPr>
          <w:b/>
          <w:bCs/>
        </w:rPr>
        <w:t xml:space="preserve">Dark mode</w:t>
      </w:r>
      <w:r>
        <w:t xml:space="preserve"> </w:t>
      </w:r>
      <w:r>
        <w:t xml:space="preserve">uses sky-blue glow for elevation.</w:t>
      </w:r>
      <w:r>
        <w:t xml:space="preserve"> </w:t>
      </w:r>
      <w:r>
        <w:rPr>
          <w:b/>
          <w:bCs/>
        </w:rPr>
        <w:t xml:space="preserve">Light mode</w:t>
      </w:r>
      <w:r>
        <w:t xml:space="preserve"> </w:t>
      </w:r>
      <w:r>
        <w:t xml:space="preserve">uses soft neutral drop shadows.</w:t>
      </w:r>
    </w:p>
    <w:bookmarkStart w:id="24" w:name="Xaed2fee269b16fd3d2b14225648c5175c2fb41c"/>
    <w:p>
      <w:pPr>
        <w:pStyle w:val="Heading3"/>
      </w:pPr>
      <w:r>
        <w:t xml:space="preserve">6.1 Semantic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20px rgba(14,165,233,0.15)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1px 3px rgba(0,0,0,0.06), 0 1px 2px rgba(0,0,0,0.04)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hover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30px rgba(14,165,233,0.25)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4px 16px rgba(0,0,0,0.08), 0 2px 4px rgba(0,0,0,0.04)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4px 12px rgba(0,0,0,0.5)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10px 25px rgba(0,0,0,0.12), 0 4px 10px rgba(0,0,0,0.06)</w:t>
            </w:r>
          </w:p>
        </w:tc>
      </w:tr>
    </w:tbl>
    <w:bookmarkEnd w:id="24"/>
    <w:bookmarkStart w:id="25" w:name="Xd1308608887e60096229f843448b33773ccb5ec"/>
    <w:p>
      <w:pPr>
        <w:pStyle w:val="Heading3"/>
      </w:pPr>
      <w:r>
        <w:t xml:space="preserve">6.2 Utility shadows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4px 14px rgba(4,101,242,0.25)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shadow-brand-lg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10px 40px rgba(4,101,242,0.3)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shadow-glow-sky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24px rgba(56,189,248,0.2)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shadow-glow-sky-lg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36px rgba(56,189,248,0.35)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shadow-glow-teal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20px rgba(15,164,233,0.3)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shadow-glow-cyan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20px rgba(15,164,233,0.5)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shadow-glow-blue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0 20px rgba(4,101,242,0.5)</w:t>
            </w:r>
          </w:p>
        </w:tc>
      </w:tr>
    </w:tbl>
    <w:bookmarkEnd w:id="25"/>
    <w:bookmarkStart w:id="26" w:name="X15ebb3b59773a02502109be02c449f2a65ea743"/>
    <w:p>
      <w:pPr>
        <w:pStyle w:val="Heading3"/>
      </w:pPr>
      <w:r>
        <w:t xml:space="preserve">6.3 Card glow system (dark)</w:t>
      </w:r>
    </w:p>
    <w:p>
      <w:pPr>
        <w:pStyle w:val="FirstParagraph"/>
      </w:pPr>
      <w:r>
        <w:t xml:space="preserve">Persistent teal illumination on key cards:</w:t>
      </w:r>
    </w:p>
    <w:p>
      <w:pPr>
        <w:pStyle w:val="SourceCode"/>
      </w:pPr>
      <w:r>
        <w:rPr>
          <w:rStyle w:val="VerbatimChar"/>
        </w:rPr>
        <w:t xml:space="preserve">background:  #000000</w:t>
      </w:r>
      <w:r>
        <w:br/>
      </w:r>
      <w:r>
        <w:rPr>
          <w:rStyle w:val="VerbatimChar"/>
        </w:rPr>
        <w:t xml:space="preserve">border:      1px solid rgba(15,164,233,0.25)</w:t>
      </w:r>
      <w:r>
        <w:br/>
      </w:r>
      <w:r>
        <w:rPr>
          <w:rStyle w:val="VerbatimChar"/>
        </w:rPr>
        <w:t xml:space="preserve">box-shadow:  0 0 30px rgba(15,164,233,0.08), 0 0 60px rgba(15,164,233,0.04)</w:t>
      </w:r>
      <w:r>
        <w:br/>
      </w:r>
      <w:r>
        <w:rPr>
          <w:rStyle w:val="VerbatimChar"/>
        </w:rPr>
        <w:t xml:space="preserve">hover →      border rgba(15,164,233,0.55); shadow 0 0 50px rgba(15,164,233,0.15)</w:t>
      </w:r>
      <w:r>
        <w:br/>
      </w:r>
      <w:r>
        <w:rPr>
          <w:rStyle w:val="VerbatimChar"/>
        </w:rPr>
        <w:t xml:space="preserve">active →     2px solid rgba(15,164,233,0.5); brighter glow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835ef880aa6f2ec7b2666d6ec9dc67bc06064e"/>
    <w:p>
      <w:pPr>
        <w:pStyle w:val="Heading2"/>
      </w:pPr>
      <w:r>
        <w:t xml:space="preserve">7. Gradients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linear-gradient(135deg, #0465F2 0%, #38BDF8 100%)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(3-stop)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linear-gradient(135deg, #0465F2 0%, #0FA4E9 58%, #38BDF8 100%)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vertical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linear-gradient(180deg, #0465F2 0%, #38BDF8 100%)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radial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radial-gradient(circle at 20% 20%, rgba(56,189,248,0.24), transparent 32%), radial-gradient(circle at 85% 12%, rgba(4,101,242,0.18), transparent 28%)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radial-gradient(ellipse 80% 60% at 50% 30%, rgba(12,18,32,0.6) 0%, #000 100%)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linear-gradient(135deg, #07172E 0%, #1F2937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linear-gradient(135deg, #0FA4E9 0%, #0284C7 100%)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linear-gradient(135deg, #38BDF8 0%, #0FA4E9 100%)</w:t>
            </w:r>
          </w:p>
        </w:tc>
      </w:tr>
    </w:tbl>
    <w:p>
      <w:pPr>
        <w:pStyle w:val="BodyText"/>
      </w:pPr>
      <w:r>
        <w:t xml:space="preserve">Use gradients for CTAs, hero backgrounds, and accent bars — never for large flat content areas.</w:t>
      </w:r>
    </w:p>
    <w:p>
      <w:r>
        <w:pict>
          <v:rect style="width:0;height:1.5pt" o:hralign="center" o:hrstd="t" o:hr="t"/>
        </w:pict>
      </w:r>
    </w:p>
    <w:bookmarkEnd w:id="28"/>
    <w:bookmarkStart w:id="31" w:name="X8d050e26ffd714377e0ba71f01283a77c1f8d24"/>
    <w:p>
      <w:pPr>
        <w:pStyle w:val="Heading2"/>
      </w:pPr>
      <w:r>
        <w:t xml:space="preserve">8. Layout &amp; Page Styles</w:t>
      </w:r>
    </w:p>
    <w:bookmarkStart w:id="29" w:name="X7862a043ad2b8399adc2ef4f2692e3a0ceade27"/>
    <w:p>
      <w:pPr>
        <w:pStyle w:val="Heading3"/>
      </w:pPr>
      <w:r>
        <w:t xml:space="preserve">8.1 Breakpoints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640px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768px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lg</w:t>
            </w:r>
          </w:p>
        </w:tc>
        <w:tc>
          <w:tcPr/>
          <w:p>
            <w:pPr>
              <w:pStyle w:val="Compact"/>
            </w:pPr>
            <w:r>
              <w:t xml:space="preserve">1024px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</w:t>
            </w:r>
          </w:p>
        </w:tc>
        <w:tc>
          <w:tcPr/>
          <w:p>
            <w:pPr>
              <w:pStyle w:val="Compact"/>
            </w:pPr>
            <w:r>
              <w:t xml:space="preserve">1280px</w:t>
            </w:r>
          </w:p>
        </w:tc>
      </w:tr>
    </w:tbl>
    <w:p>
      <w:pPr>
        <w:pStyle w:val="BodyText"/>
      </w:pPr>
      <w:r>
        <w:t xml:space="preserve">Mobile-first. Compose layouts upward from the smallest viewport.</w:t>
      </w:r>
    </w:p>
    <w:bookmarkEnd w:id="29"/>
    <w:bookmarkStart w:id="30" w:name="Xbeeef0f760f192a38cb0acce93acc21ce7cd189"/>
    <w:p>
      <w:pPr>
        <w:pStyle w:val="Heading3"/>
      </w:pPr>
      <w:r>
        <w:t xml:space="preserve">8.2 Page structure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Page shell:</w:t>
      </w:r>
      <w:r>
        <w:t xml:space="preserve"> </w:t>
      </w:r>
      <w:r>
        <w:t xml:space="preserve">full height,</w:t>
      </w:r>
      <w:r>
        <w:t xml:space="preserve"> </w:t>
      </w:r>
      <w:r>
        <w:rPr>
          <w:rStyle w:val="VerbatimChar"/>
        </w:rPr>
        <w:t xml:space="preserve">--surface-base</w:t>
      </w:r>
      <w:r>
        <w:t xml:space="preserve"> </w:t>
      </w:r>
      <w:r>
        <w:t xml:space="preserve">background.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Sections:</w:t>
      </w:r>
      <w:r>
        <w:t xml:space="preserve"> </w:t>
      </w:r>
      <w:r>
        <w:t xml:space="preserve">alternate</w:t>
      </w:r>
      <w:r>
        <w:t xml:space="preserve"> </w:t>
      </w:r>
      <w:r>
        <w:rPr>
          <w:rStyle w:val="VerbatimChar"/>
        </w:rPr>
        <w:t xml:space="preserve">--surface-base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--surface-section</w:t>
      </w:r>
      <w:r>
        <w:t xml:space="preserve"> </w:t>
      </w:r>
      <w:r>
        <w:t xml:space="preserve">for rhythm; never flat-on-flat.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Cards:</w:t>
      </w:r>
      <w:r>
        <w:t xml:space="preserve"> </w:t>
      </w:r>
      <w:r>
        <w:rPr>
          <w:rStyle w:val="VerbatimChar"/>
        </w:rPr>
        <w:t xml:space="preserve">--surface-card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--border-default</w:t>
      </w:r>
      <w:r>
        <w:t xml:space="preserve"> </w:t>
      </w:r>
      <w:r>
        <w:t xml:space="preserve">hairline and the card shadow/glow.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Nested panels:</w:t>
      </w:r>
      <w:r>
        <w:t xml:space="preserve"> </w:t>
      </w:r>
      <w:r>
        <w:rPr>
          <w:rStyle w:val="VerbatimChar"/>
        </w:rPr>
        <w:t xml:space="preserve">--surface-elevated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Depth comes from subtle radial gradients and glow, not heavy borders.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159689946c5663d6911d2e6a7574c42bfcaa291"/>
    <w:p>
      <w:pPr>
        <w:pStyle w:val="Heading2"/>
      </w:pPr>
      <w:r>
        <w:t xml:space="preserve">9. Component Styles</w:t>
      </w:r>
    </w:p>
    <w:p>
      <w:pPr>
        <w:pStyle w:val="FirstParagraph"/>
      </w:pPr>
      <w:r>
        <w:t xml:space="preserve">Visual specs only.</w:t>
      </w:r>
    </w:p>
    <w:bookmarkStart w:id="32" w:name="X139268cce8a2d2be69a8c1b3cdcc9bb925bf5e7"/>
    <w:p>
      <w:pPr>
        <w:pStyle w:val="Heading3"/>
      </w:pPr>
      <w:r>
        <w:t xml:space="preserve">9.1 Buttons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Sky background (or brand gradient), inverse text,</w:t>
            </w:r>
            <w:r>
              <w:t xml:space="preserve"> </w:t>
            </w:r>
            <w:r>
              <w:rPr>
                <w:rStyle w:val="VerbatimChar"/>
              </w:rPr>
              <w:t xml:space="preserve">pill</w:t>
            </w:r>
            <w:r>
              <w:t xml:space="preserve"> </w:t>
            </w:r>
            <w:r>
              <w:t xml:space="preserve">radius (40px), weight 700,</w:t>
            </w:r>
            <w:r>
              <w:t xml:space="preserve"> </w:t>
            </w:r>
            <w:r>
              <w:rPr>
                <w:rStyle w:val="VerbatimChar"/>
              </w:rPr>
              <w:t xml:space="preserve">shadow-brand</w:t>
            </w:r>
            <w:r>
              <w:t xml:space="preserve">. Height ~52px.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 / outline</w:t>
            </w:r>
          </w:p>
        </w:tc>
        <w:tc>
          <w:tcPr/>
          <w:p>
            <w:pPr>
              <w:pStyle w:val="Compact"/>
            </w:pPr>
            <w:r>
              <w:t xml:space="preserve">Transparent background, sky text + 1px sky border,</w:t>
            </w:r>
            <w:r>
              <w:t xml:space="preserve"> </w:t>
            </w:r>
            <w:r>
              <w:rPr>
                <w:rStyle w:val="VerbatimChar"/>
              </w:rPr>
              <w:t xml:space="preserve">pill</w:t>
            </w:r>
            <w:r>
              <w:t xml:space="preserve"> </w:t>
            </w:r>
            <w:r>
              <w:t xml:space="preserve">radius. Height ~40px.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Ghost / text</w:t>
            </w:r>
          </w:p>
        </w:tc>
        <w:tc>
          <w:tcPr/>
          <w:p>
            <w:pPr>
              <w:pStyle w:val="Compact"/>
            </w:pPr>
            <w:r>
              <w:t xml:space="preserve">Transparent, link-colored text, no border.</w:t>
            </w:r>
          </w:p>
        </w:tc>
      </w:tr>
    </w:tbl>
    <w:bookmarkEnd w:id="32"/>
    <w:bookmarkStart w:id="33" w:name="X927ba68ec8b2387eed5a83f9ae4e74a7579d581"/>
    <w:p>
      <w:pPr>
        <w:pStyle w:val="Heading3"/>
      </w:pPr>
      <w:r>
        <w:t xml:space="preserve">9.2 Cards</w:t>
      </w:r>
    </w:p>
    <w:p>
      <w:pPr>
        <w:pStyle w:val="SourceCode"/>
      </w:pPr>
      <w:r>
        <w:rPr>
          <w:rStyle w:val="VerbatimChar"/>
        </w:rPr>
        <w:t xml:space="preserve">background:    var(--surface-card)</w:t>
      </w:r>
      <w:r>
        <w:br/>
      </w:r>
      <w:r>
        <w:rPr>
          <w:rStyle w:val="VerbatimChar"/>
        </w:rPr>
        <w:t xml:space="preserve">border:        1px solid var(--border-default)</w:t>
      </w:r>
      <w:r>
        <w:br/>
      </w:r>
      <w:r>
        <w:rPr>
          <w:rStyle w:val="VerbatimChar"/>
        </w:rPr>
        <w:t xml:space="preserve">border-radius: 14–16px</w:t>
      </w:r>
      <w:r>
        <w:br/>
      </w:r>
      <w:r>
        <w:rPr>
          <w:rStyle w:val="VerbatimChar"/>
        </w:rPr>
        <w:t xml:space="preserve">box-shadow:    card shadow (glow in dark / drop shadow in light)</w:t>
      </w:r>
      <w:r>
        <w:br/>
      </w:r>
      <w:r>
        <w:rPr>
          <w:rStyle w:val="VerbatimChar"/>
        </w:rPr>
        <w:t xml:space="preserve">hover:         surface-card-hover + card-hover shadow</w:t>
      </w:r>
    </w:p>
    <w:bookmarkEnd w:id="33"/>
    <w:bookmarkStart w:id="34" w:name="X636dba774b1706046a513acde6c1ad9fdc79457"/>
    <w:p>
      <w:pPr>
        <w:pStyle w:val="Heading3"/>
      </w:pPr>
      <w:r>
        <w:t xml:space="preserve">9.3 Inputs</w:t>
      </w:r>
    </w:p>
    <w:p>
      <w:pPr>
        <w:pStyle w:val="Compact"/>
        <w:numPr>
          <w:ilvl w:val="0"/>
          <w:numId w:val="1006"/>
        </w:numPr>
      </w:pPr>
      <w:r>
        <w:t xml:space="preserve">Background</w:t>
      </w:r>
      <w:r>
        <w:t xml:space="preserve"> </w:t>
      </w:r>
      <w:r>
        <w:rPr>
          <w:rStyle w:val="VerbatimChar"/>
        </w:rPr>
        <w:t xml:space="preserve">--surface-input</w:t>
      </w:r>
      <w:r>
        <w:t xml:space="preserve">, 1px</w:t>
      </w:r>
      <w:r>
        <w:t xml:space="preserve"> </w:t>
      </w:r>
      <w:r>
        <w:rPr>
          <w:rStyle w:val="VerbatimChar"/>
        </w:rPr>
        <w:t xml:space="preserve">--border-default</w:t>
      </w:r>
      <w:r>
        <w:t xml:space="preserve">, focus ring</w:t>
      </w:r>
      <w:r>
        <w:t xml:space="preserve"> </w:t>
      </w:r>
      <w:r>
        <w:rPr>
          <w:rStyle w:val="VerbatimChar"/>
        </w:rPr>
        <w:t xml:space="preserve">--border-focus</w:t>
      </w:r>
      <w:r>
        <w:t xml:space="preserve"> </w:t>
      </w:r>
      <w:r>
        <w:t xml:space="preserve">(sky).</w:t>
      </w:r>
    </w:p>
    <w:p>
      <w:pPr>
        <w:pStyle w:val="Compact"/>
        <w:numPr>
          <w:ilvl w:val="0"/>
          <w:numId w:val="1006"/>
        </w:numPr>
      </w:pPr>
      <w:r>
        <w:t xml:space="preserve">Radius matches cards; comfortable touch target height (≥ 40px).</w:t>
      </w:r>
    </w:p>
    <w:bookmarkEnd w:id="34"/>
    <w:bookmarkStart w:id="35" w:name="Xbdc57dbde6cae7c406536efc5fb725ae81a9c4c"/>
    <w:p>
      <w:pPr>
        <w:pStyle w:val="Heading3"/>
      </w:pPr>
      <w:r>
        <w:t xml:space="preserve">9.4 Badges / tags / pills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pill</w:t>
      </w:r>
      <w:r>
        <w:t xml:space="preserve"> </w:t>
      </w:r>
      <w:r>
        <w:t xml:space="preserve">radius, 10–12px UPPERCASE label text, weight 700.</w:t>
      </w:r>
    </w:p>
    <w:p>
      <w:pPr>
        <w:pStyle w:val="Compact"/>
        <w:numPr>
          <w:ilvl w:val="0"/>
          <w:numId w:val="1007"/>
        </w:numPr>
      </w:pPr>
      <w:r>
        <w:t xml:space="preserve">Tinted background using the relevant accent at ~10% opacity (e.g.,</w:t>
      </w:r>
      <w:r>
        <w:t xml:space="preserve"> </w:t>
      </w:r>
      <w:r>
        <w:rPr>
          <w:rStyle w:val="VerbatimChar"/>
        </w:rPr>
        <w:t xml:space="preserve">sky.dim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green.dim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gold.dim</w:t>
      </w:r>
      <w:r>
        <w:t xml:space="preserve">), text in the full accent color.</w:t>
      </w:r>
    </w:p>
    <w:bookmarkEnd w:id="35"/>
    <w:bookmarkStart w:id="36" w:name="Xb44c9a2d0be39187c3aba74dcfbb5e2ce07d5cd"/>
    <w:p>
      <w:pPr>
        <w:pStyle w:val="Heading3"/>
      </w:pPr>
      <w:r>
        <w:t xml:space="preserve">9.5 Dividers / progress</w:t>
      </w:r>
    </w:p>
    <w:p>
      <w:pPr>
        <w:pStyle w:val="Compact"/>
        <w:numPr>
          <w:ilvl w:val="0"/>
          <w:numId w:val="1008"/>
        </w:numPr>
      </w:pPr>
      <w:r>
        <w:t xml:space="preserve">Divider: 1px,</w:t>
      </w:r>
      <w:r>
        <w:t xml:space="preserve"> </w:t>
      </w:r>
      <w:r>
        <w:rPr>
          <w:rStyle w:val="VerbatimChar"/>
        </w:rPr>
        <w:t xml:space="preserve">--border-subtle</w:t>
      </w:r>
      <w:r>
        <w:t xml:space="preserve"> </w:t>
      </w:r>
      <w:r>
        <w:t xml:space="preserve">/ 7% white in dark.</w:t>
      </w:r>
    </w:p>
    <w:p>
      <w:pPr>
        <w:pStyle w:val="Compact"/>
        <w:numPr>
          <w:ilvl w:val="0"/>
          <w:numId w:val="1008"/>
        </w:numPr>
      </w:pPr>
      <w:r>
        <w:t xml:space="preserve">Progress bar: 7px tall, 4px radius, track at ~5% white opacity, fill in the relevant accent.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8cf337476119288d0e94c3a343bc86fb9a71ee7"/>
    <w:p>
      <w:pPr>
        <w:pStyle w:val="Heading2"/>
      </w:pPr>
      <w:r>
        <w:t xml:space="preserve">10. Motion</w:t>
      </w:r>
    </w:p>
    <w:p>
      <w:pPr>
        <w:pStyle w:val="FirstParagraph"/>
      </w:pPr>
      <w:r>
        <w:t xml:space="preserve">Subtle, purposeful micro-interactions.</w:t>
      </w:r>
      <w:r>
        <w:t xml:space="preserve"> </w:t>
      </w:r>
      <w:r>
        <w:t xml:space="preserve">| Class | Duration | Easing | Behavior |</w:t>
      </w:r>
      <w:r>
        <w:t xml:space="preserve"> </w:t>
      </w:r>
      <w:r>
        <w:t xml:space="preserve">|---|---|---|---|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fade-in</w:t>
      </w:r>
      <w:r>
        <w:t xml:space="preserve"> </w:t>
      </w:r>
      <w:r>
        <w:t xml:space="preserve">| 0.5s | ease-out | Opacity 0 → 1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slide-up</w:t>
      </w:r>
      <w:r>
        <w:t xml:space="preserve"> </w:t>
      </w:r>
      <w:r>
        <w:t xml:space="preserve">| 0.5s | ease-out | TranslateY 20px → 0 + fade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slide-in-right</w:t>
      </w:r>
      <w:r>
        <w:t xml:space="preserve"> </w:t>
      </w:r>
      <w:r>
        <w:t xml:space="preserve">| 0.3s | ease-out | TranslateX 20px → 0 + fade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float-slow / medium / fast</w:t>
      </w:r>
      <w:r>
        <w:t xml:space="preserve"> </w:t>
      </w:r>
      <w:r>
        <w:t xml:space="preserve">| 6s / 5s / 4s | ease-in-out | Gentle vertical float (infinite)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pulse-soft</w:t>
      </w:r>
      <w:r>
        <w:t xml:space="preserve"> </w:t>
      </w:r>
      <w:r>
        <w:t xml:space="preserve">| 2s | ease-in-out | Subtle opacity pulse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score-fill</w:t>
      </w:r>
      <w:r>
        <w:t xml:space="preserve"> </w:t>
      </w:r>
      <w:r>
        <w:t xml:space="preserve">| 1s | ease-out | SVG stroke fill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expand-collapse</w:t>
      </w:r>
      <w:r>
        <w:t xml:space="preserve"> </w:t>
      </w:r>
      <w:r>
        <w:t xml:space="preserve">| 0.3s | ease-in-out | Max-height + fade |</w:t>
      </w:r>
    </w:p>
    <w:p>
      <w:pPr>
        <w:pStyle w:val="BodyText"/>
      </w:pPr>
      <w:r>
        <w:rPr>
          <w:b/>
          <w:bCs/>
        </w:rPr>
        <w:t xml:space="preserve">Always respect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prefers-reduced-motion</w:t>
      </w:r>
      <w:r>
        <w:t xml:space="preserve"> </w:t>
      </w:r>
      <w:r>
        <w:t xml:space="preserve">— collapse animations to ~0.01ms when the user opts out.</w:t>
      </w:r>
    </w:p>
    <w:p>
      <w:r>
        <w:pict>
          <v:rect style="width:0;height:1.5pt" o:hralign="center" o:hrstd="t" o:hr="t"/>
        </w:pict>
      </w:r>
    </w:p>
    <w:bookmarkEnd w:id="38"/>
    <w:bookmarkStart w:id="39" w:name="Xd486f8f30ce61f0a1ce4d71cdc70beca7c641ff"/>
    <w:p>
      <w:pPr>
        <w:pStyle w:val="Heading2"/>
      </w:pPr>
      <w:r>
        <w:t xml:space="preserve">11. Accessibility</w:t>
      </w:r>
    </w:p>
    <w:p>
      <w:pPr>
        <w:pStyle w:val="Compact"/>
        <w:numPr>
          <w:ilvl w:val="0"/>
          <w:numId w:val="1009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WCAG AA contrast</w:t>
      </w:r>
      <w:r>
        <w:t xml:space="preserve"> </w:t>
      </w:r>
      <w:r>
        <w:t xml:space="preserve">(≥ 4.5:1 for text) against the expected surface. The four-tier slate text scale is tuned to pass on its intended backgrounds.</w:t>
      </w:r>
    </w:p>
    <w:p>
      <w:pPr>
        <w:pStyle w:val="Compact"/>
        <w:numPr>
          <w:ilvl w:val="0"/>
          <w:numId w:val="1009"/>
        </w:numPr>
      </w:pPr>
      <w:r>
        <w:t xml:space="preserve">Don't put cyan text on white at small sizes — use brand blue</w:t>
      </w:r>
      <w:r>
        <w:t xml:space="preserve"> </w:t>
      </w:r>
      <w:r>
        <w:rPr>
          <w:rStyle w:val="VerbatimChar"/>
        </w:rPr>
        <w:t xml:space="preserve">#0465F2</w:t>
      </w:r>
      <w:r>
        <w:t xml:space="preserve"> </w:t>
      </w:r>
      <w:r>
        <w:t xml:space="preserve">instead.</w:t>
      </w:r>
    </w:p>
    <w:p>
      <w:pPr>
        <w:pStyle w:val="Compact"/>
        <w:numPr>
          <w:ilvl w:val="0"/>
          <w:numId w:val="1009"/>
        </w:numPr>
      </w:pPr>
      <w:r>
        <w:t xml:space="preserve">Color is never the sole signal; pair status colors with labels/icons.</w:t>
      </w:r>
    </w:p>
    <w:p>
      <w:pPr>
        <w:pStyle w:val="Compact"/>
        <w:numPr>
          <w:ilvl w:val="0"/>
          <w:numId w:val="1009"/>
        </w:numPr>
      </w:pPr>
      <w:r>
        <w:t xml:space="preserve">All interactive elements have a visible focus state using</w:t>
      </w:r>
      <w:r>
        <w:t xml:space="preserve"> </w:t>
      </w:r>
      <w:r>
        <w:rPr>
          <w:rStyle w:val="VerbatimChar"/>
        </w:rPr>
        <w:t xml:space="preserve">--border-focus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Honor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prefers-color-scheme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appendix--quick-reference"/>
    <w:p>
      <w:pPr>
        <w:pStyle w:val="Heading2"/>
      </w:pPr>
      <w:r>
        <w:t xml:space="preserve">Appendix — quick reference</w:t>
      </w:r>
    </w:p>
    <w:p>
      <w:pPr>
        <w:pStyle w:val="SourceCode"/>
      </w:pPr>
      <w:r>
        <w:rPr>
          <w:rStyle w:val="VerbatimChar"/>
        </w:rPr>
        <w:t xml:space="preserve">SKY (primary)   #0FA4E9 (dark) / #0465F2 (light)</w:t>
      </w:r>
      <w:r>
        <w:br/>
      </w:r>
      <w:r>
        <w:rPr>
          <w:rStyle w:val="VerbatimChar"/>
        </w:rPr>
        <w:t xml:space="preserve">SKY LIGHT       #38BDF8 (dark) / #0354D1 (light)</w:t>
      </w:r>
      <w:r>
        <w:br/>
      </w:r>
      <w:r>
        <w:rPr>
          <w:rStyle w:val="VerbatimChar"/>
        </w:rPr>
        <w:t xml:space="preserve">BRAND BLUE      #0465F2</w:t>
      </w:r>
      <w:r>
        <w:br/>
      </w:r>
      <w:r>
        <w:rPr>
          <w:rStyle w:val="VerbatimChar"/>
        </w:rPr>
        <w:t xml:space="preserve">BLACK BASE      #000000 (dark) / #EAEEF3 (light)</w:t>
      </w:r>
      <w:r>
        <w:br/>
      </w:r>
      <w:r>
        <w:rPr>
          <w:rStyle w:val="VerbatimChar"/>
        </w:rPr>
        <w:t xml:space="preserve">HEADING TEXT    #F1F5F9 (dark) / #0F172A (light)</w:t>
      </w:r>
      <w:r>
        <w:br/>
      </w:r>
      <w:r>
        <w:rPr>
          <w:rStyle w:val="VerbatimChar"/>
        </w:rPr>
        <w:t xml:space="preserve">BODY TEXT       #CBD5E1 (dark) / #1E293B (light)</w:t>
      </w:r>
      <w:r>
        <w:br/>
      </w:r>
      <w:r>
        <w:rPr>
          <w:rStyle w:val="VerbatimChar"/>
        </w:rPr>
        <w:t xml:space="preserve">GRADIENT        linear-gradient(135deg, #0465F2 0%, #38BDF8 100%)</w:t>
      </w:r>
      <w:r>
        <w:br/>
      </w:r>
      <w:r>
        <w:br/>
      </w:r>
      <w:r>
        <w:rPr>
          <w:rStyle w:val="VerbatimChar"/>
        </w:rPr>
        <w:t xml:space="preserve">FONT (UI)       Poppins → Inter → system   ·   LOGO: Source Sans 3</w:t>
      </w:r>
      <w:r>
        <w:br/>
      </w:r>
      <w:r>
        <w:rPr>
          <w:rStyle w:val="VerbatimChar"/>
        </w:rPr>
        <w:t xml:space="preserve">WEIGHTS         700 head / 600 numbers / 500 labels / 400 body</w:t>
      </w:r>
      <w:r>
        <w:br/>
      </w:r>
      <w:r>
        <w:br/>
      </w:r>
      <w:r>
        <w:rPr>
          <w:rStyle w:val="VerbatimChar"/>
        </w:rPr>
        <w:t xml:space="preserve">STATUS          Positive #34D399 · Warning #FBBF24 · Negative #F87171 · Info #38BDF8</w:t>
      </w:r>
      <w:r>
        <w:br/>
      </w:r>
      <w:r>
        <w:br/>
      </w:r>
      <w:r>
        <w:rPr>
          <w:rStyle w:val="VerbatimChar"/>
        </w:rPr>
        <w:t xml:space="preserve">RADIUS          card 14–16px · pill 40px</w:t>
      </w:r>
      <w:r>
        <w:br/>
      </w:r>
      <w:r>
        <w:rPr>
          <w:rStyle w:val="VerbatimChar"/>
        </w:rPr>
        <w:t xml:space="preserve">SPACING         4 · 8 · 16 · 24 · 32 · 48  (8px base)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2026-06-04T02:17:21Z</dcterms:created>
  <dcterms:modified xsi:type="dcterms:W3CDTF">2026-06-04T02:17:21Z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