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D769843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TrueHz™ Precision Tuning</w:t>
      </w:r>
    </w:p>
    <w:p w14:paraId="3B2CF68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8"/>
          <w:szCs w:val="22"/>
        </w:rPr>
        <w:t>Technical Specification &amp; How It Works</w:t>
      </w:r>
    </w:p>
    <w:p w14:paraId="29B6DBD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Product: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Rise In Harmony</w:t>
      </w:r>
      <w:r>
        <w:br w:type="textWrapping"/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Document type: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Internal engineering specification</w:t>
      </w:r>
      <w:r>
        <w:br w:type="textWrapping"/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Related brand: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TrueHz™ Precision Tuning (also referred to informally as “TuneHz”)</w:t>
      </w:r>
      <w:r>
        <w:br w:type="textWrapping"/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Engineering codename: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DDS / ResoNate SRS v1.0</w:t>
      </w:r>
      <w:r>
        <w:br w:type="textWrapping"/>
      </w: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Public page: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https://www.riseinharmony.com/technology</w:t>
      </w:r>
    </w:p>
    <w:p w14:paraId="28046622">
      <w:pPr>
        <w:spacing w:after="200" w:line="276" w:lineRule="auto"/>
      </w:pPr>
    </w:p>
    <w:p w14:paraId="4C5A208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2"/>
          <w:szCs w:val="22"/>
        </w:rPr>
        <w:t xml:space="preserve">Note: </w:t>
      </w:r>
      <w:r>
        <w:rPr>
          <w:rFonts w:ascii="Calibri" w:hAnsi="Calibri" w:eastAsia="ＭＳ 明朝" w:cs="Calibri" w:eastAsiaTheme="minorEastAsia" w:csTheme="minorBidi"/>
          <w:sz w:val="22"/>
          <w:szCs w:val="22"/>
        </w:rPr>
        <w:t>The canonical product name is TrueHz™. Public marketing pages describe the accuracy promise without disclosing the DDS implementation details in this document.</w:t>
      </w:r>
    </w:p>
    <w:p w14:paraId="27748A0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1. Purpose</w:t>
      </w:r>
    </w:p>
    <w:p w14:paraId="3B274CB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TrueHz ensures that when a user selects a labeled frequency (for example 528.00 Hz), the audible tone is generated at that mathematical frequency — not approximated via compressed MP3s or pitch-shifted music. Live synthesis replaces pre-baked files for catalog and custom tones. Pre-mixed recorded Schumann sessions are a complementary path, not a replacement for live TrueHz synthesis.</w:t>
      </w:r>
    </w:p>
    <w:p w14:paraId="30174BD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2. Spec Summary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855F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9B0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Value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BF0C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Frequency range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DC83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1 – 22,000 Hz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4AF1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UI / quantization resolution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B4B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0.01 Hz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F68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Accuracy target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300D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±0.05 Hz (hardware clock limited)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C42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Live-path compression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069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0% (no lossy encoding of the generated tone)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F64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Binaural channels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4113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2 independent (L/R)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B774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Catalog binaural carrier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2410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200 Hz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D243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Beat / pulse range (mobile math)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5969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0.5 – 40 Hz</w:t>
            </w:r>
          </w:p>
        </w:tc>
      </w:tr>
    </w:tbl>
    <w:p w14:paraId="0AFEA4A9">
      <w:pPr>
        <w:spacing w:after="200" w:line="276" w:lineRule="auto"/>
      </w:pPr>
    </w:p>
    <w:p w14:paraId="1534BF6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3. Naming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C089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5D6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Where used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7164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Notes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465B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TrueHz™ Precision Tuning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F9F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Marketing UI, Technology page, paywall, player badge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DFA2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Canonical brand name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7EC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Precision Player / Frequency Studio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6D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Feature / screen name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C6D3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Custom-Hz generator UI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D55F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DDS / ResoNate SRS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808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Code comments, engineering IDs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9C3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Internal tech name; not user-facing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8BA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TuneHz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2E6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Informal / external reference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0B6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Not used in codebase; maps to TrueHz</w:t>
            </w:r>
          </w:p>
        </w:tc>
      </w:tr>
    </w:tbl>
    <w:p w14:paraId="6D4BA8CB">
      <w:pPr>
        <w:spacing w:after="200" w:line="276" w:lineRule="auto"/>
      </w:pPr>
    </w:p>
    <w:p w14:paraId="0CE70D7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4. System Architecture</w:t>
      </w:r>
    </w:p>
    <w:p w14:paraId="3398C62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4.1 Platform split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4C1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17E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Web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39F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Mobile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2B2B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Brand / UX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9874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TrueHz™ · /technology · /studio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DA7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TrueHz™ · technology · Studio tab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2E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App API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60C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usePrecisionPlayer · useFrequencyPlayer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829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usePrecisionPlayer · useAudioPlayer · synth.ts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D5A2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Synthesis core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0AE6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AudioWorklet dds-processor.js (software DDS)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DC4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react-native-audio-api OscillatorNode(s)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A1B7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Shared math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7CAF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Inline clamps in hooks / UI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64A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synthMath.ts (clampHz, binauralPair, bowl)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1508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Integrity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E25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Catalog + Studio presets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2D50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frequencyIntegrity.test.ts (TrueHz contract)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B72A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Output graph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0F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Worklet → Gain → Analyser → destination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8C9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Oscillators → Panner/Gate → masterGain → Analyser</w:t>
            </w:r>
          </w:p>
        </w:tc>
      </w:tr>
    </w:tbl>
    <w:p w14:paraId="2EB9892C">
      <w:pPr>
        <w:spacing w:after="200" w:line="276" w:lineRule="auto"/>
      </w:pPr>
    </w:p>
    <w:p w14:paraId="0A49CF4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Web implements a true phase-accumulator DDS. Mobile uses native oscillators quantized to the same 0.01 Hz contract. UX and catalog math are aligned; backends differ.</w:t>
      </w:r>
    </w:p>
    <w:p w14:paraId="0CB9A4E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4.2 Feature surfaces that use TrueHz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A015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98C8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Web URL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BAEB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Nav / entry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632F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Library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E531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https://www.riseinharmony.com/library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B6E1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Sidebar: Library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C5A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Studio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D95D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https://www.riseinharmony.com/studio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A01A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Sidebar: Studio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9AC5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Meditation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07A8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https://www.riseinharmony.com/meditation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A6F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Sidebar: Meditate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3FD9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Alarms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3DB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https://www.riseinharmony.com/alarm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947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Sidebar: Alarm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B69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Learn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5D1E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https://www.riseinharmony.com/learn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E85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Sidebar: Learn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18F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Chakra Journey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013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https://www.riseinharmony.com/player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FACC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Player → 7-Chakra Journey / Quick Start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AB1B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Technology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E741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https://www.riseinharmony.com/technology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8D4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Footer: Technology</w:t>
            </w:r>
          </w:p>
        </w:tc>
      </w:tr>
    </w:tbl>
    <w:p w14:paraId="37EE1F35">
      <w:pPr>
        <w:spacing w:after="200" w:line="276" w:lineRule="auto"/>
      </w:pPr>
    </w:p>
    <w:p w14:paraId="41A6BEE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5. How It Works — Web DDS</w:t>
      </w:r>
    </w:p>
    <w:p w14:paraId="2F2703B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Each audio sample advances a normalized phase φ ∈ [0, 1) by Δφ = f / fs, where f is the target frequency and fs is the AudioContext sampleRate (typically 44.1 or 48 kHz). Waveform lookup uses φ; sine is sin(2πφ).</w:t>
      </w:r>
    </w:p>
    <w:p w14:paraId="6CDC0200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Core algorithm</w:t>
      </w:r>
    </w:p>
    <w:p w14:paraId="5FA2D53B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22"/>
          <w:szCs w:val="22"/>
        </w:rPr>
        <w:t>Δφ = freq / sampleRate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φ ← φ + Δφ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if φ ≥ 1: φ ← φ − 1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sample = waveform(φ) × amplitude × isoEnvelope</w:t>
      </w:r>
    </w:p>
    <w:p w14:paraId="37778576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2"/>
          <w:szCs w:val="22"/>
        </w:rPr>
        <w:t>Accuracy properties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2FA8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Property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3E02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Mechanism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4494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SRS ID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AF64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Exact target Hz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F8BF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Phase increment is freq/sampleRate each sample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90D0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FR-001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2CF7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No clicks on retune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1E2B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Only Δφ changes; phase φ continues (phase-continuous)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4202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FR-002 / NFR-FREQ-002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5EF2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Long-session stability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48D4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IEEE-754 double phase accumulators (JS number)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F17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NFR-FREQ-004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0DF3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Smooth level changes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89FA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amp += (target−amp)×0.0005 (~10 ms @ 48 kHz)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EE75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FR-004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BD95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Independent ears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F616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Separate freqL/freqR and phaseL/phaseR in binaural mode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9DCA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FR-020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9190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Isochronic pulses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AAB8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Second phase at pulse rate; hard gate by duty cycle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D3AB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FR-021</w:t>
            </w:r>
          </w:p>
        </w:tc>
      </w:tr>
    </w:tbl>
    <w:p w14:paraId="2DB5920B">
      <w:pPr>
        <w:spacing w:after="200" w:line="276" w:lineRule="auto"/>
      </w:pPr>
    </w:p>
    <w:p w14:paraId="15D4BF36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6. How It Works — Mobile</w:t>
      </w:r>
    </w:p>
    <w:p w14:paraId="050CB7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Voices are built from OscillatorNode stacks. Frequency is quantized with clampHz before assignment. Binaural uses two hard-panned stacks (±1). Isochronic uses a square LFO into a gain gate. Bowl mode is additive sines at fixed partial ratios (same table as web).</w:t>
      </w:r>
    </w:p>
    <w:p w14:paraId="085C4FE8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22"/>
          <w:szCs w:val="22"/>
        </w:rPr>
        <w:t>clampHz(hz) = round(clamp(hz, 1..22000) × 100) / 100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binauralPair(carrier, beat) → [carrier, carrier + beat]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Catalog binaural/isochronic carrier = 200 Hz</w:t>
      </w:r>
    </w:p>
    <w:p w14:paraId="54B40D8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7. Playback Modes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E87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Mode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835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Signal model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D794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Notes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2581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Mono / pure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AD0A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Same tone L+R (or single oscillator)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EDB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Solfeggio / custom pure tones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156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Binaural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7650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f_L and f_R = f_L + beat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4902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Catalog: 200 Hz carrier + beat (e.g. Alpha 10 → 200/210)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9C96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Isochronic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5E5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Carrier gated on/off at pulse rate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3F43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Speaker-safe; no headphone L/R split required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C7AA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Recorded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CA8B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Pre-mixed MP3 (not live synth)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1B12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Solfeggio + 7.83 Hz Schumann; complements TrueHz live path</w:t>
            </w:r>
          </w:p>
        </w:tc>
      </w:tr>
    </w:tbl>
    <w:p w14:paraId="01186931">
      <w:pPr>
        <w:spacing w:after="200" w:line="276" w:lineRule="auto"/>
      </w:pPr>
    </w:p>
    <w:p w14:paraId="3B2B134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8. Waveforms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A50E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Waveform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1AAA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Definition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3D23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sine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771F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sin(2πφ)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837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square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151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φ &lt; 0.5 → +1 else −1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205A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triangle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0FA5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Piecewise linear ramp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1C67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sawtooth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7891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2φ − 1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D6B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bowl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967E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Additive ratios 1, 1.005, 2, 3.01, 4.19 with gains 1 / 0.55 / 0.28 / 0.14 / 0.07; normalized; skip ≥ Nyquist</w:t>
            </w:r>
          </w:p>
        </w:tc>
      </w:tr>
    </w:tbl>
    <w:p w14:paraId="74911A92">
      <w:pPr>
        <w:spacing w:after="200" w:line="276" w:lineRule="auto"/>
      </w:pPr>
    </w:p>
    <w:p w14:paraId="2EC14E70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9. Requirements Matrix (ResoNate SRS)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880"/>
        <w:gridCol w:w="2880"/>
        <w:gridCol w:w="2880"/>
      </w:tblGrid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0288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8860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DAAD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Implementation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48DEB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6A41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1–22000 Hz @ 0.01 Hz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10E4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clampHz / Studio numeric input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9A25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E393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Phase-continuous retune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A50C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DDS phase kept; Δφ updated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0B49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E73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Classic waveforms (+ bowl)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6C9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dds-processor _sample / bowl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60F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139E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Smooth amplitude ramps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CCF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Worklet amp smooth + Gain fade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AE43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FR-020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50A7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Binaural independent L/R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3666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freqL/freqR + dual phases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D06E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FR-021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D4D08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Isochronic rate + duty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C1A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isoPhase gate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0668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FR-030/031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5095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Analyser for scope/FFT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FF7F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AnalyserNode tap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E3F95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FR-040/041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12B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Play/stop + sleep fade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8B3E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usePrecisionPlayer timers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2610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NFR-FREQ-001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335BF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±0.05 Hz target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7A9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Visualizer good-band; HW-limited</w:t>
            </w:r>
          </w:p>
        </w:tc>
      </w:tr>
      <w:t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948E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NFR-FREQ-004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57FF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Double-precision phase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C750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JS Float64 / number</w:t>
            </w:r>
          </w:p>
        </w:tc>
      </w:tr>
    </w:tbl>
    <w:p w14:paraId="3E5D9115">
      <w:pPr>
        <w:spacing w:after="200" w:line="276" w:lineRule="auto"/>
      </w:pPr>
    </w:p>
    <w:p w14:paraId="1E1D0EF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10. Worklet Message API (Web)</w:t>
      </w:r>
    </w:p>
    <w:p w14:paraId="04420648">
      <w:pPr>
        <w:spacing w:after="200" w:line="276" w:lineRule="auto"/>
      </w:pPr>
      <w:r>
        <w:rPr>
          <w:rFonts w:ascii="Consolas" w:hAnsi="Consolas" w:eastAsia="ＭＳ 明朝" w:cs="Consolas" w:eastAsiaTheme="minorEastAsia" w:csTheme="minorBidi"/>
          <w:sz w:val="22"/>
          <w:szCs w:val="22"/>
        </w:rPr>
        <w:t>→ { type: 'setFreq', freqL, freqR? 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 xml:space="preserve">→ { type: 'setAmplitude', value }          // 0–1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 xml:space="preserve">→ { type: 'setWaveform', waveform }        // sine|square|triangle|sawtooth|bowl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 xml:space="preserve">→ { type: 'setMode', mode }                // mono|binaural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→ { type: 'setIsochronic', enabled, rate?, duty? 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→ { type: 'getPhase' 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← { type: 'ready' }</w:t>
      </w:r>
      <w:r>
        <w:br w:type="textWrapping"/>
      </w:r>
      <w:r>
        <w:rPr>
          <w:rFonts w:ascii="Consolas" w:hAnsi="Consolas" w:eastAsia="ＭＳ 明朝" w:cs="Consolas" w:eastAsiaTheme="minorEastAsia" w:csTheme="minorBidi"/>
          <w:sz w:val="22"/>
          <w:szCs w:val="22"/>
        </w:rPr>
        <w:t>← { type: 'phase', phaseL }</w:t>
      </w:r>
    </w:p>
    <w:p w14:paraId="3ED8894D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11. Key Source Files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320"/>
        <w:gridCol w:w="4320"/>
      </w:tblGrid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11666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9C9D1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2"/>
                <w:szCs w:val="22"/>
              </w:rPr>
              <w:t>Role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32A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client/public/dds-processor.js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4098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Web DDS AudioWorklet processor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1A58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client/src/hooks/usePrecisionPlayer.ts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7F5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Web Precision Player API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B674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client/src/hooks/useFrequencyPlayer.ts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667E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Web catalog + recorded path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AEE6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client/src/pages/Technology.tsx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AB71E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Public TrueHz story (no DDS reveal)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B1DF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client/src/pages/FrequencyStudio.tsx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BD68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Merged Studio UI (/studio)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2A78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client/src/components/PrecisionVisualizer.tsx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0652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FFT peak vs target ±0.05 Hz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FAF72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apps/mobile/src/lib/synth.ts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5E26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Mobile voice factory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E693C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apps/mobile/src/lib/synthMath.ts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EA4D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Shared clamps / bowl / binaural math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FABD0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apps/mobile/src/hooks/usePrecisionPlayer.ts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9640D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Mobile Precision Player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51F99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apps/mobile/__tests__/frequencyIntegrity.test.ts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A495A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TrueHz catalog contract CI</w:t>
            </w:r>
          </w:p>
        </w:tc>
      </w:tr>
      <w:t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A3274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packages/shared-utils/src/index.ts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ABEA3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22"/>
                <w:szCs w:val="22"/>
              </w:rPr>
              <w:t>Canonical FREQUENCIES catalog</w:t>
            </w:r>
          </w:p>
        </w:tc>
      </w:tr>
    </w:tbl>
    <w:p w14:paraId="670A8F6C">
      <w:pPr>
        <w:spacing w:after="200" w:line="276" w:lineRule="auto"/>
      </w:pPr>
    </w:p>
    <w:p w14:paraId="52B48649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12. Consumers</w:t>
      </w:r>
    </w:p>
    <w:p w14:paraId="25E3DE8C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Precision/Studio custom Hz · Library playable catalog · Learn journeys · Meditation frequency layer · Chakra sequence · Alarm fade-in · Healing Directory deep-link into Studio (?hz=) · Saved sounds (server sounds router: freqL 1–22000).</w:t>
      </w:r>
    </w:p>
    <w:p w14:paraId="41E4EBA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13. Integrity &amp; Verification</w:t>
      </w:r>
    </w:p>
    <w:p w14:paraId="1C776906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Mobile CI locks Solfeggio, chakra, and brainwave catalog values so accidental Hz edits fail tests (TrueHz contract).</w:t>
      </w:r>
    </w:p>
    <w:p w14:paraId="09E9A4BF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Visualizer compares FFT peak to target; |error| ≤ 0.05 Hz is treated as in-band.</w:t>
      </w:r>
    </w:p>
    <w:p w14:paraId="5A5F64ED">
      <w:pPr>
        <w:pStyle w:val="ListBullet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Absolute accuracy is bounded by the device audio clock; software generates the mathematically correct series for the active sampleRate.</w:t>
      </w:r>
    </w:p>
    <w:p w14:paraId="4B8D140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14. Public vs Internal</w:t>
      </w:r>
    </w:p>
    <w:p w14:paraId="36921A8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/technology page markets TrueHz without disclosing DDS. This document is the internal engineering view of the same product promise.</w:t>
      </w:r>
    </w:p>
    <w:p w14:paraId="713B3C1B">
      <w:pPr>
        <w:spacing w:after="200" w:line="276" w:lineRule="auto"/>
      </w:pPr>
    </w:p>
    <w:p w14:paraId="12E74A9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— End of specification —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2026-07-17T08:21:49.667Z</dcterms:modified>
  <cp:category/>
</cp:coreProperties>
</file>