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sz w:val="28"/>
          <w:szCs w:val="28"/>
        </w:rPr>
        <w:t xml:space="preserve">PROVISIONAL PATENT APPLICATION</w:t>
      </w:r>
    </w:p>
    <w:p>
      <w:pPr>
        <w:spacing w:after="720"/>
        <w:jc w:val="center"/>
      </w:pPr>
      <w:r>
        <w:rPr>
          <w:rFonts w:ascii="Arial" w:cs="Arial" w:eastAsia="Arial" w:hAnsi="Arial"/>
          <w:i/>
          <w:iCs/>
          <w:sz w:val="22"/>
          <w:szCs w:val="22"/>
        </w:rPr>
        <w:t xml:space="preserve">Under 35 U.S.C. § 111(b)</w:t>
      </w:r>
    </w:p>
    <w:p>
      <w:pPr>
        <w:spacing w:after="120"/>
        <w:jc w:val="center"/>
      </w:pPr>
      <w:r>
        <w:rPr>
          <w:rFonts w:ascii="Arial" w:cs="Arial" w:eastAsia="Arial" w:hAnsi="Arial"/>
          <w:b/>
          <w:bCs/>
          <w:sz w:val="32"/>
          <w:szCs w:val="32"/>
        </w:rPr>
        <w:t xml:space="preserve">APPARATUS AND METHOD FOR EVALUATOR-SIDE CLAIM-DISCIPLINE</w:t>
      </w:r>
    </w:p>
    <w:p>
      <w:pPr>
        <w:spacing w:after="480"/>
        <w:jc w:val="center"/>
      </w:pPr>
      <w:r>
        <w:rPr>
          <w:rFonts w:ascii="Arial" w:cs="Arial" w:eastAsia="Arial" w:hAnsi="Arial"/>
          <w:b/>
          <w:bCs/>
          <w:sz w:val="32"/>
          <w:szCs w:val="32"/>
        </w:rPr>
        <w:t xml:space="preserve">EVALUATION OF DEPLOYED ARTIFICIAL-INTELLIGENCE SYSTEMS</w:t>
      </w:r>
    </w:p>
    <w:p>
      <w:pPr>
        <w:spacing w:after="1080"/>
        <w:jc w:val="center"/>
      </w:pPr>
      <w:r>
        <w:rPr>
          <w:rFonts w:ascii="Arial" w:cs="Arial" w:eastAsia="Arial" w:hAnsi="Arial"/>
          <w:i/>
          <w:iCs/>
          <w:sz w:val="24"/>
          <w:szCs w:val="24"/>
        </w:rPr>
        <w:t xml:space="preserve">(“Halo Traceability Harness”)</w:t>
      </w:r>
    </w:p>
    <w:p>
      <w:pPr>
        <w:spacing w:after="120"/>
        <w:jc w:val="center"/>
      </w:pPr>
      <w:r>
        <w:rPr>
          <w:rFonts w:ascii="Arial" w:cs="Arial" w:eastAsia="Arial" w:hAnsi="Arial"/>
          <w:b/>
          <w:bCs/>
        </w:rPr>
        <w:t xml:space="preserve">Inventor:</w:t>
      </w:r>
    </w:p>
    <w:p>
      <w:pPr>
        <w:spacing w:after="120"/>
        <w:jc w:val="center"/>
      </w:pPr>
      <w:r>
        <w:rPr>
          <w:rFonts w:ascii="Arial" w:cs="Arial" w:eastAsia="Arial" w:hAnsi="Arial"/>
        </w:rPr>
        <w:t xml:space="preserve">Jeffery Wade Hughes Jr.</w:t>
      </w:r>
    </w:p>
    <w:p>
      <w:pPr>
        <w:spacing w:after="120"/>
      </w:pPr>
      <w:r>
        <w:t xml:space="preserve"> </w:t>
      </w:r>
    </w:p>
    <w:p>
      <w:pPr>
        <w:spacing w:after="120"/>
        <w:jc w:val="center"/>
      </w:pPr>
      <w:r>
        <w:rPr>
          <w:rFonts w:ascii="Arial" w:cs="Arial" w:eastAsia="Arial" w:hAnsi="Arial"/>
          <w:b/>
          <w:bCs/>
        </w:rPr>
        <w:t xml:space="preserve">Applicant / Owner:</w:t>
      </w:r>
    </w:p>
    <w:p>
      <w:pPr>
        <w:spacing w:after="120"/>
        <w:jc w:val="center"/>
      </w:pPr>
      <w:r>
        <w:rPr>
          <w:rFonts w:ascii="Arial" w:cs="Arial" w:eastAsia="Arial" w:hAnsi="Arial"/>
        </w:rPr>
        <w:t xml:space="preserve">Stellar Aqua LLC (subject to counsel review)</w:t>
      </w:r>
    </w:p>
    <w:p>
      <w:pPr>
        <w:spacing w:after="120"/>
      </w:pPr>
      <w:r>
        <w:t xml:space="preserve"> </w:t>
      </w:r>
    </w:p>
    <w:p>
      <w:pPr>
        <w:spacing w:after="120"/>
        <w:jc w:val="center"/>
      </w:pPr>
      <w:r>
        <w:rPr>
          <w:rFonts w:ascii="Arial" w:cs="Arial" w:eastAsia="Arial" w:hAnsi="Arial"/>
        </w:rPr>
        <w:t xml:space="preserve">Filing draft version: v0.1</w:t>
      </w:r>
    </w:p>
    <w:p>
      <w:pPr>
        <w:spacing w:after="120"/>
        <w:jc w:val="center"/>
      </w:pPr>
      <w:r>
        <w:rPr>
          <w:rFonts w:ascii="Arial" w:cs="Arial" w:eastAsia="Arial" w:hAnsi="Arial"/>
        </w:rPr>
        <w:t xml:space="preserve">Draft date: May 27, 2026</w:t>
      </w:r>
    </w:p>
    <w:p>
      <w:pPr>
        <w:spacing w:after="120"/>
        <w:jc w:val="center"/>
      </w:pPr>
      <w:r>
        <w:rPr>
          <w:rFonts w:ascii="Arial" w:cs="Arial" w:eastAsia="Arial" w:hAnsi="Arial"/>
          <w:b/>
          <w:bCs/>
          <w:i/>
          <w:iCs/>
        </w:rPr>
        <w:t xml:space="preserve">Status: COUNSEL-REVIEW DRAFT — NOT FOR FILING WITHOUT ATTORNEY REVIEW</w:t>
      </w:r>
    </w:p>
    <w:p>
      <w:pPr>
        <w:spacing w:after="120"/>
      </w:pPr>
      <w:r>
        <w:t xml:space="preserve"> </w:t>
      </w:r>
    </w:p>
    <w:p>
      <w:pPr>
        <w:spacing w:after="120"/>
      </w:pPr>
      <w:r>
        <w:t xml:space="preserve"> </w:t>
      </w:r>
    </w:p>
    <w:p>
      <w:pPr>
        <w:spacing w:after="120"/>
        <w:jc w:val="center"/>
      </w:pPr>
      <w:r>
        <w:rPr>
          <w:rFonts w:ascii="Arial" w:cs="Arial" w:eastAsia="Arial" w:hAnsi="Arial"/>
          <w:i/>
          <w:iCs/>
        </w:rPr>
        <w:t xml:space="preserve">Companion documents:</w:t>
      </w:r>
    </w:p>
    <w:p>
      <w:pPr>
        <w:spacing w:after="120"/>
        <w:jc w:val="center"/>
      </w:pPr>
      <w:r>
        <w:rPr>
          <w:rFonts w:ascii="Arial" w:cs="Arial" w:eastAsia="Arial" w:hAnsi="Arial"/>
          <w:i/>
          <w:iCs/>
        </w:rPr>
        <w:t xml:space="preserve">• Invention Disclosure Memo (docs/501c3/INVENTION_DISCLOSURE_MEMO.md)</w:t>
      </w:r>
    </w:p>
    <w:p>
      <w:pPr>
        <w:spacing w:after="120"/>
        <w:jc w:val="center"/>
      </w:pPr>
      <w:r>
        <w:rPr>
          <w:rFonts w:ascii="Arial" w:cs="Arial" w:eastAsia="Arial" w:hAnsi="Arial"/>
          <w:i/>
          <w:iCs/>
        </w:rPr>
        <w:t xml:space="preserve">• Apparatus Graphs Working Draft v0.1 (docs/501c3/SUNDOG_APPARATUS_GRAPHS_v0.1_DRAFT.md)</w:t>
      </w:r>
    </w:p>
    <w:p>
      <w:pPr>
        <w:spacing w:after="120"/>
        <w:jc w:val="center"/>
      </w:pPr>
      <w:r>
        <w:rPr>
          <w:rFonts w:ascii="Arial" w:cs="Arial" w:eastAsia="Arial" w:hAnsi="Arial"/>
          <w:i/>
          <w:iCs/>
        </w:rPr>
        <w:t xml:space="preserve">• Patent Figures v0.1 (docs/501c3/figures/HALO_HARNESS_PATENT_FIGURES_v0.1.pdf)</w:t>
      </w:r>
    </w:p>
    <w:p>
      <w:r>
        <w:br w:type="page"/>
      </w:r>
    </w:p>
    <w:p>
      <w:pPr>
        <w:pStyle w:val="Heading1"/>
        <w:spacing w:after="240" w:before="360"/>
      </w:pPr>
      <w:r>
        <w:rPr>
          <w:rFonts w:ascii="Arial" w:cs="Arial" w:eastAsia="Arial" w:hAnsi="Arial"/>
          <w:b/>
          <w:bCs/>
          <w:sz w:val="28"/>
          <w:szCs w:val="28"/>
        </w:rPr>
        <w:t xml:space="preserve">CROSS-REFERENCE TO RELATED APPLICATIONS</w:t>
      </w:r>
    </w:p>
    <w:p>
      <w:pPr>
        <w:spacing w:after="160"/>
        <w:jc w:val="both"/>
      </w:pPr>
      <w:r>
        <w:rPr>
          <w:rFonts w:ascii="Arial" w:cs="Arial" w:eastAsia="Arial" w:hAnsi="Arial"/>
          <w:b/>
          <w:bCs/>
        </w:rPr>
        <w:t xml:space="preserve">[0001]  </w:t>
      </w:r>
      <w:r>
        <w:rPr>
          <w:rFonts w:ascii="Arial" w:cs="Arial" w:eastAsia="Arial" w:hAnsi="Arial"/>
        </w:rPr>
        <w:t xml:space="preserve">None. This application is a first filing on the disclosed subject matter and does not claim priority from any prior United States or foreign application.</w:t>
      </w:r>
    </w:p>
    <w:p>
      <w:pPr>
        <w:pStyle w:val="Heading1"/>
        <w:spacing w:after="240" w:before="360"/>
      </w:pPr>
      <w:r>
        <w:rPr>
          <w:rFonts w:ascii="Arial" w:cs="Arial" w:eastAsia="Arial" w:hAnsi="Arial"/>
          <w:b/>
          <w:bCs/>
          <w:sz w:val="28"/>
          <w:szCs w:val="28"/>
        </w:rPr>
        <w:t xml:space="preserve">FIELD OF THE INVENTION</w:t>
      </w:r>
    </w:p>
    <w:p>
      <w:pPr>
        <w:spacing w:after="160"/>
        <w:jc w:val="both"/>
      </w:pPr>
      <w:r>
        <w:rPr>
          <w:rFonts w:ascii="Arial" w:cs="Arial" w:eastAsia="Arial" w:hAnsi="Arial"/>
          <w:b/>
          <w:bCs/>
        </w:rPr>
        <w:t xml:space="preserve">[0002]  </w:t>
      </w:r>
      <w:r>
        <w:rPr>
          <w:rFonts w:ascii="Arial" w:cs="Arial" w:eastAsia="Arial" w:hAnsi="Arial"/>
        </w:rPr>
        <w:t xml:space="preserve">The present invention relates generally to the technical field of evaluation and audit of deployed artificial-intelligence (AI) systems, and more particularly to apparatus and methods for measuring claim discipline of such systems through an evaluator-side proxy that operates exclusively against the AI system’s public interface and without requiring cooperation from, instrumentation of, or access to internal state of the system under evaluation.</w:t>
      </w:r>
    </w:p>
    <w:p>
      <w:pPr>
        <w:pStyle w:val="Heading1"/>
        <w:spacing w:after="240" w:before="360"/>
      </w:pPr>
      <w:r>
        <w:rPr>
          <w:rFonts w:ascii="Arial" w:cs="Arial" w:eastAsia="Arial" w:hAnsi="Arial"/>
          <w:b/>
          <w:bCs/>
          <w:sz w:val="28"/>
          <w:szCs w:val="28"/>
        </w:rPr>
        <w:t xml:space="preserve">BACKGROUND OF THE INVENTION</w:t>
      </w:r>
    </w:p>
    <w:p>
      <w:pPr>
        <w:pStyle w:val="Heading2"/>
        <w:spacing w:after="160" w:before="240"/>
      </w:pPr>
      <w:r>
        <w:rPr>
          <w:rFonts w:ascii="Arial" w:cs="Arial" w:eastAsia="Arial" w:hAnsi="Arial"/>
          <w:b/>
          <w:bCs/>
          <w:sz w:val="24"/>
          <w:szCs w:val="24"/>
        </w:rPr>
        <w:t xml:space="preserve">Description of the Related Art</w:t>
      </w:r>
    </w:p>
    <w:p>
      <w:pPr>
        <w:spacing w:after="160"/>
        <w:jc w:val="both"/>
      </w:pPr>
      <w:r>
        <w:rPr>
          <w:rFonts w:ascii="Arial" w:cs="Arial" w:eastAsia="Arial" w:hAnsi="Arial"/>
          <w:b/>
          <w:bCs/>
        </w:rPr>
        <w:t xml:space="preserve">[0003]  </w:t>
      </w:r>
      <w:r>
        <w:rPr>
          <w:rFonts w:ascii="Arial" w:cs="Arial" w:eastAsia="Arial" w:hAnsi="Arial"/>
        </w:rPr>
        <w:t xml:space="preserve">Deployed artificial-intelligence systems, including but not limited to large language models, retrieval-augmented generation systems, and multimodal generative systems (each, a “Deployment”), produce free-text outputs that may purport to recite facts, cite evidence, hedge under uncertainty, refuse out-of-scope requests, or otherwise exhibit observable behaviors that bear on whether the Deployment’s outputs are trustworthy in a particular use context.</w:t>
      </w:r>
    </w:p>
    <w:p>
      <w:pPr>
        <w:spacing w:after="160"/>
        <w:jc w:val="both"/>
      </w:pPr>
      <w:r>
        <w:rPr>
          <w:rFonts w:ascii="Arial" w:cs="Arial" w:eastAsia="Arial" w:hAnsi="Arial"/>
          <w:b/>
          <w:bCs/>
        </w:rPr>
        <w:t xml:space="preserve">[0004]  </w:t>
      </w:r>
      <w:r>
        <w:rPr>
          <w:rFonts w:ascii="Arial" w:cs="Arial" w:eastAsia="Arial" w:hAnsi="Arial"/>
        </w:rPr>
        <w:t xml:space="preserve">Existing evaluation tools and techniques generally address one or more of: (i) benchmark scoring of output correctness against a held-out dataset; (ii) hallucination detection on a per-output basis; (iii) production logging and observability of model interactions; (iv) retrieval-augmented generation (RAG) faithfulness scoring; and (v) safety refusal evaluation. Each of these existing approaches, taken alone, addresses one or more isolated dimensions of model behavior. None, taken alone or in combination, produces a structured, replayable, principle-indexed record of whether the Deployment maintains claim discipline—that is, whether it cites supporting evidence for substantive factual assertions, hedges appropriately under uncertainty, refuses out-of-scope requests in a manner that is auditable, preserves a reconstructable evidence trail, and avoids unsupported extrapolation—across an evaluation run.</w:t>
      </w:r>
    </w:p>
    <w:p>
      <w:pPr>
        <w:spacing w:after="160"/>
        <w:jc w:val="both"/>
      </w:pPr>
      <w:r>
        <w:rPr>
          <w:rFonts w:ascii="Arial" w:cs="Arial" w:eastAsia="Arial" w:hAnsi="Arial"/>
          <w:b/>
          <w:bCs/>
        </w:rPr>
        <w:t xml:space="preserve">[0005]  </w:t>
      </w:r>
      <w:r>
        <w:rPr>
          <w:rFonts w:ascii="Arial" w:cs="Arial" w:eastAsia="Arial" w:hAnsi="Arial"/>
        </w:rPr>
        <w:t xml:space="preserve">Furthermore, existing evaluation approaches that do attempt structured measurement typically require one or more of: instrumentation of the Deployment via a software-development kit (SDK), library, or wrapper; cooperation by the Deployment’s operator (such as exposing internal logs, chain-of-thought traces, retrieval pipeline state, or model weights); or otherwise privileged access that an independent third party cannot obtain. As a practical matter, this limits structured evaluation to first-party deployments or to relationships where the Deployment’s operator has voluntarily granted access. Independent or adversarial evaluation—such as evaluation by a regulator, a downstream customer performing due diligence, or a third-party research lab—is therefore impeded.</w:t>
      </w:r>
    </w:p>
    <w:p>
      <w:pPr>
        <w:spacing w:after="160"/>
        <w:jc w:val="both"/>
      </w:pPr>
      <w:r>
        <w:rPr>
          <w:rFonts w:ascii="Arial" w:cs="Arial" w:eastAsia="Arial" w:hAnsi="Arial"/>
          <w:b/>
          <w:bCs/>
        </w:rPr>
        <w:t xml:space="preserve">[0006]  </w:t>
      </w:r>
      <w:r>
        <w:rPr>
          <w:rFonts w:ascii="Arial" w:cs="Arial" w:eastAsia="Arial" w:hAnsi="Arial"/>
        </w:rPr>
        <w:t xml:space="preserve">There is accordingly an unmet need in the art for an apparatus and method that (a) measures claim discipline of a Deployment through observable surfaces only, using nothing more than the Deployment’s ordinary public interface; (b) decomposes the Deployment’s free-text outputs into per-claim records with provenance, uncertainty, refusal, and boundary markers under an invariant schema; (c) persists the resulting records in a replayable audit store; (d) reduces the records to a principle-indexed metric set that is comparable across distinct Deployments; and (e) emits a structured Traceability Evaluation Report that documents both what was measured and what was deliberately not measured. The present invention addresses each of these needs.</w:t>
      </w:r>
    </w:p>
    <w:p>
      <w:pPr>
        <w:pStyle w:val="Heading1"/>
        <w:spacing w:after="240" w:before="360"/>
      </w:pPr>
      <w:r>
        <w:rPr>
          <w:rFonts w:ascii="Arial" w:cs="Arial" w:eastAsia="Arial" w:hAnsi="Arial"/>
          <w:b/>
          <w:bCs/>
          <w:sz w:val="28"/>
          <w:szCs w:val="28"/>
        </w:rPr>
        <w:t xml:space="preserve">BRIEF SUMMARY OF THE INVENTION</w:t>
      </w:r>
    </w:p>
    <w:p>
      <w:pPr>
        <w:spacing w:after="160"/>
        <w:jc w:val="both"/>
      </w:pPr>
      <w:r>
        <w:rPr>
          <w:rFonts w:ascii="Arial" w:cs="Arial" w:eastAsia="Arial" w:hAnsi="Arial"/>
          <w:b/>
          <w:bCs/>
        </w:rPr>
        <w:t xml:space="preserve">[0007]  </w:t>
      </w:r>
      <w:r>
        <w:rPr>
          <w:rFonts w:ascii="Arial" w:cs="Arial" w:eastAsia="Arial" w:hAnsi="Arial"/>
        </w:rPr>
        <w:t xml:space="preserve">Disclosed herein are an apparatus and a method for evaluator-side claim-discipline evaluation of deployed AI systems. In one broad aspect, the apparatus, designated herein as a Halo Traceability Harness (also “the apparatus,” reference numeral 100), comprises: a Prompt Set Module (102) configured to provide a versioned, category-labeled corpus of prompt records; an Evaluator-Side Proxy (104) configured to issue serialized prompts to a Deployment Under Evaluation (106) via the Deployment’s public interface and to capture verbatim responses from the Deployment; a Tagger (108) configured to decompose each captured response into per-claim records and to apply, to each per-claim record, an invariant marker schema comprising at least a provenance classification, an uncertainty marker set, and a refusal classification; an Audit Store (110) configured to persist tagged interaction records against a published schema, indexed by an evaluation run identifier; a Scoring Module (112) configured to reduce a set of tagged interaction records to a principle-indexed metric set bearing a status matrix that distinguishes principles that are instrumented from principles that are deferred or paper-level-only; and a Report Renderer (114) configured to emit a Traceability Evaluation Report (116) from the principle-indexed metric set.</w:t>
      </w:r>
    </w:p>
    <w:p>
      <w:pPr>
        <w:spacing w:after="160"/>
        <w:jc w:val="both"/>
      </w:pPr>
      <w:r>
        <w:rPr>
          <w:rFonts w:ascii="Arial" w:cs="Arial" w:eastAsia="Arial" w:hAnsi="Arial"/>
          <w:b/>
          <w:bCs/>
        </w:rPr>
        <w:t xml:space="preserve">[0008]  </w:t>
      </w:r>
      <w:r>
        <w:rPr>
          <w:rFonts w:ascii="Arial" w:cs="Arial" w:eastAsia="Arial" w:hAnsi="Arial"/>
        </w:rPr>
        <w:t xml:space="preserve">A defining property of the present invention is that the apparatus operates wholly outside the Deployment Under Evaluation 106. The Deployment is treated as a black box accessed only through documented public interfaces. No software-development kit, instrumentation hook, log access, chain-of-thought trace, or model-weight access is required at any step. The apparatus boundary is depicted in the accompanying drawings as element 101, with the Deployment 106 expressly shown outside that boundary.</w:t>
      </w:r>
    </w:p>
    <w:p>
      <w:pPr>
        <w:spacing w:after="160"/>
        <w:jc w:val="both"/>
      </w:pPr>
      <w:r>
        <w:rPr>
          <w:rFonts w:ascii="Arial" w:cs="Arial" w:eastAsia="Arial" w:hAnsi="Arial"/>
          <w:b/>
          <w:bCs/>
        </w:rPr>
        <w:t xml:space="preserve">[0009]  </w:t>
      </w:r>
      <w:r>
        <w:rPr>
          <w:rFonts w:ascii="Arial" w:cs="Arial" w:eastAsia="Arial" w:hAnsi="Arial"/>
        </w:rPr>
        <w:t xml:space="preserve">In another broad aspect, the invention discloses a corresponding method comprising steps S1 through S8 of: (S1) providing a prompt record from the Prompt Set Module to the Evaluator-Side Proxy; (S2) issuing the prompt record as a serialized prompt to the Deployment via its public interface; (S3) receiving a verbatim response from the Deployment; (S4) assembling a capture record from the prompt and response and passing the capture record to the Tagger; (S5) decomposing the response into per-claim records, applying the invariant marker schema, and writing the resulting tagged interaction record to the Audit Store; (S6) querying the Audit Store by evaluation run identifier to obtain a record set; (S7) reducing the record set to a principle-indexed metric set bearing the status matrix; and (S8) rendering the Traceability Evaluation Report from the principle-indexed metric set.</w:t>
      </w:r>
    </w:p>
    <w:p>
      <w:pPr>
        <w:spacing w:after="160"/>
        <w:jc w:val="both"/>
      </w:pPr>
      <w:r>
        <w:rPr>
          <w:rFonts w:ascii="Arial" w:cs="Arial" w:eastAsia="Arial" w:hAnsi="Arial"/>
          <w:b/>
          <w:bCs/>
        </w:rPr>
        <w:t xml:space="preserve">[0010]  </w:t>
      </w:r>
      <w:r>
        <w:rPr>
          <w:rFonts w:ascii="Arial" w:cs="Arial" w:eastAsia="Arial" w:hAnsi="Arial"/>
        </w:rPr>
        <w:t xml:space="preserve">In further aspects, the invention discloses several embodiments, including an embodiment designated “Ask Sundog” in which the apparatus is applied against a domain-specific deployed AI system with a static claim map and adversarial probe slates; a general-purpose embodiment in which the apparatus is applied against an arbitrary deployed AI system with a curated corpus; and a partner-evaluation embodiment in which the apparatus is operated as a service to produce independent Traceability Evaluation Reports against third-party Deployments.</w:t>
      </w:r>
    </w:p>
    <w:p>
      <w:pPr>
        <w:pStyle w:val="Heading1"/>
        <w:spacing w:after="240" w:before="360"/>
      </w:pPr>
      <w:r>
        <w:rPr>
          <w:rFonts w:ascii="Arial" w:cs="Arial" w:eastAsia="Arial" w:hAnsi="Arial"/>
          <w:b/>
          <w:bCs/>
          <w:sz w:val="28"/>
          <w:szCs w:val="28"/>
        </w:rPr>
        <w:t xml:space="preserve">BRIEF DESCRIPTION OF THE DRAWINGS</w:t>
      </w:r>
    </w:p>
    <w:p>
      <w:pPr>
        <w:spacing w:after="160"/>
        <w:jc w:val="both"/>
      </w:pPr>
      <w:r>
        <w:rPr>
          <w:rFonts w:ascii="Arial" w:cs="Arial" w:eastAsia="Arial" w:hAnsi="Arial"/>
          <w:b/>
          <w:bCs/>
        </w:rPr>
        <w:t xml:space="preserve">[0011]  </w:t>
      </w:r>
      <w:r>
        <w:rPr>
          <w:rFonts w:ascii="Arial" w:cs="Arial" w:eastAsia="Arial" w:hAnsi="Arial"/>
        </w:rPr>
        <w:t xml:space="preserve">The accompanying drawings, which are incorporated into and form a part of this specification, illustrate certain embodiments of the present invention and, together with the description, serve to explain the principles of the invention.</w:t>
      </w:r>
    </w:p>
    <w:p>
      <w:pPr>
        <w:spacing w:after="160"/>
        <w:jc w:val="both"/>
      </w:pPr>
      <w:r>
        <w:rPr>
          <w:rFonts w:ascii="Arial" w:cs="Arial" w:eastAsia="Arial" w:hAnsi="Arial"/>
          <w:b/>
          <w:bCs/>
        </w:rPr>
        <w:t xml:space="preserve">[0012]  </w:t>
      </w:r>
      <w:r>
        <w:rPr>
          <w:rFonts w:ascii="Arial" w:cs="Arial" w:eastAsia="Arial" w:hAnsi="Arial"/>
          <w:b/>
          <w:bCs/>
        </w:rPr>
        <w:t xml:space="preserve">FIG. 1</w:t>
      </w:r>
      <w:r>
        <w:rPr>
          <w:rFonts w:ascii="Arial" w:cs="Arial" w:eastAsia="Arial" w:hAnsi="Arial"/>
        </w:rPr>
        <w:t xml:space="preserve"> is a block diagram of an apparatus 100 (the Halo Traceability Harness) according to one embodiment of the present invention, showing an apparatus boundary 101 enclosing internal components 102, 104, 108, 110, 112, and 114, and showing a Deployment Under Evaluation 106 disposed external to the apparatus boundary. Data-flow edges between the components are designated 202, 204, 206, 208, 210, 212, 214, and 216 and correspond respectively to method steps E1 through E8 described herein.</w:t>
      </w:r>
    </w:p>
    <w:p>
      <w:pPr>
        <w:spacing w:after="160"/>
        <w:jc w:val="both"/>
      </w:pPr>
      <w:r>
        <w:rPr>
          <w:rFonts w:ascii="Arial" w:cs="Arial" w:eastAsia="Arial" w:hAnsi="Arial"/>
          <w:b/>
          <w:bCs/>
        </w:rPr>
        <w:t xml:space="preserve">[0013]  </w:t>
      </w:r>
      <w:r>
        <w:rPr>
          <w:rFonts w:ascii="Arial" w:cs="Arial" w:eastAsia="Arial" w:hAnsi="Arial"/>
          <w:b/>
          <w:bCs/>
        </w:rPr>
        <w:t xml:space="preserve">FIG. 2</w:t>
      </w:r>
      <w:r>
        <w:rPr>
          <w:rFonts w:ascii="Arial" w:cs="Arial" w:eastAsia="Arial" w:hAnsi="Arial"/>
        </w:rPr>
        <w:t xml:space="preserve"> is a block diagram showing an expansion of the Tagger 108 of FIG. 1 into a sub-apparatus, comprising a Claim Segmenter 108a, a Provenance Classifier 108b, an Uncertainty Marker Extractor 108c, a Refusal Classifier 108d, and a Schema Emitter 108e configured to produce an invariant tagged interaction record across alternative implementation strategies.</w:t>
      </w:r>
    </w:p>
    <w:p>
      <w:pPr>
        <w:spacing w:after="160"/>
        <w:jc w:val="both"/>
      </w:pPr>
      <w:r>
        <w:rPr>
          <w:rFonts w:ascii="Arial" w:cs="Arial" w:eastAsia="Arial" w:hAnsi="Arial"/>
          <w:b/>
          <w:bCs/>
        </w:rPr>
        <w:t xml:space="preserve">[0014]  </w:t>
      </w:r>
      <w:r>
        <w:rPr>
          <w:rFonts w:ascii="Arial" w:cs="Arial" w:eastAsia="Arial" w:hAnsi="Arial"/>
          <w:b/>
          <w:bCs/>
        </w:rPr>
        <w:t xml:space="preserve">FIG. 3</w:t>
      </w:r>
      <w:r>
        <w:rPr>
          <w:rFonts w:ascii="Arial" w:cs="Arial" w:eastAsia="Arial" w:hAnsi="Arial"/>
        </w:rPr>
        <w:t xml:space="preserve"> is a block diagram showing an expansion of the Scoring Module 112 of FIG. 1 into a sub-apparatus, comprising a Record Set Selector 112a, a Principle Index Mapper 112b, a Metric Reducer 112c, and a Status Matrix Marker 112d configured to mark each principle with one of an “Instrumented,” “Deferred,” or “Paper-Level-Only” status.</w:t>
      </w:r>
    </w:p>
    <w:p>
      <w:pPr>
        <w:spacing w:after="160"/>
        <w:jc w:val="both"/>
      </w:pPr>
      <w:r>
        <w:rPr>
          <w:rFonts w:ascii="Arial" w:cs="Arial" w:eastAsia="Arial" w:hAnsi="Arial"/>
          <w:b/>
          <w:bCs/>
        </w:rPr>
        <w:t xml:space="preserve">[0015]  </w:t>
      </w:r>
      <w:r>
        <w:rPr>
          <w:rFonts w:ascii="Arial" w:cs="Arial" w:eastAsia="Arial" w:hAnsi="Arial"/>
          <w:b/>
          <w:bCs/>
        </w:rPr>
        <w:t xml:space="preserve">FIG. 4</w:t>
      </w:r>
      <w:r>
        <w:rPr>
          <w:rFonts w:ascii="Arial" w:cs="Arial" w:eastAsia="Arial" w:hAnsi="Arial"/>
        </w:rPr>
        <w:t xml:space="preserve"> is a sequence-style data-flow diagram showing method steps S1 through S8 as performed across the components of FIG. 1, including explicit indication of which steps cross the apparatus boundary 101 and which are performed wholly within the apparatus.</w:t>
      </w:r>
    </w:p>
    <w:p>
      <w:pPr>
        <w:pStyle w:val="Heading1"/>
        <w:spacing w:after="240" w:before="360"/>
      </w:pPr>
      <w:r>
        <w:rPr>
          <w:rFonts w:ascii="Arial" w:cs="Arial" w:eastAsia="Arial" w:hAnsi="Arial"/>
          <w:b/>
          <w:bCs/>
          <w:sz w:val="28"/>
          <w:szCs w:val="28"/>
        </w:rPr>
        <w:t xml:space="preserve">DETAILED DESCRIPTION OF THE PREFERRED EMBODIMENTS</w:t>
      </w:r>
    </w:p>
    <w:p>
      <w:pPr>
        <w:spacing w:after="160"/>
        <w:jc w:val="both"/>
      </w:pPr>
      <w:r>
        <w:rPr>
          <w:rFonts w:ascii="Arial" w:cs="Arial" w:eastAsia="Arial" w:hAnsi="Arial"/>
          <w:b/>
          <w:bCs/>
        </w:rPr>
        <w:t xml:space="preserve">[0016]  </w:t>
      </w:r>
      <w:r>
        <w:rPr>
          <w:rFonts w:ascii="Arial" w:cs="Arial" w:eastAsia="Arial" w:hAnsi="Arial"/>
        </w:rPr>
        <w:t xml:space="preserve">Reference will now be made in detail to certain embodiments of the present invention, examples of which are illustrated in the accompanying drawings. While the invention will be described in conjunction with the illustrated embodiments, it will be understood that they are not intended to limit the invention to those embodiments. On the contrary, the invention is intended to cover alternatives, modifications, and equivalents, as may be included within the spirit and scope of the invention as defined by the appended claims.</w:t>
      </w:r>
    </w:p>
    <w:p>
      <w:pPr>
        <w:pStyle w:val="Heading2"/>
        <w:spacing w:after="160" w:before="240"/>
      </w:pPr>
      <w:r>
        <w:rPr>
          <w:rFonts w:ascii="Arial" w:cs="Arial" w:eastAsia="Arial" w:hAnsi="Arial"/>
          <w:b/>
          <w:bCs/>
          <w:sz w:val="24"/>
          <w:szCs w:val="24"/>
        </w:rPr>
        <w:t xml:space="preserve">I. Overview of the Apparatus</w:t>
      </w:r>
    </w:p>
    <w:p>
      <w:pPr>
        <w:spacing w:after="160"/>
        <w:jc w:val="both"/>
      </w:pPr>
      <w:r>
        <w:rPr>
          <w:rFonts w:ascii="Arial" w:cs="Arial" w:eastAsia="Arial" w:hAnsi="Arial"/>
          <w:b/>
          <w:bCs/>
        </w:rPr>
        <w:t xml:space="preserve">[0017]  </w:t>
      </w:r>
      <w:r>
        <w:rPr>
          <w:rFonts w:ascii="Arial" w:cs="Arial" w:eastAsia="Arial" w:hAnsi="Arial"/>
        </w:rPr>
        <w:t xml:space="preserve">Referring now to FIG. 1, an apparatus 100 according to one embodiment of the present invention comprises: a Prompt Set Module 102; an Evaluator-Side Proxy 104; a Tagger 108; an Audit Store 110; a Scoring Module 112; and a Report Renderer 114. The apparatus 100 is enclosed by an apparatus boundary 101, indicated in FIG. 1 by a dashed-line rectangle. A Deployment Under Evaluation 106 is disposed external to the apparatus boundary 101 and is accessed by the Evaluator-Side Proxy 104 solely through one or more documented public interfaces of the Deployment 106. Data-flow edges 202, 204, 206, 208, 210, 212, 214, and 216 connect the foregoing components in the order shown and described.</w:t>
      </w:r>
    </w:p>
    <w:p>
      <w:pPr>
        <w:spacing w:after="160"/>
        <w:jc w:val="both"/>
      </w:pPr>
      <w:r>
        <w:rPr>
          <w:rFonts w:ascii="Arial" w:cs="Arial" w:eastAsia="Arial" w:hAnsi="Arial"/>
          <w:b/>
          <w:bCs/>
        </w:rPr>
        <w:t xml:space="preserve">[0018]  </w:t>
      </w:r>
      <w:r>
        <w:rPr>
          <w:rFonts w:ascii="Arial" w:cs="Arial" w:eastAsia="Arial" w:hAnsi="Arial"/>
        </w:rPr>
        <w:t xml:space="preserve">The apparatus 100 produces, as an output disposed external to the apparatus boundary 101, a Traceability Evaluation Report 116.</w:t>
      </w:r>
    </w:p>
    <w:p>
      <w:pPr>
        <w:pStyle w:val="Heading2"/>
        <w:spacing w:after="160" w:before="240"/>
      </w:pPr>
      <w:r>
        <w:rPr>
          <w:rFonts w:ascii="Arial" w:cs="Arial" w:eastAsia="Arial" w:hAnsi="Arial"/>
          <w:b/>
          <w:bCs/>
          <w:sz w:val="24"/>
          <w:szCs w:val="24"/>
        </w:rPr>
        <w:t xml:space="preserve">II. Apparatus Components</w:t>
      </w:r>
    </w:p>
    <w:p>
      <w:pPr>
        <w:pStyle w:val="Heading3"/>
        <w:spacing w:after="120" w:before="200"/>
      </w:pPr>
      <w:r>
        <w:rPr>
          <w:rFonts w:ascii="Arial" w:cs="Arial" w:eastAsia="Arial" w:hAnsi="Arial"/>
          <w:b/>
          <w:bCs/>
          <w:i w:val="false"/>
          <w:iCs w:val="false"/>
          <w:sz w:val="22"/>
          <w:szCs w:val="22"/>
        </w:rPr>
        <w:t xml:space="preserve">A. Prompt Set Module (102)</w:t>
      </w:r>
    </w:p>
    <w:p>
      <w:pPr>
        <w:spacing w:after="160"/>
        <w:jc w:val="both"/>
      </w:pPr>
      <w:r>
        <w:rPr>
          <w:rFonts w:ascii="Arial" w:cs="Arial" w:eastAsia="Arial" w:hAnsi="Arial"/>
          <w:b/>
          <w:bCs/>
        </w:rPr>
        <w:t xml:space="preserve">[0019]  </w:t>
      </w:r>
      <w:r>
        <w:rPr>
          <w:rFonts w:ascii="Arial" w:cs="Arial" w:eastAsia="Arial" w:hAnsi="Arial"/>
        </w:rPr>
        <w:t xml:space="preserve">The Prompt Set Module 102 is configured to curate and provide a versioned corpus of prompt records. Each prompt record carries at minimum a prompt identifier, a prompt text, a category label, and one or more fields specifying expected boundary behavior. In one preferred embodiment, category labels are drawn from a fixed taxonomy including the categories “answerable,” “ambiguous,” “out-of-corpus,” “adversarial,” and “citation-trap.”</w:t>
      </w:r>
    </w:p>
    <w:p>
      <w:pPr>
        <w:spacing w:after="160"/>
        <w:jc w:val="both"/>
      </w:pPr>
      <w:r>
        <w:rPr>
          <w:rFonts w:ascii="Arial" w:cs="Arial" w:eastAsia="Arial" w:hAnsi="Arial"/>
          <w:b/>
          <w:bCs/>
        </w:rPr>
        <w:t xml:space="preserve">[0020]  </w:t>
      </w:r>
      <w:r>
        <w:rPr>
          <w:rFonts w:ascii="Arial" w:cs="Arial" w:eastAsia="Arial" w:hAnsi="Arial"/>
        </w:rPr>
        <w:t xml:space="preserve">The “answerable” category designates prompts whose correct answer is supported by a source corpus associated with the Deployment 106 under evaluation. The “ambiguous” category designates prompts whose source corpus contains partial or conflicting evidence; the expected behavior of a well-disciplined Deployment is to hedge with an explicit uncertainty marker. The “out-of-corpus” category designates prompts whose correct answer is not contained in the source corpus; the expected behavior is refusal or a candid disclaimer. The “adversarial” category designates prompts designed to elicit overconfident or fabricated assertions. The “citation-trap” category designates prompts designed to elicit citations to documents that do not in fact support the asserted claim.</w:t>
      </w:r>
    </w:p>
    <w:p>
      <w:pPr>
        <w:spacing w:after="160"/>
        <w:jc w:val="both"/>
      </w:pPr>
      <w:r>
        <w:rPr>
          <w:rFonts w:ascii="Arial" w:cs="Arial" w:eastAsia="Arial" w:hAnsi="Arial"/>
          <w:b/>
          <w:bCs/>
        </w:rPr>
        <w:t xml:space="preserve">[0021]  </w:t>
      </w:r>
      <w:r>
        <w:rPr>
          <w:rFonts w:ascii="Arial" w:cs="Arial" w:eastAsia="Arial" w:hAnsi="Arial"/>
        </w:rPr>
        <w:t xml:space="preserve">The Prompt Set Module 102 may store the prompt corpus in any persistent or in-memory data structure that preserves version identifiers and permits replay of the same prompt record across successive evaluation runs. In one embodiment, the prompt corpus is stored as a JSON file under version control.</w:t>
      </w:r>
    </w:p>
    <w:p>
      <w:pPr>
        <w:pStyle w:val="Heading3"/>
        <w:spacing w:after="120" w:before="200"/>
      </w:pPr>
      <w:r>
        <w:rPr>
          <w:rFonts w:ascii="Arial" w:cs="Arial" w:eastAsia="Arial" w:hAnsi="Arial"/>
          <w:b/>
          <w:bCs/>
          <w:i w:val="false"/>
          <w:iCs w:val="false"/>
          <w:sz w:val="22"/>
          <w:szCs w:val="22"/>
        </w:rPr>
        <w:t xml:space="preserve">B. Evaluator-Side Proxy (104)</w:t>
      </w:r>
    </w:p>
    <w:p>
      <w:pPr>
        <w:spacing w:after="160"/>
        <w:jc w:val="both"/>
      </w:pPr>
      <w:r>
        <w:rPr>
          <w:rFonts w:ascii="Arial" w:cs="Arial" w:eastAsia="Arial" w:hAnsi="Arial"/>
          <w:b/>
          <w:bCs/>
        </w:rPr>
        <w:t xml:space="preserve">[0022]  </w:t>
      </w:r>
      <w:r>
        <w:rPr>
          <w:rFonts w:ascii="Arial" w:cs="Arial" w:eastAsia="Arial" w:hAnsi="Arial"/>
        </w:rPr>
        <w:t xml:space="preserve">The Evaluator-Side Proxy 104 is configured to receive a prompt record 202 from the Prompt Set Module 102 and to issue, by way of the data-flow edge 204, a serialized prompt to the Deployment Under Evaluation 106 across the apparatus boundary 101. The Evaluator-Side Proxy 104 transmits the serialized prompt over any documented public interface of the Deployment 106, including without limitation a Hypertext Transfer Protocol (HTTP) request, a remote-procedure-call (RPC) request, a WebSocket message, or any other channel by which the Deployment 106 ordinarily accepts public input.</w:t>
      </w:r>
    </w:p>
    <w:p>
      <w:pPr>
        <w:spacing w:after="160"/>
        <w:jc w:val="both"/>
      </w:pPr>
      <w:r>
        <w:rPr>
          <w:rFonts w:ascii="Arial" w:cs="Arial" w:eastAsia="Arial" w:hAnsi="Arial"/>
          <w:b/>
          <w:bCs/>
        </w:rPr>
        <w:t xml:space="preserve">[0023]  </w:t>
      </w:r>
      <w:r>
        <w:rPr>
          <w:rFonts w:ascii="Arial" w:cs="Arial" w:eastAsia="Arial" w:hAnsi="Arial"/>
        </w:rPr>
        <w:t xml:space="preserve">The Evaluator-Side Proxy 104 receives, by way of the data-flow edge 206, a verbatim response from the Deployment 106. The Evaluator-Side Proxy 104 performs no modification, summarization, normalization, or other transformation of the verbatim response prior to passing it to the Tagger 108; the requirement of verbatim capture is load-bearing for the auditability properties described elsewhere herein.</w:t>
      </w:r>
    </w:p>
    <w:p>
      <w:pPr>
        <w:spacing w:after="160"/>
        <w:jc w:val="both"/>
      </w:pPr>
      <w:r>
        <w:rPr>
          <w:rFonts w:ascii="Arial" w:cs="Arial" w:eastAsia="Arial" w:hAnsi="Arial"/>
          <w:b/>
          <w:bCs/>
        </w:rPr>
        <w:t xml:space="preserve">[0024]  </w:t>
      </w:r>
      <w:r>
        <w:rPr>
          <w:rFonts w:ascii="Arial" w:cs="Arial" w:eastAsia="Arial" w:hAnsi="Arial"/>
        </w:rPr>
        <w:t xml:space="preserve">A defining characteristic of the Evaluator-Side Proxy 104 is that it does not require, depend on, or otherwise consume any non-public state of the Deployment 106. The Evaluator-Side Proxy 104 does not perform installation of any software-development kit, library, instrumentation hook, agent, sidecar, or wrapper on or within the Deployment 106; it does not request, receive, or consume any logging output, chain-of-thought trace, intermediate reasoning record, retrieval pipeline state, embedding state, attention pattern, or model weight value from the Deployment 106; and it does not require the cooperation of any operator of the Deployment 106 beyond ordinary acceptance of public-interface traffic. The combination of these properties is referred to herein as the “evaluator-side-only” property of the apparatus 100.</w:t>
      </w:r>
    </w:p>
    <w:p>
      <w:pPr>
        <w:spacing w:after="160"/>
        <w:jc w:val="both"/>
      </w:pPr>
      <w:r>
        <w:rPr>
          <w:rFonts w:ascii="Arial" w:cs="Arial" w:eastAsia="Arial" w:hAnsi="Arial"/>
          <w:b/>
          <w:bCs/>
        </w:rPr>
        <w:t xml:space="preserve">[0025]  </w:t>
      </w:r>
      <w:r>
        <w:rPr>
          <w:rFonts w:ascii="Arial" w:cs="Arial" w:eastAsia="Arial" w:hAnsi="Arial"/>
        </w:rPr>
        <w:t xml:space="preserve">In one embodiment, the Evaluator-Side Proxy 104 is implemented as a software process executing on hardware separate from any hardware operating the Deployment 106. In another embodiment, the Evaluator-Side Proxy 104 is implemented as a hardware appliance disposed in network communication with the Deployment 106.</w:t>
      </w:r>
    </w:p>
    <w:p>
      <w:pPr>
        <w:pStyle w:val="Heading3"/>
        <w:spacing w:after="120" w:before="200"/>
      </w:pPr>
      <w:r>
        <w:rPr>
          <w:rFonts w:ascii="Arial" w:cs="Arial" w:eastAsia="Arial" w:hAnsi="Arial"/>
          <w:b/>
          <w:bCs/>
          <w:i w:val="false"/>
          <w:iCs w:val="false"/>
          <w:sz w:val="22"/>
          <w:szCs w:val="22"/>
        </w:rPr>
        <w:t xml:space="preserve">C. Deployment Under Evaluation (106) — External</w:t>
      </w:r>
    </w:p>
    <w:p>
      <w:pPr>
        <w:spacing w:after="160"/>
        <w:jc w:val="both"/>
      </w:pPr>
      <w:r>
        <w:rPr>
          <w:rFonts w:ascii="Arial" w:cs="Arial" w:eastAsia="Arial" w:hAnsi="Arial"/>
          <w:b/>
          <w:bCs/>
        </w:rPr>
        <w:t xml:space="preserve">[0026]  </w:t>
      </w:r>
      <w:r>
        <w:rPr>
          <w:rFonts w:ascii="Arial" w:cs="Arial" w:eastAsia="Arial" w:hAnsi="Arial"/>
        </w:rPr>
        <w:t xml:space="preserve">The Deployment Under Evaluation 106 is external to the apparatus boundary 101 and is not part of the claimed apparatus. The Deployment 106 is treated by the apparatus 100 as a black box accessed only through its documented public interface. Examples of a Deployment include, without limitation, a deployed large language model accessed via a public application-programming interface (API), a retrieval-augmented generation system, a chat-style assistant available through a website, a voice assistant, an image-generation system, or any combination of the foregoing.</w:t>
      </w:r>
    </w:p>
    <w:p>
      <w:pPr>
        <w:spacing w:after="160"/>
        <w:jc w:val="both"/>
      </w:pPr>
      <w:r>
        <w:rPr>
          <w:rFonts w:ascii="Arial" w:cs="Arial" w:eastAsia="Arial" w:hAnsi="Arial"/>
          <w:b/>
          <w:bCs/>
        </w:rPr>
        <w:t xml:space="preserve">[0027]  </w:t>
      </w:r>
      <w:r>
        <w:rPr>
          <w:rFonts w:ascii="Arial" w:cs="Arial" w:eastAsia="Arial" w:hAnsi="Arial"/>
        </w:rPr>
        <w:t xml:space="preserve">The fact that the Deployment 106 is shown in FIG. 1 is not to be construed as a limitation on the apparatus 100; the Deployment is shown for context only, and the apparatus 100 is operable against any Deployment that exposes a documented public interface.</w:t>
      </w:r>
    </w:p>
    <w:p>
      <w:pPr>
        <w:pStyle w:val="Heading3"/>
        <w:spacing w:after="120" w:before="200"/>
      </w:pPr>
      <w:r>
        <w:rPr>
          <w:rFonts w:ascii="Arial" w:cs="Arial" w:eastAsia="Arial" w:hAnsi="Arial"/>
          <w:b/>
          <w:bCs/>
          <w:i w:val="false"/>
          <w:iCs w:val="false"/>
          <w:sz w:val="22"/>
          <w:szCs w:val="22"/>
        </w:rPr>
        <w:t xml:space="preserve">D. Tagger (108) and Sub-Components 108a–108e</w:t>
      </w:r>
    </w:p>
    <w:p>
      <w:pPr>
        <w:spacing w:after="160"/>
        <w:jc w:val="both"/>
      </w:pPr>
      <w:r>
        <w:rPr>
          <w:rFonts w:ascii="Arial" w:cs="Arial" w:eastAsia="Arial" w:hAnsi="Arial"/>
          <w:b/>
          <w:bCs/>
        </w:rPr>
        <w:t xml:space="preserve">[0028]  </w:t>
      </w:r>
      <w:r>
        <w:rPr>
          <w:rFonts w:ascii="Arial" w:cs="Arial" w:eastAsia="Arial" w:hAnsi="Arial"/>
        </w:rPr>
        <w:t xml:space="preserve">The Tagger 108 receives, by way of the data-flow edge 208, a capture record from the Evaluator-Side Proxy 104. A capture record comprises at minimum the prompt record, the verbatim response, a model version identifier, a configuration descriptor, and a capture timestamp. The Tagger 108 produces, by way of the data-flow edge 210, a tagged interaction record. The internal structure of the Tagger 108 is depicted in FIG. 2 and described below.</w:t>
      </w:r>
    </w:p>
    <w:p>
      <w:pPr>
        <w:spacing w:after="160"/>
        <w:jc w:val="both"/>
      </w:pPr>
      <w:r>
        <w:rPr>
          <w:rFonts w:ascii="Arial" w:cs="Arial" w:eastAsia="Arial" w:hAnsi="Arial"/>
          <w:b/>
          <w:bCs/>
        </w:rPr>
        <w:t xml:space="preserve">[0029]  </w:t>
      </w:r>
      <w:r>
        <w:rPr>
          <w:rFonts w:ascii="Arial" w:cs="Arial" w:eastAsia="Arial" w:hAnsi="Arial"/>
        </w:rPr>
        <w:t xml:space="preserve">Referring to FIG. 2, the Tagger 108 comprises a Claim Segmenter 108a, a Provenance Classifier 108b, an Uncertainty Marker Extractor 108c, a Refusal Classifier 108d, and a Schema Emitter 108e.</w:t>
      </w:r>
    </w:p>
    <w:p>
      <w:pPr>
        <w:spacing w:after="160"/>
        <w:jc w:val="both"/>
      </w:pPr>
      <w:r>
        <w:rPr>
          <w:rFonts w:ascii="Arial" w:cs="Arial" w:eastAsia="Arial" w:hAnsi="Arial"/>
          <w:b/>
          <w:bCs/>
        </w:rPr>
        <w:t xml:space="preserve">[0030]  </w:t>
      </w:r>
      <w:r>
        <w:rPr>
          <w:rFonts w:ascii="Arial" w:cs="Arial" w:eastAsia="Arial" w:hAnsi="Arial"/>
        </w:rPr>
        <w:t xml:space="preserve">The Claim Segmenter 108a is configured to decompose the verbatim response into one or more substantive claims. A substantive claim, as used herein, is a span of the verbatim response that asserts, denies, or qualifies a fact, recommendation, prediction, or other assertion subject to evidentiary evaluation. Implementations of the Claim Segmenter 108a may include rule-based segmenters, classifier-based segmenters, hybrid segmenters, or large-language-model-based segmenters operating on an instruction prompt.</w:t>
      </w:r>
    </w:p>
    <w:p>
      <w:pPr>
        <w:spacing w:after="160"/>
        <w:jc w:val="both"/>
      </w:pPr>
      <w:r>
        <w:rPr>
          <w:rFonts w:ascii="Arial" w:cs="Arial" w:eastAsia="Arial" w:hAnsi="Arial"/>
          <w:b/>
          <w:bCs/>
        </w:rPr>
        <w:t xml:space="preserve">[0031]  </w:t>
      </w:r>
      <w:r>
        <w:rPr>
          <w:rFonts w:ascii="Arial" w:cs="Arial" w:eastAsia="Arial" w:hAnsi="Arial"/>
        </w:rPr>
        <w:t xml:space="preserve">The Provenance Classifier 108b is configured to assign, to each substantive claim produced by the Claim Segmenter 108a, a provenance class indicating the apparent basis of the claim. In one preferred embodiment, the provenance class is drawn from a closed taxonomy comprising at least “retrieval,” “recall,” “computation,” and “synthesis.” “Retrieval” designates claims that purport to be supported by a cited or retrievable source. “Recall” designates claims that purport to be drawn from the Deployment’s training distribution without explicit citation. “Computation” designates claims that purport to be derived by arithmetic, logical, or programmatic computation. “Synthesis” designates claims that purport to combine multiple sources or that derive a new conclusion from prior claims.</w:t>
      </w:r>
    </w:p>
    <w:p>
      <w:pPr>
        <w:spacing w:after="160"/>
        <w:jc w:val="both"/>
      </w:pPr>
      <w:r>
        <w:rPr>
          <w:rFonts w:ascii="Arial" w:cs="Arial" w:eastAsia="Arial" w:hAnsi="Arial"/>
          <w:b/>
          <w:bCs/>
        </w:rPr>
        <w:t xml:space="preserve">[0032]  </w:t>
      </w:r>
      <w:r>
        <w:rPr>
          <w:rFonts w:ascii="Arial" w:cs="Arial" w:eastAsia="Arial" w:hAnsi="Arial"/>
        </w:rPr>
        <w:t xml:space="preserve">The Uncertainty Marker Extractor 108c is configured to identify, within each substantive claim, lexical or structural uncertainty markers including but not limited to hedges (“approximately,” “about,” “roughly”), qualifiers (“it is possible that,” “there is some evidence that”), calibration claims (“I am uncertain whether”), and explicit confidence statements where present.</w:t>
      </w:r>
    </w:p>
    <w:p>
      <w:pPr>
        <w:spacing w:after="160"/>
        <w:jc w:val="both"/>
      </w:pPr>
      <w:r>
        <w:rPr>
          <w:rFonts w:ascii="Arial" w:cs="Arial" w:eastAsia="Arial" w:hAnsi="Arial"/>
          <w:b/>
          <w:bCs/>
        </w:rPr>
        <w:t xml:space="preserve">[0033]  </w:t>
      </w:r>
      <w:r>
        <w:rPr>
          <w:rFonts w:ascii="Arial" w:cs="Arial" w:eastAsia="Arial" w:hAnsi="Arial"/>
        </w:rPr>
        <w:t xml:space="preserve">The Refusal Classifier 108d is configured to identify and to classify refusals at the response level. In one preferred embodiment, refusals are classified as one of: “explicit-and-reasoned” refusals that decline the request and give an articulated reason; “evasive” refusals that decline the request without articulation; and “strategic-non-refusal” dispositions in which the Deployment 106 answers a request that, per the prompt category, the Deployment ought to have refused.</w:t>
      </w:r>
    </w:p>
    <w:p>
      <w:pPr>
        <w:spacing w:after="160"/>
        <w:jc w:val="both"/>
      </w:pPr>
      <w:r>
        <w:rPr>
          <w:rFonts w:ascii="Arial" w:cs="Arial" w:eastAsia="Arial" w:hAnsi="Arial"/>
          <w:b/>
          <w:bCs/>
        </w:rPr>
        <w:t xml:space="preserve">[0034]  </w:t>
      </w:r>
      <w:r>
        <w:rPr>
          <w:rFonts w:ascii="Arial" w:cs="Arial" w:eastAsia="Arial" w:hAnsi="Arial"/>
        </w:rPr>
        <w:t xml:space="preserve">The Schema Emitter 108e is configured to assemble the outputs of 108a–108d into a tagged interaction record according to a published, invariant output schema. The output schema is invariant in the following sense: the structure of the tagged interaction record—its field names, field types, ordering, and required-versus-optional designation—does not vary as a function of which implementation strategy (rule-based, classifier-based, hybrid, or large-language-model-based) is selected for the upstream sub-components 108a, 108b, 108c, or 108d. The Schema Emitter 108e additionally records a tagger version identifier and, optionally, per-decision confidence values.</w:t>
      </w:r>
    </w:p>
    <w:p>
      <w:pPr>
        <w:spacing w:after="160"/>
        <w:jc w:val="both"/>
      </w:pPr>
      <w:r>
        <w:rPr>
          <w:rFonts w:ascii="Arial" w:cs="Arial" w:eastAsia="Arial" w:hAnsi="Arial"/>
          <w:b/>
          <w:bCs/>
        </w:rPr>
        <w:t xml:space="preserve">[0035]  </w:t>
      </w:r>
      <w:r>
        <w:rPr>
          <w:rFonts w:ascii="Arial" w:cs="Arial" w:eastAsia="Arial" w:hAnsi="Arial"/>
        </w:rPr>
        <w:t xml:space="preserve">It is a feature of the present invention that two independently-implemented instances of the Tagger 108—for example, one rule-based and one classifier-based—produce tagged interaction records that are structurally compatible and that may both be ingested by a downstream Scoring Module 112 without modification of the Scoring Module 112. This schema invariance is described in greater detail in the embodiments below.</w:t>
      </w:r>
    </w:p>
    <w:p>
      <w:pPr>
        <w:pStyle w:val="Heading3"/>
        <w:spacing w:after="120" w:before="200"/>
      </w:pPr>
      <w:r>
        <w:rPr>
          <w:rFonts w:ascii="Arial" w:cs="Arial" w:eastAsia="Arial" w:hAnsi="Arial"/>
          <w:b/>
          <w:bCs/>
          <w:i w:val="false"/>
          <w:iCs w:val="false"/>
          <w:sz w:val="22"/>
          <w:szCs w:val="22"/>
        </w:rPr>
        <w:t xml:space="preserve">E. Audit Store (110)</w:t>
      </w:r>
    </w:p>
    <w:p>
      <w:pPr>
        <w:spacing w:after="160"/>
        <w:jc w:val="both"/>
      </w:pPr>
      <w:r>
        <w:rPr>
          <w:rFonts w:ascii="Arial" w:cs="Arial" w:eastAsia="Arial" w:hAnsi="Arial"/>
          <w:b/>
          <w:bCs/>
        </w:rPr>
        <w:t xml:space="preserve">[0036]  </w:t>
      </w:r>
      <w:r>
        <w:rPr>
          <w:rFonts w:ascii="Arial" w:cs="Arial" w:eastAsia="Arial" w:hAnsi="Arial"/>
        </w:rPr>
        <w:t xml:space="preserve">The Audit Store 110 receives, by way of the data-flow edge 210, each tagged interaction record produced by the Tagger 108. The Audit Store 110 persists each tagged interaction record against a published schema and indexes the persisted records by at least an evaluation run identifier. In one preferred embodiment, the Audit Store 110 is implemented as a relational database; in another preferred embodiment, the Audit Store 110 is implemented as an append-only log file in a structured serialization format including without limitation JSON Lines (JSONL), Avro, or Parquet.</w:t>
      </w:r>
    </w:p>
    <w:p>
      <w:pPr>
        <w:spacing w:after="160"/>
        <w:jc w:val="both"/>
      </w:pPr>
      <w:r>
        <w:rPr>
          <w:rFonts w:ascii="Arial" w:cs="Arial" w:eastAsia="Arial" w:hAnsi="Arial"/>
          <w:b/>
          <w:bCs/>
        </w:rPr>
        <w:t xml:space="preserve">[0037]  </w:t>
      </w:r>
      <w:r>
        <w:rPr>
          <w:rFonts w:ascii="Arial" w:cs="Arial" w:eastAsia="Arial" w:hAnsi="Arial"/>
        </w:rPr>
        <w:t xml:space="preserve">The Audit Store 110 is configured to support reconstruction of an evaluation run by replay of its persisted records against a stated Deployment 106 version. The Audit Store 110 is not required by the present invention to support arbitrary re-execution of the Deployment 106.</w:t>
      </w:r>
    </w:p>
    <w:p>
      <w:pPr>
        <w:pStyle w:val="Heading3"/>
        <w:spacing w:after="120" w:before="200"/>
      </w:pPr>
      <w:r>
        <w:rPr>
          <w:rFonts w:ascii="Arial" w:cs="Arial" w:eastAsia="Arial" w:hAnsi="Arial"/>
          <w:b/>
          <w:bCs/>
          <w:i w:val="false"/>
          <w:iCs w:val="false"/>
          <w:sz w:val="22"/>
          <w:szCs w:val="22"/>
        </w:rPr>
        <w:t xml:space="preserve">F. Scoring Module (112) and Sub-Components 112a–112d</w:t>
      </w:r>
    </w:p>
    <w:p>
      <w:pPr>
        <w:spacing w:after="160"/>
        <w:jc w:val="both"/>
      </w:pPr>
      <w:r>
        <w:rPr>
          <w:rFonts w:ascii="Arial" w:cs="Arial" w:eastAsia="Arial" w:hAnsi="Arial"/>
          <w:b/>
          <w:bCs/>
        </w:rPr>
        <w:t xml:space="preserve">[0038]  </w:t>
      </w:r>
      <w:r>
        <w:rPr>
          <w:rFonts w:ascii="Arial" w:cs="Arial" w:eastAsia="Arial" w:hAnsi="Arial"/>
        </w:rPr>
        <w:t xml:space="preserve">The Scoring Module 112 receives, by way of the data-flow edge 212, a query against the Audit Store 110 specifying an evaluation run identifier, and obtains in response a record set comprising the tagged interaction records for that evaluation run. The internal structure of the Scoring Module 112 is depicted in FIG. 3 and described below.</w:t>
      </w:r>
    </w:p>
    <w:p>
      <w:pPr>
        <w:spacing w:after="160"/>
        <w:jc w:val="both"/>
      </w:pPr>
      <w:r>
        <w:rPr>
          <w:rFonts w:ascii="Arial" w:cs="Arial" w:eastAsia="Arial" w:hAnsi="Arial"/>
          <w:b/>
          <w:bCs/>
        </w:rPr>
        <w:t xml:space="preserve">[0039]  </w:t>
      </w:r>
      <w:r>
        <w:rPr>
          <w:rFonts w:ascii="Arial" w:cs="Arial" w:eastAsia="Arial" w:hAnsi="Arial"/>
        </w:rPr>
        <w:t xml:space="preserve">Referring to FIG. 3, the Scoring Module 112 comprises a Record Set Selector 112a, a Principle Index Mapper 112b, a Metric Reducer 112c, and a Status Matrix Marker 112d.</w:t>
      </w:r>
    </w:p>
    <w:p>
      <w:pPr>
        <w:spacing w:after="160"/>
        <w:jc w:val="both"/>
      </w:pPr>
      <w:r>
        <w:rPr>
          <w:rFonts w:ascii="Arial" w:cs="Arial" w:eastAsia="Arial" w:hAnsi="Arial"/>
          <w:b/>
          <w:bCs/>
        </w:rPr>
        <w:t xml:space="preserve">[0040]  </w:t>
      </w:r>
      <w:r>
        <w:rPr>
          <w:rFonts w:ascii="Arial" w:cs="Arial" w:eastAsia="Arial" w:hAnsi="Arial"/>
        </w:rPr>
        <w:t xml:space="preserve">The Record Set Selector 112a is configured to filter the tagged interaction records by the evaluation run identifier and, optionally, by additional fields including category label, model version, and timestamp range. The Principle Index Mapper 112b is configured to associate each tagged interaction record, or each substantive claim within a tagged interaction record, with one or more entries of a publicly defined principle index. The principle index is, in one preferred embodiment, a numbered list of claim-discipline principles published by the operator of the apparatus 100 in a publicly accessible governance document; the apparatus 100 is not limited to any particular principle index, and counsel may readily substitute any externally published list of principles.</w:t>
      </w:r>
    </w:p>
    <w:p>
      <w:pPr>
        <w:spacing w:after="160"/>
        <w:jc w:val="both"/>
      </w:pPr>
      <w:r>
        <w:rPr>
          <w:rFonts w:ascii="Arial" w:cs="Arial" w:eastAsia="Arial" w:hAnsi="Arial"/>
          <w:b/>
          <w:bCs/>
        </w:rPr>
        <w:t xml:space="preserve">[0041]  </w:t>
      </w:r>
      <w:r>
        <w:rPr>
          <w:rFonts w:ascii="Arial" w:cs="Arial" w:eastAsia="Arial" w:hAnsi="Arial"/>
        </w:rPr>
        <w:t xml:space="preserve">The Metric Reducer 112c is configured to compute, for each principle in the principle index, one or more metrics by reduction over the filtered record set. Example metrics include without limitation a citation resolution rate (defined as the fraction of provenance-tagged claims with a “retrieval” provenance class whose cited source resolves and supports the claim), a citation support rate, a marker-extraction rate, a marker-accuracy correlation, a refusal-rate breakdown by category, and a strategic-non-refusal rate.</w:t>
      </w:r>
    </w:p>
    <w:p>
      <w:pPr>
        <w:spacing w:after="160"/>
        <w:jc w:val="both"/>
      </w:pPr>
      <w:r>
        <w:rPr>
          <w:rFonts w:ascii="Arial" w:cs="Arial" w:eastAsia="Arial" w:hAnsi="Arial"/>
          <w:b/>
          <w:bCs/>
        </w:rPr>
        <w:t xml:space="preserve">[0042]  </w:t>
      </w:r>
      <w:r>
        <w:rPr>
          <w:rFonts w:ascii="Arial" w:cs="Arial" w:eastAsia="Arial" w:hAnsi="Arial"/>
        </w:rPr>
        <w:t xml:space="preserve">The Status Matrix Marker 112d is configured to assign to each principle in the principle index a status drawn from a closed taxonomy comprising at least “Instrumented,” “Deferred,” and “Paper-Level-Only.” A principle marked “Instrumented” is one for which the apparatus 100 produces a quantitative metric on the present evaluation run. A principle marked “Deferred” is one for which the apparatus 100 records partial signals incidental to other instrumented principles but does not produce a first-class quantitative metric. A principle marked “Paper-Level-Only” is one for which the apparatus 100 reports a qualitative assessment without producing a quantitative metric.</w:t>
      </w:r>
    </w:p>
    <w:p>
      <w:pPr>
        <w:spacing w:after="160"/>
        <w:jc w:val="both"/>
      </w:pPr>
      <w:r>
        <w:rPr>
          <w:rFonts w:ascii="Arial" w:cs="Arial" w:eastAsia="Arial" w:hAnsi="Arial"/>
          <w:b/>
          <w:bCs/>
        </w:rPr>
        <w:t xml:space="preserve">[0043]  </w:t>
      </w:r>
      <w:r>
        <w:rPr>
          <w:rFonts w:ascii="Arial" w:cs="Arial" w:eastAsia="Arial" w:hAnsi="Arial"/>
        </w:rPr>
        <w:t xml:space="preserve">The combination of the Principle Index Mapper 112b, the Metric Reducer 112c, and the Status Matrix Marker 112d produces, by way of the data-flow edge 214, a principle-indexed metric set bearing a status matrix. It is a feature of the present invention that the principle-indexed metric set is structurally a different artifact from a benchmark score: it is a framework-indexed status matrix, suitable for direct comparison between two distinct Deployments evaluated against the same principle index. This comparability is described in greater detail in the embodiments below.</w:t>
      </w:r>
    </w:p>
    <w:p>
      <w:pPr>
        <w:pStyle w:val="Heading3"/>
        <w:spacing w:after="120" w:before="200"/>
      </w:pPr>
      <w:r>
        <w:rPr>
          <w:rFonts w:ascii="Arial" w:cs="Arial" w:eastAsia="Arial" w:hAnsi="Arial"/>
          <w:b/>
          <w:bCs/>
          <w:i w:val="false"/>
          <w:iCs w:val="false"/>
          <w:sz w:val="22"/>
          <w:szCs w:val="22"/>
        </w:rPr>
        <w:t xml:space="preserve">G. Report Renderer (114) and Output (116)</w:t>
      </w:r>
    </w:p>
    <w:p>
      <w:pPr>
        <w:spacing w:after="160"/>
        <w:jc w:val="both"/>
      </w:pPr>
      <w:r>
        <w:rPr>
          <w:rFonts w:ascii="Arial" w:cs="Arial" w:eastAsia="Arial" w:hAnsi="Arial"/>
          <w:b/>
          <w:bCs/>
        </w:rPr>
        <w:t xml:space="preserve">[0044]  </w:t>
      </w:r>
      <w:r>
        <w:rPr>
          <w:rFonts w:ascii="Arial" w:cs="Arial" w:eastAsia="Arial" w:hAnsi="Arial"/>
        </w:rPr>
        <w:t xml:space="preserve">The Report Renderer 114 receives, by way of the data-flow edge 214, the principle-indexed metric set, and emits, by way of the data-flow edge 216, the Traceability Evaluation Report 116. The Traceability Evaluation Report 116 comprises, at minimum: run metadata; per-principle scores; per-category breakdowns; tallies of unsafe accepts, safe refusals, unsupported claims, citation failures, uncertainty failures, and boundary violations; and representative excerpts from the audit record.</w:t>
      </w:r>
    </w:p>
    <w:p>
      <w:pPr>
        <w:spacing w:after="160"/>
        <w:jc w:val="both"/>
      </w:pPr>
      <w:r>
        <w:rPr>
          <w:rFonts w:ascii="Arial" w:cs="Arial" w:eastAsia="Arial" w:hAnsi="Arial"/>
          <w:b/>
          <w:bCs/>
        </w:rPr>
        <w:t xml:space="preserve">[0045]  </w:t>
      </w:r>
      <w:r>
        <w:rPr>
          <w:rFonts w:ascii="Arial" w:cs="Arial" w:eastAsia="Arial" w:hAnsi="Arial"/>
        </w:rPr>
        <w:t xml:space="preserve">In one preferred embodiment, the Report Renderer 114 emits the Traceability Evaluation Report 116 in a Markdown serialization. In another preferred embodiment, the Report Renderer 114 emits the Traceability Evaluation Report 116 in a Portable Document Format (PDF) serialization. In yet another preferred embodiment, the Report Renderer 114 emits the Traceability Evaluation Report 116 in a structured JavaScript Object Notation (JSON) serialization suitable for machine consumption.</w:t>
      </w:r>
    </w:p>
    <w:p>
      <w:pPr>
        <w:pStyle w:val="Heading2"/>
        <w:spacing w:after="160" w:before="240"/>
      </w:pPr>
      <w:r>
        <w:rPr>
          <w:rFonts w:ascii="Arial" w:cs="Arial" w:eastAsia="Arial" w:hAnsi="Arial"/>
          <w:b/>
          <w:bCs/>
          <w:sz w:val="24"/>
          <w:szCs w:val="24"/>
        </w:rPr>
        <w:t xml:space="preserve">III. The Method (Steps S1–S8)</w:t>
      </w:r>
    </w:p>
    <w:p>
      <w:pPr>
        <w:spacing w:after="160"/>
        <w:jc w:val="both"/>
      </w:pPr>
      <w:r>
        <w:rPr>
          <w:rFonts w:ascii="Arial" w:cs="Arial" w:eastAsia="Arial" w:hAnsi="Arial"/>
          <w:b/>
          <w:bCs/>
        </w:rPr>
        <w:t xml:space="preserve">[0046]  </w:t>
      </w:r>
      <w:r>
        <w:rPr>
          <w:rFonts w:ascii="Arial" w:cs="Arial" w:eastAsia="Arial" w:hAnsi="Arial"/>
        </w:rPr>
        <w:t xml:space="preserve">Referring now to FIG. 4, a method according to one embodiment of the present invention comprises steps S1 through S8 performed across the components of the apparatus 100. In step S1, the Prompt Set Module 102 provides a prompt record 202 to the Evaluator-Side Proxy 104. In step S2, the Evaluator-Side Proxy 104 issues a serialized prompt 204 to the Deployment Under Evaluation 106 across the apparatus boundary 101 via the Deployment’s public interface. In step S3, the Evaluator-Side Proxy 104 receives a verbatim response 206 from the Deployment 106 across the apparatus boundary 101. In step S4, the Evaluator-Side Proxy 104 assembles the prompt and the verbatim response into a capture record 208 and passes the capture record to the Tagger 108.</w:t>
      </w:r>
    </w:p>
    <w:p>
      <w:pPr>
        <w:spacing w:after="160"/>
        <w:jc w:val="both"/>
      </w:pPr>
      <w:r>
        <w:rPr>
          <w:rFonts w:ascii="Arial" w:cs="Arial" w:eastAsia="Arial" w:hAnsi="Arial"/>
          <w:b/>
          <w:bCs/>
        </w:rPr>
        <w:t xml:space="preserve">[0047]  </w:t>
      </w:r>
      <w:r>
        <w:rPr>
          <w:rFonts w:ascii="Arial" w:cs="Arial" w:eastAsia="Arial" w:hAnsi="Arial"/>
        </w:rPr>
        <w:t xml:space="preserve">In step S5, the Tagger 108 decomposes the verbatim response into one or more substantive claims by way of the Claim Segmenter 108a; applies, by way of sub-components 108b, 108c, and 108d, the provenance class, the uncertainty markers, and the refusal classification respectively; assembles, by way of the Schema Emitter 108e, the tagged interaction record 210 in the invariant output schema; and writes the tagged interaction record to the Audit Store 110.</w:t>
      </w:r>
    </w:p>
    <w:p>
      <w:pPr>
        <w:spacing w:after="160"/>
        <w:jc w:val="both"/>
      </w:pPr>
      <w:r>
        <w:rPr>
          <w:rFonts w:ascii="Arial" w:cs="Arial" w:eastAsia="Arial" w:hAnsi="Arial"/>
          <w:b/>
          <w:bCs/>
        </w:rPr>
        <w:t xml:space="preserve">[0048]  </w:t>
      </w:r>
      <w:r>
        <w:rPr>
          <w:rFonts w:ascii="Arial" w:cs="Arial" w:eastAsia="Arial" w:hAnsi="Arial"/>
        </w:rPr>
        <w:t xml:space="preserve">In step S6, the Scoring Module 112 queries the Audit Store 110 by way of the data-flow edge 212, specifying an evaluation run identifier, and obtains in response a record set. In step S7, the Scoring Module 112 reduces the record set, by way of sub-components 112a, 112b, 112c, and 112d, to a principle-indexed metric set 214 bearing the status matrix. In step S8, the Report Renderer 114 renders the Traceability Evaluation Report 116 by way of the data-flow edge 216.</w:t>
      </w:r>
    </w:p>
    <w:p>
      <w:pPr>
        <w:spacing w:after="160"/>
        <w:jc w:val="both"/>
      </w:pPr>
      <w:r>
        <w:rPr>
          <w:rFonts w:ascii="Arial" w:cs="Arial" w:eastAsia="Arial" w:hAnsi="Arial"/>
          <w:b/>
          <w:bCs/>
        </w:rPr>
        <w:t xml:space="preserve">[0049]  </w:t>
      </w:r>
      <w:r>
        <w:rPr>
          <w:rFonts w:ascii="Arial" w:cs="Arial" w:eastAsia="Arial" w:hAnsi="Arial"/>
        </w:rPr>
        <w:t xml:space="preserve">Throughout steps S1 through S8, the Deployment Under Evaluation 106 is not modified, instrumented, or otherwise altered, and the apparatus 100 does not require, receive, or consume any non-public state of the Deployment 106. The Deployment 106 contributes only verbatim responses 206 via its public interface in response to serialized prompts 204.</w:t>
      </w:r>
    </w:p>
    <w:p>
      <w:pPr>
        <w:pStyle w:val="Heading2"/>
        <w:spacing w:after="160" w:before="240"/>
      </w:pPr>
      <w:r>
        <w:rPr>
          <w:rFonts w:ascii="Arial" w:cs="Arial" w:eastAsia="Arial" w:hAnsi="Arial"/>
          <w:b/>
          <w:bCs/>
          <w:sz w:val="24"/>
          <w:szCs w:val="24"/>
        </w:rPr>
        <w:t xml:space="preserve">IV. Embodiments</w:t>
      </w:r>
    </w:p>
    <w:p>
      <w:pPr>
        <w:pStyle w:val="Heading3"/>
        <w:spacing w:after="120" w:before="200"/>
      </w:pPr>
      <w:r>
        <w:rPr>
          <w:rFonts w:ascii="Arial" w:cs="Arial" w:eastAsia="Arial" w:hAnsi="Arial"/>
          <w:b/>
          <w:bCs/>
          <w:i w:val="false"/>
          <w:iCs w:val="false"/>
          <w:sz w:val="22"/>
          <w:szCs w:val="22"/>
        </w:rPr>
        <w:t xml:space="preserve">Embodiment A: “Ask Sundog” Domain-Specific Evaluator</w:t>
      </w:r>
    </w:p>
    <w:p>
      <w:pPr>
        <w:spacing w:after="160"/>
        <w:jc w:val="both"/>
      </w:pPr>
      <w:r>
        <w:rPr>
          <w:rFonts w:ascii="Arial" w:cs="Arial" w:eastAsia="Arial" w:hAnsi="Arial"/>
          <w:b/>
          <w:bCs/>
        </w:rPr>
        <w:t xml:space="preserve">[0050]  </w:t>
      </w:r>
      <w:r>
        <w:rPr>
          <w:rFonts w:ascii="Arial" w:cs="Arial" w:eastAsia="Arial" w:hAnsi="Arial"/>
        </w:rPr>
        <w:t xml:space="preserve">In a first preferred embodiment, designated herein as “Ask Sundog,” the apparatus 100 is applied against a Deployment 106 comprising a domain-specific question-answering chat assistant. The Prompt Set Module 102 is preconfigured with a static claim map and adversarial probe slates corresponding to the assistant’s claim-boundary documents. The Tagger 108 is implemented as a hybrid rule-based and classifier-based tagger in which retrieval-class provenance assignment is rule-based against the claim map and uncertainty extraction is classifier-based against a marker lexicon. The Scoring Module 112 emits a principle-indexed metric set comprising at least a citation resolution rate, a citation support rate, an uncertainty calibration metric, a refusal-class distribution, and an unsafe-accept count on adversarial and citation-trap prompts. The Report Renderer 114 emits the Traceability Evaluation Report 116 in both Markdown and structured JSON serializations, with the Markdown serialization published as a public claim-boundary page disposed at a publicly accessible network address.</w:t>
      </w:r>
    </w:p>
    <w:p>
      <w:pPr>
        <w:pStyle w:val="Heading3"/>
        <w:spacing w:after="120" w:before="200"/>
      </w:pPr>
      <w:r>
        <w:rPr>
          <w:rFonts w:ascii="Arial" w:cs="Arial" w:eastAsia="Arial" w:hAnsi="Arial"/>
          <w:b/>
          <w:bCs/>
          <w:i w:val="false"/>
          <w:iCs w:val="false"/>
          <w:sz w:val="22"/>
          <w:szCs w:val="22"/>
        </w:rPr>
        <w:t xml:space="preserve">Embodiment B: General-Purpose Halo Harness</w:t>
      </w:r>
    </w:p>
    <w:p>
      <w:pPr>
        <w:spacing w:after="160"/>
        <w:jc w:val="both"/>
      </w:pPr>
      <w:r>
        <w:rPr>
          <w:rFonts w:ascii="Arial" w:cs="Arial" w:eastAsia="Arial" w:hAnsi="Arial"/>
          <w:b/>
          <w:bCs/>
        </w:rPr>
        <w:t xml:space="preserve">[0051]  </w:t>
      </w:r>
      <w:r>
        <w:rPr>
          <w:rFonts w:ascii="Arial" w:cs="Arial" w:eastAsia="Arial" w:hAnsi="Arial"/>
        </w:rPr>
        <w:t xml:space="preserve">In a second preferred embodiment, designated herein as the “General Halo Harness,” the apparatus 100 is applied against an arbitrary Deployment 106. The Prompt Set Module 102 is configured with a curated corpus of between approximately thirty and one hundred documents in a narrow technical domain and approximately one hundred prompts distributed across the categories “answerable,” “ambiguous,” “out-of-corpus,” “adversarial,” and “citation-trap.” The Tagger 108 is implemented with a rule-based variant of sub-components 108a–108d in one configuration and a classifier-based variant in an alternative configuration; the Schema Emitter 108e produces tagged interaction records of identical structural shape in both configurations. The Scoring Module 112 emits a principle-indexed metric set against a publicly published claim-discipline principle index, with the Status Matrix Marker 112d marking each principle as Instrumented, Deferred, or Paper-Level-Only.</w:t>
      </w:r>
    </w:p>
    <w:p>
      <w:pPr>
        <w:pStyle w:val="Heading3"/>
        <w:spacing w:after="120" w:before="200"/>
      </w:pPr>
      <w:r>
        <w:rPr>
          <w:rFonts w:ascii="Arial" w:cs="Arial" w:eastAsia="Arial" w:hAnsi="Arial"/>
          <w:b/>
          <w:bCs/>
          <w:i w:val="false"/>
          <w:iCs w:val="false"/>
          <w:sz w:val="22"/>
          <w:szCs w:val="22"/>
        </w:rPr>
        <w:t xml:space="preserve">Embodiment C: Third-Party Partner Evaluation Service</w:t>
      </w:r>
    </w:p>
    <w:p>
      <w:pPr>
        <w:spacing w:after="160"/>
        <w:jc w:val="both"/>
      </w:pPr>
      <w:r>
        <w:rPr>
          <w:rFonts w:ascii="Arial" w:cs="Arial" w:eastAsia="Arial" w:hAnsi="Arial"/>
          <w:b/>
          <w:bCs/>
        </w:rPr>
        <w:t xml:space="preserve">[0052]  </w:t>
      </w:r>
      <w:r>
        <w:rPr>
          <w:rFonts w:ascii="Arial" w:cs="Arial" w:eastAsia="Arial" w:hAnsi="Arial"/>
        </w:rPr>
        <w:t xml:space="preserve">In a third preferred embodiment, the apparatus 100 is operated as a service to produce Traceability Evaluation Reports 116 against third-party Deployments 106. In this embodiment, the operator of the apparatus 100 enters into a paid or non-profit relationship with a customer that owns or operates the third-party Deployment 106; the Prompt Set Module 102 is configured against the third-party Deployment’s documented use cases and claim surface; and the Traceability Evaluation Report 116 is delivered to the customer. The apparatus 100 in this embodiment performs the entire evaluation across the public interface of the third-party Deployment 106 without instrumentation of, modification to, or cooperation from that Deployment beyond ordinary acceptance of public-interface traffic; this property may be relied upon by the customer to obtain an evaluation that is structurally independent of the third-party Deployment’s own operator.</w:t>
      </w:r>
    </w:p>
    <w:p>
      <w:pPr>
        <w:pStyle w:val="Heading2"/>
        <w:spacing w:after="160" w:before="240"/>
      </w:pPr>
      <w:r>
        <w:rPr>
          <w:rFonts w:ascii="Arial" w:cs="Arial" w:eastAsia="Arial" w:hAnsi="Arial"/>
          <w:b/>
          <w:bCs/>
          <w:sz w:val="24"/>
          <w:szCs w:val="24"/>
        </w:rPr>
        <w:t xml:space="preserve">V. Alternative Implementations and Variants</w:t>
      </w:r>
    </w:p>
    <w:p>
      <w:pPr>
        <w:spacing w:after="160"/>
        <w:jc w:val="both"/>
      </w:pPr>
      <w:r>
        <w:rPr>
          <w:rFonts w:ascii="Arial" w:cs="Arial" w:eastAsia="Arial" w:hAnsi="Arial"/>
          <w:b/>
          <w:bCs/>
        </w:rPr>
        <w:t xml:space="preserve">[0053]  </w:t>
      </w:r>
      <w:r>
        <w:rPr>
          <w:rFonts w:ascii="Arial" w:cs="Arial" w:eastAsia="Arial" w:hAnsi="Arial"/>
        </w:rPr>
        <w:t xml:space="preserve">Many alternative implementations of the apparatus 100 and the method described herein are within the scope of the present invention. The Tagger 108 may be implemented as a rule-based tagger, a classifier-based tagger, a hybrid tagger, or a large-language-model-driven tagger executing against an instruction prompt; the Schema Emitter 108e ensures that the downstream record schema is invariant across implementation choices. The Audit Store 110 may be implemented as a relational database, a document store, an append-only log, or any other persistent store providing indexed retrieval by evaluation run identifier. The Scoring Module 112 may compute any metric reducible over a record set, including but not limited to those metrics enumerated above. The Report Renderer 114 may emit the Traceability Evaluation Report 116 in any human-readable or machine-readable serialization.</w:t>
      </w:r>
    </w:p>
    <w:p>
      <w:pPr>
        <w:spacing w:after="160"/>
        <w:jc w:val="both"/>
      </w:pPr>
      <w:r>
        <w:rPr>
          <w:rFonts w:ascii="Arial" w:cs="Arial" w:eastAsia="Arial" w:hAnsi="Arial"/>
          <w:b/>
          <w:bCs/>
        </w:rPr>
        <w:t xml:space="preserve">[0054]  </w:t>
      </w:r>
      <w:r>
        <w:rPr>
          <w:rFonts w:ascii="Arial" w:cs="Arial" w:eastAsia="Arial" w:hAnsi="Arial"/>
        </w:rPr>
        <w:t xml:space="preserve">The Deployment Under Evaluation 106 may be any deployed AI system exposing a public interface, including without limitation a large language model, a retrieval-augmented generation system, a multimodal generative system, a programmatic agent, a voice assistant, or any combination of the foregoing. The public interface may be of any documented form.</w:t>
      </w:r>
    </w:p>
    <w:p>
      <w:pPr>
        <w:spacing w:after="160"/>
        <w:jc w:val="both"/>
      </w:pPr>
      <w:r>
        <w:rPr>
          <w:rFonts w:ascii="Arial" w:cs="Arial" w:eastAsia="Arial" w:hAnsi="Arial"/>
          <w:b/>
          <w:bCs/>
        </w:rPr>
        <w:t xml:space="preserve">[0055]  </w:t>
      </w:r>
      <w:r>
        <w:rPr>
          <w:rFonts w:ascii="Arial" w:cs="Arial" w:eastAsia="Arial" w:hAnsi="Arial"/>
        </w:rPr>
        <w:t xml:space="preserve">Persons of ordinary skill in the art will recognize that further variants are possible without departing from the scope of the present invention. For example, the apparatus 100 may operate against multiple Deployments 106 in parallel and produce a comparison Traceability Evaluation Report; the Audit Store 110 may be replicated for redundancy; and the Scoring Module 112 may produce additional aggregations over multiple evaluation runs.</w:t>
      </w:r>
    </w:p>
    <w:p>
      <w:pPr>
        <w:pStyle w:val="Heading2"/>
        <w:spacing w:after="160" w:before="240"/>
      </w:pPr>
      <w:r>
        <w:rPr>
          <w:rFonts w:ascii="Arial" w:cs="Arial" w:eastAsia="Arial" w:hAnsi="Arial"/>
          <w:b/>
          <w:bCs/>
          <w:sz w:val="24"/>
          <w:szCs w:val="24"/>
        </w:rPr>
        <w:t xml:space="preserve">VI. Definitions</w:t>
      </w:r>
    </w:p>
    <w:p>
      <w:pPr>
        <w:spacing w:after="160"/>
        <w:jc w:val="both"/>
      </w:pPr>
      <w:r>
        <w:rPr>
          <w:rFonts w:ascii="Arial" w:cs="Arial" w:eastAsia="Arial" w:hAnsi="Arial"/>
          <w:b/>
          <w:bCs/>
        </w:rPr>
        <w:t xml:space="preserve">[0056]  </w:t>
      </w:r>
      <w:r>
        <w:rPr>
          <w:rFonts w:ascii="Arial" w:cs="Arial" w:eastAsia="Arial" w:hAnsi="Arial"/>
        </w:rPr>
        <w:t xml:space="preserve">For the purposes of the present specification and the appended claims, the following definitions apply. A “Deployment Under Evaluation” or “Deployment” is a deployed artificial-intelligence system that exposes one or more documented public interfaces by which it accepts input and returns output. A “verbatim response” is a response from the Deployment that has not been modified, summarized, normalized, or otherwise transformed by the apparatus. A “substantive claim” is a span of a verbatim response that asserts, denies, or qualifies a fact, recommendation, prediction, or other assertion subject to evidentiary evaluation. A “public interface” is any documented interface by which the Deployment ordinarily accepts public input, including without limitation an HTTP API, an RPC interface, a WebSocket channel, or a web-form interface. An “invariant output schema” is a schema whose field names, field types, ordering, and required-versus-optional designation do not vary as a function of which implementation strategy is selected for upstream sub-components. “Claim discipline” refers collectively to the observable behavior of the Deployment with respect to provenance of claims, uncertainty disclosure, refusal of out-of-scope requests, and preservation of an audit trail.</w:t>
      </w:r>
    </w:p>
    <w:p>
      <w:r>
        <w:br w:type="page"/>
      </w:r>
    </w:p>
    <w:p>
      <w:pPr>
        <w:pStyle w:val="Heading1"/>
        <w:spacing w:after="240" w:before="360"/>
      </w:pPr>
      <w:r>
        <w:rPr>
          <w:rFonts w:ascii="Arial" w:cs="Arial" w:eastAsia="Arial" w:hAnsi="Arial"/>
          <w:b/>
          <w:bCs/>
          <w:sz w:val="28"/>
          <w:szCs w:val="28"/>
        </w:rPr>
        <w:t xml:space="preserve">CLAIMS</w:t>
      </w:r>
    </w:p>
    <w:p>
      <w:pPr>
        <w:spacing w:after="160"/>
        <w:jc w:val="both"/>
      </w:pPr>
      <w:r>
        <w:rPr>
          <w:rFonts w:ascii="Arial" w:cs="Arial" w:eastAsia="Arial" w:hAnsi="Arial"/>
          <w:b/>
          <w:bCs/>
        </w:rPr>
        <w:t xml:space="preserve">[0057]  </w:t>
      </w:r>
      <w:r>
        <w:rPr>
          <w:rFonts w:ascii="Arial" w:cs="Arial" w:eastAsia="Arial" w:hAnsi="Arial"/>
        </w:rPr>
        <w:t xml:space="preserve">What is claimed is (draft claim sketches subject to counsel review and revision; this section is provided for counsel use under 35 U.S.C. § 111(b) and is not a definitive recitation of the claims that may ultimately issue):</w:t>
      </w:r>
    </w:p>
    <w:p>
      <w:pPr>
        <w:spacing w:after="160"/>
        <w:ind w:left="360" w:hanging="360"/>
        <w:jc w:val="both"/>
      </w:pPr>
      <w:r>
        <w:rPr>
          <w:rFonts w:ascii="Arial" w:cs="Arial" w:eastAsia="Arial" w:hAnsi="Arial"/>
          <w:b/>
          <w:bCs/>
        </w:rPr>
        <w:t xml:space="preserve">1.  </w:t>
      </w:r>
      <w:r>
        <w:rPr>
          <w:rFonts w:ascii="Arial" w:cs="Arial" w:eastAsia="Arial" w:hAnsi="Arial"/>
        </w:rPr>
        <w:t xml:space="preserve">An apparatus for evaluating a deployed artificial-intelligence system, the apparatus comprising: a prompt set module configured to provide a prompt record; an evaluator-side proxy operatively coupled to the prompt set module and configured to (i) issue a serialized prompt to the deployed artificial-intelligence system across an apparatus boundary by way of a public interface of the deployed artificial-intelligence system, and (ii) receive a verbatim response from the deployed artificial-intelligence system across the apparatus boundary, wherein the deployed artificial-intelligence system is disposed external to the apparatus boundary; a tagger operatively coupled to the evaluator-side proxy and configured to decompose the verbatim response into one or more per-claim records and to apply to each per-claim record an invariant marker schema comprising at least a provenance classification, an uncertainty marker, and a refusal classification, the tagger thereby producing a tagged interaction record; an audit store operatively coupled to the tagger and configured to persist the tagged interaction record indexed by an evaluation run identifier; a scoring module operatively coupled to the audit store and configured to (i) query the audit store by the evaluation run identifier to obtain a record set and (ii) reduce the record set to a principle-indexed metric set bearing a status matrix marking each principle in a principle index with one of an instrumented status, a deferred status, and a paper-level-only status; and a report renderer operatively coupled to the scoring module and configured to emit a traceability evaluation report from the principle-indexed metric set; wherein the apparatus is configured to perform the foregoing without instrumentation of, modification to, or cooperation from the deployed artificial-intelligence system beyond ordinary acceptance of public-interface traffic.</w:t>
      </w:r>
    </w:p>
    <w:p>
      <w:pPr>
        <w:spacing w:after="160"/>
        <w:ind w:left="360" w:hanging="360"/>
        <w:jc w:val="both"/>
      </w:pPr>
      <w:r>
        <w:rPr>
          <w:rFonts w:ascii="Arial" w:cs="Arial" w:eastAsia="Arial" w:hAnsi="Arial"/>
          <w:b/>
          <w:bCs/>
        </w:rPr>
        <w:t xml:space="preserve">2.  </w:t>
      </w:r>
      <w:r>
        <w:rPr>
          <w:rFonts w:ascii="Arial" w:cs="Arial" w:eastAsia="Arial" w:hAnsi="Arial"/>
        </w:rPr>
        <w:t xml:space="preserve">The apparatus of claim 1, wherein the prompt set module is configured to label each prompt record with a category drawn from a closed taxonomy comprising at least answerable, ambiguous, out-of-corpus, adversarial, and citation-trap categories.</w:t>
      </w:r>
    </w:p>
    <w:p>
      <w:pPr>
        <w:spacing w:after="160"/>
        <w:ind w:left="360" w:hanging="360"/>
        <w:jc w:val="both"/>
      </w:pPr>
      <w:r>
        <w:rPr>
          <w:rFonts w:ascii="Arial" w:cs="Arial" w:eastAsia="Arial" w:hAnsi="Arial"/>
          <w:b/>
          <w:bCs/>
        </w:rPr>
        <w:t xml:space="preserve">3.  </w:t>
      </w:r>
      <w:r>
        <w:rPr>
          <w:rFonts w:ascii="Arial" w:cs="Arial" w:eastAsia="Arial" w:hAnsi="Arial"/>
        </w:rPr>
        <w:t xml:space="preserve">The apparatus of claim 1, wherein the evaluator-side proxy is configured to (i) install no software-development kit on the deployed artificial-intelligence system, (ii) consume no chain-of-thought trace from the deployed artificial-intelligence system, (iii) consume no model-weight value of the deployed artificial-intelligence system, and (iv) consume no internal log of the deployed artificial-intelligence system.</w:t>
      </w:r>
    </w:p>
    <w:p>
      <w:pPr>
        <w:spacing w:after="160"/>
        <w:ind w:left="360" w:hanging="360"/>
        <w:jc w:val="both"/>
      </w:pPr>
      <w:r>
        <w:rPr>
          <w:rFonts w:ascii="Arial" w:cs="Arial" w:eastAsia="Arial" w:hAnsi="Arial"/>
          <w:b/>
          <w:bCs/>
        </w:rPr>
        <w:t xml:space="preserve">4.  </w:t>
      </w:r>
      <w:r>
        <w:rPr>
          <w:rFonts w:ascii="Arial" w:cs="Arial" w:eastAsia="Arial" w:hAnsi="Arial"/>
        </w:rPr>
        <w:t xml:space="preserve">The apparatus of claim 1, wherein the tagger comprises: a claim segmenter configured to decompose the verbatim response into the one or more per-claim records; a provenance classifier configured to assign to each per-claim record a provenance class drawn from a closed taxonomy comprising at least a retrieval class, a recall class, a computation class, and a synthesis class; an uncertainty marker extractor configured to identify within each per-claim record one or more uncertainty markers; a refusal classifier configured to assign to a per-claim record a refusal class drawn from a closed taxonomy comprising at least an explicit-and-reasoned class, an evasive class, and a strategic-non-refusal class; and a schema emitter configured to assemble outputs of the claim segmenter, the provenance classifier, the uncertainty marker extractor, and the refusal classifier into the tagged interaction record according to a published, invariant output schema.</w:t>
      </w:r>
    </w:p>
    <w:p>
      <w:pPr>
        <w:spacing w:after="160"/>
        <w:ind w:left="360" w:hanging="360"/>
        <w:jc w:val="both"/>
      </w:pPr>
      <w:r>
        <w:rPr>
          <w:rFonts w:ascii="Arial" w:cs="Arial" w:eastAsia="Arial" w:hAnsi="Arial"/>
          <w:b/>
          <w:bCs/>
        </w:rPr>
        <w:t xml:space="preserve">5.  </w:t>
      </w:r>
      <w:r>
        <w:rPr>
          <w:rFonts w:ascii="Arial" w:cs="Arial" w:eastAsia="Arial" w:hAnsi="Arial"/>
        </w:rPr>
        <w:t xml:space="preserve">The apparatus of claim 4, wherein the invariant output schema is invariant in that its field names, field types, ordering, and required-versus-optional designation do not vary as a function of an implementation strategy selected for one or more of the claim segmenter, the provenance classifier, the uncertainty marker extractor, and the refusal classifier.</w:t>
      </w:r>
    </w:p>
    <w:p>
      <w:pPr>
        <w:spacing w:after="160"/>
        <w:ind w:left="360" w:hanging="360"/>
        <w:jc w:val="both"/>
      </w:pPr>
      <w:r>
        <w:rPr>
          <w:rFonts w:ascii="Arial" w:cs="Arial" w:eastAsia="Arial" w:hAnsi="Arial"/>
          <w:b/>
          <w:bCs/>
        </w:rPr>
        <w:t xml:space="preserve">6.  </w:t>
      </w:r>
      <w:r>
        <w:rPr>
          <w:rFonts w:ascii="Arial" w:cs="Arial" w:eastAsia="Arial" w:hAnsi="Arial"/>
        </w:rPr>
        <w:t xml:space="preserve">The apparatus of claim 4, wherein two independently-implemented instances of the tagger produce tagged interaction records that are structurally compatible and that may both be processed by the scoring module without modification of the scoring module.</w:t>
      </w:r>
    </w:p>
    <w:p>
      <w:pPr>
        <w:spacing w:after="160"/>
        <w:ind w:left="360" w:hanging="360"/>
        <w:jc w:val="both"/>
      </w:pPr>
      <w:r>
        <w:rPr>
          <w:rFonts w:ascii="Arial" w:cs="Arial" w:eastAsia="Arial" w:hAnsi="Arial"/>
          <w:b/>
          <w:bCs/>
        </w:rPr>
        <w:t xml:space="preserve">7.  </w:t>
      </w:r>
      <w:r>
        <w:rPr>
          <w:rFonts w:ascii="Arial" w:cs="Arial" w:eastAsia="Arial" w:hAnsi="Arial"/>
        </w:rPr>
        <w:t xml:space="preserve">The apparatus of claim 1, wherein the scoring module comprises: a record set selector configured to filter the record set by the evaluation run identifier; a principle index mapper configured to associate each tagged interaction record with one or more entries of a publicly defined principle index; a metric reducer configured to compute, for each principle in the principle index, at least one metric by reduction over the filtered record set; and a status matrix marker configured to assign to each principle in the principle index a status drawn from a closed taxonomy comprising at least the instrumented status, the deferred status, and the paper-level-only status.</w:t>
      </w:r>
    </w:p>
    <w:p>
      <w:pPr>
        <w:spacing w:after="160"/>
        <w:ind w:left="360" w:hanging="360"/>
        <w:jc w:val="both"/>
      </w:pPr>
      <w:r>
        <w:rPr>
          <w:rFonts w:ascii="Arial" w:cs="Arial" w:eastAsia="Arial" w:hAnsi="Arial"/>
          <w:b/>
          <w:bCs/>
        </w:rPr>
        <w:t xml:space="preserve">8.  </w:t>
      </w:r>
      <w:r>
        <w:rPr>
          <w:rFonts w:ascii="Arial" w:cs="Arial" w:eastAsia="Arial" w:hAnsi="Arial"/>
        </w:rPr>
        <w:t xml:space="preserve">The apparatus of claim 7, wherein the at least one metric computed by the metric reducer comprises one or more of: a citation resolution rate; a citation support rate; an uncertainty marker extraction rate; a refusal-rate breakdown by category; and a strategic-non-refusal rate.</w:t>
      </w:r>
    </w:p>
    <w:p>
      <w:pPr>
        <w:spacing w:after="160"/>
        <w:ind w:left="360" w:hanging="360"/>
        <w:jc w:val="both"/>
      </w:pPr>
      <w:r>
        <w:rPr>
          <w:rFonts w:ascii="Arial" w:cs="Arial" w:eastAsia="Arial" w:hAnsi="Arial"/>
          <w:b/>
          <w:bCs/>
        </w:rPr>
        <w:t xml:space="preserve">9.  </w:t>
      </w:r>
      <w:r>
        <w:rPr>
          <w:rFonts w:ascii="Arial" w:cs="Arial" w:eastAsia="Arial" w:hAnsi="Arial"/>
        </w:rPr>
        <w:t xml:space="preserve">The apparatus of claim 1, wherein the audit store is configured to support reconstruction of an evaluation run by replay of its persisted tagged interaction records against a stated version of the deployed artificial-intelligence system.</w:t>
      </w:r>
    </w:p>
    <w:p>
      <w:pPr>
        <w:spacing w:after="160"/>
        <w:ind w:left="360" w:hanging="360"/>
        <w:jc w:val="both"/>
      </w:pPr>
      <w:r>
        <w:rPr>
          <w:rFonts w:ascii="Arial" w:cs="Arial" w:eastAsia="Arial" w:hAnsi="Arial"/>
          <w:b/>
          <w:bCs/>
        </w:rPr>
        <w:t xml:space="preserve">10.  </w:t>
      </w:r>
      <w:r>
        <w:rPr>
          <w:rFonts w:ascii="Arial" w:cs="Arial" w:eastAsia="Arial" w:hAnsi="Arial"/>
        </w:rPr>
        <w:t xml:space="preserve">The apparatus of claim 1, wherein the report renderer is configured to emit the traceability evaluation report in at least one of a Markdown serialization, a Portable Document Format serialization, and a JavaScript Object Notation serialization.</w:t>
      </w:r>
    </w:p>
    <w:p>
      <w:pPr>
        <w:spacing w:after="160"/>
        <w:ind w:left="360" w:hanging="360"/>
        <w:jc w:val="both"/>
      </w:pPr>
      <w:r>
        <w:rPr>
          <w:rFonts w:ascii="Arial" w:cs="Arial" w:eastAsia="Arial" w:hAnsi="Arial"/>
          <w:b/>
          <w:bCs/>
        </w:rPr>
        <w:t xml:space="preserve">11.  </w:t>
      </w:r>
      <w:r>
        <w:rPr>
          <w:rFonts w:ascii="Arial" w:cs="Arial" w:eastAsia="Arial" w:hAnsi="Arial"/>
        </w:rPr>
        <w:t xml:space="preserve">A method, performed by an apparatus comprising a prompt set module, an evaluator-side proxy, a tagger, an audit store, a scoring module, and a report renderer, for evaluating a deployed artificial-intelligence system disposed external to an apparatus boundary, the method comprising the steps of: (a) providing, from the prompt set module to the evaluator-side proxy, a prompt record; (b) issuing, by the evaluator-side proxy across the apparatus boundary, a serialized prompt to the deployed artificial-intelligence system by way of a public interface of the deployed artificial-intelligence system; (c) receiving, by the evaluator-side proxy across the apparatus boundary, a verbatim response from the deployed artificial-intelligence system; (d) decomposing, by the tagger, the verbatim response into one or more per-claim records and applying to each per-claim record an invariant marker schema comprising at least a provenance classification, an uncertainty marker, and a refusal classification, thereby producing a tagged interaction record; (e) persisting, in the audit store, the tagged interaction record indexed by an evaluation run identifier; (f) querying, by the scoring module, the audit store by the evaluation run identifier to obtain a record set, and reducing the record set to a principle-indexed metric set bearing a status matrix; and (g) rendering, by the report renderer, a traceability evaluation report from the principle-indexed metric set; wherein the method is performed without instrumentation of, modification to, or cooperation from the deployed artificial-intelligence system beyond ordinary acceptance of public-interface traffic.</w:t>
      </w:r>
    </w:p>
    <w:p>
      <w:pPr>
        <w:spacing w:after="160"/>
        <w:ind w:left="360" w:hanging="360"/>
        <w:jc w:val="both"/>
      </w:pPr>
      <w:r>
        <w:rPr>
          <w:rFonts w:ascii="Arial" w:cs="Arial" w:eastAsia="Arial" w:hAnsi="Arial"/>
          <w:b/>
          <w:bCs/>
        </w:rPr>
        <w:t xml:space="preserve">12.  </w:t>
      </w:r>
      <w:r>
        <w:rPr>
          <w:rFonts w:ascii="Arial" w:cs="Arial" w:eastAsia="Arial" w:hAnsi="Arial"/>
        </w:rPr>
        <w:t xml:space="preserve">The method of claim 11, wherein step (d) further comprises segmenting the verbatim response into substantive claims and assigning, to each substantive claim, a provenance class drawn from a closed taxonomy comprising at least a retrieval class, a recall class, a computation class, and a synthesis class.</w:t>
      </w:r>
    </w:p>
    <w:p>
      <w:pPr>
        <w:spacing w:after="160"/>
        <w:ind w:left="360" w:hanging="360"/>
        <w:jc w:val="both"/>
      </w:pPr>
      <w:r>
        <w:rPr>
          <w:rFonts w:ascii="Arial" w:cs="Arial" w:eastAsia="Arial" w:hAnsi="Arial"/>
          <w:b/>
          <w:bCs/>
        </w:rPr>
        <w:t xml:space="preserve">13.  </w:t>
      </w:r>
      <w:r>
        <w:rPr>
          <w:rFonts w:ascii="Arial" w:cs="Arial" w:eastAsia="Arial" w:hAnsi="Arial"/>
        </w:rPr>
        <w:t xml:space="preserve">The method of claim 11, wherein step (f) further comprises associating each tagged interaction record with one or more entries of a publicly defined principle index and assigning to each principle in the principle index a status drawn from a closed taxonomy comprising at least an instrumented status, a deferred status, and a paper-level-only status.</w:t>
      </w:r>
    </w:p>
    <w:p>
      <w:pPr>
        <w:spacing w:after="160"/>
        <w:ind w:left="360" w:hanging="360"/>
        <w:jc w:val="both"/>
      </w:pPr>
      <w:r>
        <w:rPr>
          <w:rFonts w:ascii="Arial" w:cs="Arial" w:eastAsia="Arial" w:hAnsi="Arial"/>
          <w:b/>
          <w:bCs/>
        </w:rPr>
        <w:t xml:space="preserve">14.  </w:t>
      </w:r>
      <w:r>
        <w:rPr>
          <w:rFonts w:ascii="Arial" w:cs="Arial" w:eastAsia="Arial" w:hAnsi="Arial"/>
        </w:rPr>
        <w:t xml:space="preserve">The method of claim 11, wherein the traceability evaluation report produced by step (g) is structurally comparable to a second traceability evaluation report produced by performing the method against a second deployed artificial-intelligence system against the same principle index.</w:t>
      </w:r>
    </w:p>
    <w:p>
      <w:pPr>
        <w:spacing w:after="160"/>
        <w:ind w:left="360" w:hanging="360"/>
        <w:jc w:val="both"/>
      </w:pPr>
      <w:r>
        <w:rPr>
          <w:rFonts w:ascii="Arial" w:cs="Arial" w:eastAsia="Arial" w:hAnsi="Arial"/>
          <w:b/>
          <w:bCs/>
        </w:rPr>
        <w:t xml:space="preserve">15.  </w:t>
      </w:r>
      <w:r>
        <w:rPr>
          <w:rFonts w:ascii="Arial" w:cs="Arial" w:eastAsia="Arial" w:hAnsi="Arial"/>
        </w:rPr>
        <w:t xml:space="preserve">A non-transitory computer-readable medium storing instructions which, when executed by one or more processors of an apparatus comprising a prompt set module, an evaluator-side proxy, a tagger, an audit store, a scoring module, and a report renderer, cause the apparatus to perform the method of claim 11.</w:t>
      </w:r>
    </w:p>
    <w:p>
      <w:r>
        <w:br w:type="page"/>
      </w:r>
    </w:p>
    <w:p>
      <w:pPr>
        <w:pStyle w:val="Heading1"/>
        <w:spacing w:after="240" w:before="360"/>
      </w:pPr>
      <w:r>
        <w:rPr>
          <w:rFonts w:ascii="Arial" w:cs="Arial" w:eastAsia="Arial" w:hAnsi="Arial"/>
          <w:b/>
          <w:bCs/>
          <w:sz w:val="28"/>
          <w:szCs w:val="28"/>
        </w:rPr>
        <w:t xml:space="preserve">ABSTRACT OF THE DISCLOSURE</w:t>
      </w:r>
    </w:p>
    <w:p>
      <w:pPr>
        <w:spacing w:after="240"/>
        <w:jc w:val="both"/>
      </w:pPr>
      <w:r>
        <w:rPr>
          <w:rFonts w:ascii="Arial" w:cs="Arial" w:eastAsia="Arial" w:hAnsi="Arial"/>
        </w:rPr>
        <w:t xml:space="preserve">Disclosed are an apparatus and a method for evaluating a deployed artificial-intelligence system through an evaluator-side proxy that operates exclusively against the system’s public interface. The apparatus comprises a prompt set module, an evaluator-side proxy, a tagger, an audit store, a scoring module, and a report renderer, enclosed by an apparatus boundary. The deployment under evaluation is disposed external to the apparatus boundary and is not instrumented, modified, or otherwise required to cooperate. The tagger decomposes captured verbatim responses into per-claim records under an invariant marker schema that records provenance, uncertainty, and refusal markers. The scoring module reduces stored records to a principle-indexed metric set bearing a status matrix, and the report renderer emits a structured Traceability Evaluation Report comparable across distinct deployments evaluated against the same principle index.</w:t>
      </w:r>
    </w:p>
    <w:p>
      <w:r>
        <w:br w:type="page"/>
      </w:r>
    </w:p>
    <w:p>
      <w:pPr>
        <w:pStyle w:val="Heading1"/>
        <w:spacing w:after="240" w:before="360"/>
      </w:pPr>
      <w:r>
        <w:rPr>
          <w:rFonts w:ascii="Arial" w:cs="Arial" w:eastAsia="Arial" w:hAnsi="Arial"/>
          <w:b/>
          <w:bCs/>
          <w:sz w:val="28"/>
          <w:szCs w:val="28"/>
        </w:rPr>
        <w:t xml:space="preserve">DRAFTING NOTES (NOT PART OF SPECIFICATION)</w:t>
      </w:r>
    </w:p>
    <w:p>
      <w:pPr>
        <w:spacing w:after="160"/>
        <w:jc w:val="both"/>
      </w:pPr>
      <w:r>
        <w:rPr>
          <w:rFonts w:ascii="Arial" w:cs="Arial" w:eastAsia="Arial" w:hAnsi="Arial"/>
          <w:b/>
          <w:bCs/>
        </w:rPr>
        <w:t xml:space="preserve">[0058]  </w:t>
      </w:r>
      <w:r>
        <w:rPr>
          <w:rFonts w:ascii="Arial" w:cs="Arial" w:eastAsia="Arial" w:hAnsi="Arial"/>
        </w:rPr>
        <w:t xml:space="preserve">This draft was prepared by the inventor with AI assistance for the purpose of obtaining counsel review. The following items are flagged for counsel attention before filing:</w:t>
      </w:r>
    </w:p>
    <w:p>
      <w:pPr>
        <w:pStyle w:val="ListParagraph"/>
        <w:numPr>
          <w:ilvl w:val="0"/>
          <w:numId w:val="2"/>
        </w:numPr>
        <w:spacing w:after="80"/>
      </w:pPr>
      <w:r>
        <w:rPr>
          <w:rFonts w:ascii="Arial" w:cs="Arial" w:eastAsia="Arial" w:hAnsi="Arial"/>
        </w:rPr>
        <w:t xml:space="preserve">Claim shape: claims 1, 11, and 15 are drafted as independent claims (apparatus, method, and computer-readable medium respectively); claims 2–10 and 12–14 are drafted as dependent claims. Counsel may wish to restructure with the apparatus claim as primary and the method claim as separately presented under any restriction-requirement strategy.</w:t>
      </w:r>
    </w:p>
    <w:p>
      <w:pPr>
        <w:pStyle w:val="ListParagraph"/>
        <w:numPr>
          <w:ilvl w:val="0"/>
          <w:numId w:val="2"/>
        </w:numPr>
        <w:spacing w:after="80"/>
      </w:pPr>
      <w:r>
        <w:rPr>
          <w:rFonts w:ascii="Arial" w:cs="Arial" w:eastAsia="Arial" w:hAnsi="Arial"/>
        </w:rPr>
        <w:t xml:space="preserve">Schema specificity: claim 5 recites schema invariance. Counsel should evaluate the appropriate level of abstraction; too concrete invites design-around, too abstract invites § 101 abstract-idea rejection.</w:t>
      </w:r>
    </w:p>
    <w:p>
      <w:pPr>
        <w:pStyle w:val="ListParagraph"/>
        <w:numPr>
          <w:ilvl w:val="0"/>
          <w:numId w:val="2"/>
        </w:numPr>
        <w:spacing w:after="80"/>
      </w:pPr>
      <w:r>
        <w:rPr>
          <w:rFonts w:ascii="Arial" w:cs="Arial" w:eastAsia="Arial" w:hAnsi="Arial"/>
        </w:rPr>
        <w:t xml:space="preserve">Public-interface limitation: the recitation that the apparatus operates without instrumentation, modification, or cooperation appears in claim 1 (apparatus) and claim 11 (method). Counsel may wish to consider whether this limitation should be elevated to a separate independent claim or restated in language that more clearly distinguishes the apparatus from ordinary API consumption.</w:t>
      </w:r>
    </w:p>
    <w:p>
      <w:pPr>
        <w:pStyle w:val="ListParagraph"/>
        <w:numPr>
          <w:ilvl w:val="0"/>
          <w:numId w:val="2"/>
        </w:numPr>
        <w:spacing w:after="80"/>
      </w:pPr>
      <w:r>
        <w:rPr>
          <w:rFonts w:ascii="Arial" w:cs="Arial" w:eastAsia="Arial" w:hAnsi="Arial"/>
        </w:rPr>
        <w:t xml:space="preserve">Prior-art search: a formal prior-art search against LangSmith, Helicone, OpenLLMetry, RAGAS, TruLens, and patent-database entries in AI evaluation, RAG faithfulness, model observability, and hallucination detection should precede any non-provisional conversion.</w:t>
      </w:r>
    </w:p>
    <w:p>
      <w:pPr>
        <w:pStyle w:val="ListParagraph"/>
        <w:numPr>
          <w:ilvl w:val="0"/>
          <w:numId w:val="2"/>
        </w:numPr>
        <w:spacing w:after="80"/>
      </w:pPr>
      <w:r>
        <w:rPr>
          <w:rFonts w:ascii="Arial" w:cs="Arial" w:eastAsia="Arial" w:hAnsi="Arial"/>
        </w:rPr>
        <w:t xml:space="preserve">Public disclosure timeline: per the Invention Disclosure Memo §12, the inventor has begun preparing a public disclosure timeline. Counsel should confirm that no public disclosure has occurred more than one year prior to filing under § 102(b)(1).</w:t>
      </w:r>
    </w:p>
    <w:p>
      <w:pPr>
        <w:pStyle w:val="ListParagraph"/>
        <w:numPr>
          <w:ilvl w:val="0"/>
          <w:numId w:val="2"/>
        </w:numPr>
        <w:spacing w:after="80"/>
      </w:pPr>
      <w:r>
        <w:rPr>
          <w:rFonts w:ascii="Arial" w:cs="Arial" w:eastAsia="Arial" w:hAnsi="Arial"/>
        </w:rPr>
        <w:t xml:space="preserve">Inventorship: AI-assisted-inventions guidance under February 2024 USPTO guidance requires articulable human conception. Counsel should confirm inventorship and consider whether any co-inventor identification is needed against the cross-app embodiments enumerated in §2.6 of the Apparatus Graphs document.</w:t>
      </w:r>
    </w:p>
    <w:p>
      <w:pPr>
        <w:pStyle w:val="ListParagraph"/>
        <w:numPr>
          <w:ilvl w:val="0"/>
          <w:numId w:val="2"/>
        </w:numPr>
        <w:spacing w:after="80"/>
      </w:pPr>
      <w:r>
        <w:rPr>
          <w:rFonts w:ascii="Arial" w:cs="Arial" w:eastAsia="Arial" w:hAnsi="Arial"/>
        </w:rPr>
        <w:t xml:space="preserve">Drawings: drawings v0.1 are attached as the Halo Harness Patent Figures v0.1 PDF (4 figures, US Letter, B&amp;W line art). Five items for cleanup before non-provisional conversion are enumerated in figures/USPTO_COMPLIANCE_NOTES.md §2.</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i/>
        <w:iCs/>
        <w:sz w:val="18"/>
        <w:szCs w:val="18"/>
      </w:rPr>
      <w:t xml:space="preserve">Confidential — Attorney Review Draft — Not for Filing</w:t>
    </w:r>
    <w:r>
      <w:rPr>
        <w:rFonts w:ascii="Arial" w:cs="Arial" w:eastAsia="Arial" w:hAnsi="Arial"/>
      </w:rPr>
      <w:t xml:space="preserve">	</w:t>
    </w: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of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sz w:val="18"/>
        <w:szCs w:val="18"/>
      </w:rPr>
      <w:t xml:space="preserve">Halo Traceability Harness — Provisional Patent Application v0.1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sz w:val="30"/>
      <w:szCs w:val="30"/>
    </w:rPr>
  </w:style>
  <w:style w:type="paragraph" w:styleId="Heading2">
    <w:name w:val="Heading 2"/>
    <w:basedOn w:val="Normal"/>
    <w:next w:val="Normal"/>
    <w:qFormat/>
    <w:pPr>
      <w:spacing w:after="160" w:before="240"/>
      <w:outlineLvl w:val="1"/>
    </w:pPr>
    <w:rPr>
      <w:rFonts w:ascii="Arial" w:cs="Arial" w:eastAsia="Arial" w:hAnsi="Arial"/>
      <w:b/>
      <w:bCs/>
      <w:sz w:val="26"/>
      <w:szCs w:val="26"/>
    </w:rPr>
  </w:style>
  <w:style w:type="paragraph" w:styleId="Heading3">
    <w:name w:val="Heading 3"/>
    <w:basedOn w:val="Normal"/>
    <w:next w:val="Normal"/>
    <w:qFormat/>
    <w:pPr>
      <w:spacing w:after="12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Halo Traceability Harness — Provisional Patent Application v0.1 (DRAFT)</dc:title>
  <dc:creator>Jeffery Wade Hughes Jr.</dc:creator>
  <dc:description>Counsel-review draft of provisional patent application for the Halo Traceability Harness.</dc:description>
  <cp:lastModifiedBy>Un-named</cp:lastModifiedBy>
  <cp:revision>1</cp:revision>
  <dcterms:created xsi:type="dcterms:W3CDTF">2026-05-27T00:46:13.816Z</dcterms:created>
  <dcterms:modified xsi:type="dcterms:W3CDTF">2026-05-27T00:46:13.816Z</dcterms:modified>
</cp:coreProperties>
</file>

<file path=docProps/custom.xml><?xml version="1.0" encoding="utf-8"?>
<Properties xmlns="http://schemas.openxmlformats.org/officeDocument/2006/custom-properties" xmlns:vt="http://schemas.openxmlformats.org/officeDocument/2006/docPropsVTypes"/>
</file>