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sz w:val="22"/>
        </w:rPr>
      </w:pPr>
      <w:r>
        <w:rPr>
          <w:rStyle w:val="Strong"/>
          <w:b/>
          <w:bCs/>
          <w:sz w:val="22"/>
        </w:rPr>
        <w:t>1. Quality of Government (QoG)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Quality of Government Index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icrg_qog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Corruption Perceptions Index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ti_cpi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Government Effectiveness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wbgi_gee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Global Gender Gap Index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gggi_ggi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Gini Index (inequality)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wdi_gin</w:t>
      </w:r>
      <w:r>
        <w:rPr>
          <w:rStyle w:val="SourceText"/>
          <w:sz w:val="22"/>
        </w:rPr>
        <w:t>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Rule of Law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fh_rol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Central Bank Independence Index (weighted)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cbi_cbiw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Sustainability Index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bti_su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Global Militarization Index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bicc_gmi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Secondary School Enrollment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wdi_gers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Tax Revenue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wdi_taxrev</w:t>
      </w:r>
      <w:r>
        <w:rPr>
          <w:sz w:val="22"/>
        </w:rPr>
        <w:t xml:space="preserve"> </w:t>
      </w:r>
    </w:p>
    <w:p>
      <w:pPr>
        <w:pStyle w:val="Heading2"/>
        <w:bidi w:val="0"/>
        <w:jc w:val="start"/>
        <w:rPr>
          <w:sz w:val="22"/>
        </w:rPr>
      </w:pPr>
      <w:r>
        <w:rPr>
          <w:rStyle w:val="Strong"/>
          <w:b/>
          <w:bCs/>
          <w:sz w:val="22"/>
        </w:rPr>
        <w:t>2. REPDEM (Representative Democracy)</w:t>
      </w:r>
    </w:p>
    <w:p>
      <w:pPr>
        <w:pStyle w:val="BodyText"/>
        <w:bidi w:val="0"/>
        <w:jc w:val="start"/>
        <w:rPr>
          <w:sz w:val="22"/>
        </w:rPr>
      </w:pPr>
      <w:r>
        <w:rPr>
          <w:rStyle w:val="Strong"/>
          <w:sz w:val="22"/>
        </w:rPr>
        <w:t>Government &amp; Cabinet Characteristics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Prime Minister / Head of Government — </w:t>
      </w:r>
      <w:r>
        <w:rPr>
          <w:rStyle w:val="SourceText"/>
          <w:sz w:val="22"/>
        </w:rPr>
        <w:t>cab_name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Number of cabinet member parties — </w:t>
      </w:r>
      <w:r>
        <w:rPr>
          <w:rStyle w:val="SourceText"/>
          <w:sz w:val="22"/>
        </w:rPr>
        <w:t>cab_num_parties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Cabinet composition — </w:t>
      </w:r>
      <w:r>
        <w:rPr>
          <w:rStyle w:val="SourceText"/>
          <w:sz w:val="22"/>
        </w:rPr>
        <w:t>cab_composition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sz w:val="22"/>
        </w:rPr>
        <w:t xml:space="preserve">Type of government — </w:t>
      </w:r>
      <w:r>
        <w:rPr>
          <w:rStyle w:val="SourceText"/>
          <w:sz w:val="22"/>
        </w:rPr>
        <w:t>govtype</w:t>
      </w:r>
      <w:r>
        <w:rPr>
          <w:sz w:val="22"/>
        </w:rPr>
        <w:t xml:space="preserve"> </w:t>
      </w:r>
    </w:p>
    <w:p>
      <w:pPr>
        <w:pStyle w:val="BodyText"/>
        <w:bidi w:val="0"/>
        <w:jc w:val="start"/>
        <w:rPr>
          <w:sz w:val="22"/>
        </w:rPr>
      </w:pPr>
      <w:r>
        <w:rPr>
          <w:rStyle w:val="Strong"/>
          <w:sz w:val="22"/>
        </w:rPr>
        <w:t>Government Formation &amp; Duration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Formation duration — </w:t>
      </w:r>
      <w:r>
        <w:rPr>
          <w:rStyle w:val="SourceText"/>
          <w:sz w:val="22"/>
        </w:rPr>
        <w:t>form_duration_alt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Cabinet duration (days) — </w:t>
      </w:r>
      <w:r>
        <w:rPr>
          <w:rStyle w:val="SourceText"/>
          <w:sz w:val="22"/>
        </w:rPr>
        <w:t>cab_duration_days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sz w:val="22"/>
        </w:rPr>
        <w:t xml:space="preserve">Cabinet seat share — </w:t>
      </w:r>
      <w:r>
        <w:rPr>
          <w:rStyle w:val="SourceText"/>
          <w:sz w:val="22"/>
        </w:rPr>
        <w:t>cab_seatshare</w:t>
      </w:r>
      <w:r>
        <w:rPr>
          <w:sz w:val="22"/>
        </w:rPr>
        <w:t xml:space="preserve"> </w:t>
      </w:r>
    </w:p>
    <w:p>
      <w:pPr>
        <w:pStyle w:val="BodyText"/>
        <w:bidi w:val="0"/>
        <w:jc w:val="start"/>
        <w:rPr>
          <w:sz w:val="22"/>
        </w:rPr>
      </w:pPr>
      <w:r>
        <w:rPr>
          <w:rStyle w:val="Strong"/>
          <w:sz w:val="22"/>
        </w:rPr>
        <w:t>Parliament Structure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Total seats (lower chamber) — </w:t>
      </w:r>
      <w:r>
        <w:rPr>
          <w:rStyle w:val="SourceText"/>
          <w:sz w:val="22"/>
        </w:rPr>
        <w:t>seats_total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Number of parties in parliament — </w:t>
      </w:r>
      <w:r>
        <w:rPr>
          <w:rStyle w:val="SourceText"/>
          <w:sz w:val="22"/>
        </w:rPr>
        <w:t>num_parties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Effective number of parties — </w:t>
      </w:r>
      <w:r>
        <w:rPr>
          <w:rStyle w:val="SourceText"/>
          <w:sz w:val="22"/>
        </w:rPr>
        <w:t>enpp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sz w:val="22"/>
        </w:rPr>
        <w:t xml:space="preserve">Parliamentary polarization (left-right) — </w:t>
      </w:r>
      <w:r>
        <w:rPr>
          <w:rStyle w:val="SourceText"/>
          <w:sz w:val="22"/>
        </w:rPr>
        <w:t>parl_polar_ches</w:t>
      </w:r>
      <w:r>
        <w:rPr>
          <w:sz w:val="22"/>
        </w:rPr>
        <w:t xml:space="preserve"> </w:t>
      </w:r>
    </w:p>
    <w:p>
      <w:pPr>
        <w:pStyle w:val="BodyText"/>
        <w:bidi w:val="0"/>
        <w:jc w:val="start"/>
        <w:rPr>
          <w:sz w:val="22"/>
        </w:rPr>
      </w:pPr>
      <w:r>
        <w:rPr>
          <w:rStyle w:val="Strong"/>
          <w:sz w:val="22"/>
        </w:rPr>
        <w:t>Temporal Markers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Election date (lower house) — </w:t>
      </w:r>
      <w:r>
        <w:rPr>
          <w:rStyle w:val="SourceText"/>
          <w:sz w:val="22"/>
        </w:rPr>
        <w:t>elecdate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sz w:val="22"/>
        </w:rPr>
        <w:t xml:space="preserve">Government start date — </w:t>
      </w:r>
      <w:r>
        <w:rPr>
          <w:rStyle w:val="SourceText"/>
          <w:sz w:val="22"/>
        </w:rPr>
        <w:t>date_in</w:t>
      </w:r>
      <w:r>
        <w:rPr>
          <w:sz w:val="22"/>
        </w:rPr>
        <w:t xml:space="preserve"> </w:t>
      </w:r>
    </w:p>
    <w:p>
      <w:pPr>
        <w:pStyle w:val="Heading2"/>
        <w:bidi w:val="0"/>
        <w:jc w:val="start"/>
        <w:rPr>
          <w:sz w:val="22"/>
        </w:rPr>
      </w:pPr>
      <w:r>
        <w:rPr>
          <w:rStyle w:val="Strong"/>
          <w:b/>
          <w:bCs/>
          <w:sz w:val="22"/>
        </w:rPr>
        <w:t>4. V-Dem (Varieties of Democracy)</w:t>
      </w:r>
    </w:p>
    <w:p>
      <w:pPr>
        <w:pStyle w:val="Heading3"/>
        <w:bidi w:val="0"/>
        <w:jc w:val="start"/>
        <w:rPr>
          <w:sz w:val="22"/>
        </w:rPr>
      </w:pPr>
      <w:r>
        <w:rPr>
          <w:rStyle w:val="Strong"/>
          <w:b/>
          <w:bCs/>
          <w:sz w:val="22"/>
        </w:rPr>
        <w:t>Core Democracy Indices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Electoral Democracy Index — </w:t>
      </w:r>
      <w:r>
        <w:rPr>
          <w:rStyle w:val="SourceText"/>
          <w:sz w:val="22"/>
        </w:rPr>
        <w:t>v2x_polyarchy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Liberal Democracy Index — </w:t>
      </w:r>
      <w:r>
        <w:rPr>
          <w:rStyle w:val="SourceText"/>
          <w:sz w:val="22"/>
        </w:rPr>
        <w:t>v2x_libdem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Participatory Democracy Index — </w:t>
      </w:r>
      <w:r>
        <w:rPr>
          <w:rStyle w:val="SourceText"/>
          <w:sz w:val="22"/>
        </w:rPr>
        <w:t>v2x_partipdem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Deliberative Democracy Index — </w:t>
      </w:r>
      <w:r>
        <w:rPr>
          <w:rStyle w:val="SourceText"/>
          <w:sz w:val="22"/>
        </w:rPr>
        <w:t>v2x_delibdem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sz w:val="22"/>
        </w:rPr>
        <w:t xml:space="preserve">Egalitarian Democracy Index — </w:t>
      </w:r>
      <w:r>
        <w:rPr>
          <w:rStyle w:val="SourceText"/>
          <w:sz w:val="22"/>
        </w:rPr>
        <w:t>v2x_egaldem</w:t>
      </w:r>
      <w:r>
        <w:rPr>
          <w:sz w:val="22"/>
        </w:rPr>
        <w:t xml:space="preserve"> </w:t>
      </w:r>
    </w:p>
    <w:p>
      <w:pPr>
        <w:pStyle w:val="Heading3"/>
        <w:bidi w:val="0"/>
        <w:jc w:val="start"/>
        <w:rPr>
          <w:sz w:val="22"/>
        </w:rPr>
      </w:pPr>
      <w:r>
        <w:rPr>
          <w:rStyle w:val="Strong"/>
          <w:b/>
          <w:bCs/>
          <w:sz w:val="22"/>
        </w:rPr>
        <w:t>Executive &amp; Institutional Behavior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Head of State / Government names — </w:t>
      </w:r>
      <w:r>
        <w:rPr>
          <w:rStyle w:val="SourceText"/>
          <w:sz w:val="22"/>
        </w:rPr>
        <w:t>v2exnamhos</w:t>
      </w:r>
      <w:r>
        <w:rPr>
          <w:sz w:val="22"/>
        </w:rPr>
        <w:t xml:space="preserve">, </w:t>
      </w:r>
      <w:r>
        <w:rPr>
          <w:rStyle w:val="SourceText"/>
          <w:sz w:val="22"/>
        </w:rPr>
        <w:t>v2exnamhog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Executive respects constitution — </w:t>
      </w:r>
      <w:r>
        <w:rPr>
          <w:rStyle w:val="SourceText"/>
          <w:sz w:val="22"/>
        </w:rPr>
        <w:t>v2exrescon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Executive corruption (bribery/exchange) — </w:t>
      </w:r>
      <w:r>
        <w:rPr>
          <w:rStyle w:val="SourceText"/>
          <w:sz w:val="22"/>
        </w:rPr>
        <w:t>v2exbribe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sz w:val="22"/>
        </w:rPr>
        <w:t xml:space="preserve">Executive oversight — </w:t>
      </w:r>
      <w:r>
        <w:rPr>
          <w:rStyle w:val="SourceText"/>
          <w:sz w:val="22"/>
        </w:rPr>
        <w:t>v2lgotovst</w:t>
      </w:r>
      <w:r>
        <w:rPr>
          <w:sz w:val="22"/>
        </w:rPr>
        <w:t xml:space="preserve"> </w:t>
      </w:r>
    </w:p>
    <w:p>
      <w:pPr>
        <w:pStyle w:val="Heading3"/>
        <w:bidi w:val="0"/>
        <w:jc w:val="start"/>
        <w:rPr>
          <w:sz w:val="22"/>
        </w:rPr>
      </w:pPr>
      <w:r>
        <w:rPr>
          <w:rStyle w:val="Strong"/>
          <w:b/>
          <w:bCs/>
          <w:sz w:val="22"/>
        </w:rPr>
        <w:t>Society &amp; Participation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Engaged society — </w:t>
      </w:r>
      <w:r>
        <w:rPr>
          <w:rStyle w:val="SourceText"/>
          <w:sz w:val="22"/>
        </w:rPr>
        <w:t>v2dlengage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sz w:val="22"/>
        </w:rPr>
        <w:t xml:space="preserve">Civil society consultation — </w:t>
      </w:r>
      <w:r>
        <w:rPr>
          <w:rStyle w:val="SourceText"/>
          <w:sz w:val="22"/>
        </w:rPr>
        <w:t>v2cscnsult</w:t>
      </w:r>
      <w:r>
        <w:rPr>
          <w:sz w:val="22"/>
        </w:rPr>
        <w:t xml:space="preserve"> </w:t>
      </w:r>
    </w:p>
    <w:p>
      <w:pPr>
        <w:pStyle w:val="Heading3"/>
        <w:bidi w:val="0"/>
        <w:jc w:val="start"/>
        <w:rPr>
          <w:sz w:val="22"/>
        </w:rPr>
      </w:pPr>
      <w:r>
        <w:rPr>
          <w:rStyle w:val="Strong"/>
          <w:b/>
          <w:bCs/>
          <w:sz w:val="22"/>
        </w:rPr>
        <w:t>Media &amp; Freedom Indicators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Government censorship effort — </w:t>
      </w:r>
      <w:r>
        <w:rPr>
          <w:rStyle w:val="SourceText"/>
          <w:sz w:val="22"/>
        </w:rPr>
        <w:t>v2mecenefm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Harassment of journalists — </w:t>
      </w:r>
      <w:r>
        <w:rPr>
          <w:rStyle w:val="SourceText"/>
          <w:sz w:val="22"/>
        </w:rPr>
        <w:t>v2meharjrn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</w:rPr>
      </w:pPr>
      <w:r>
        <w:rPr>
          <w:sz w:val="22"/>
        </w:rPr>
        <w:t xml:space="preserve">Academic Freedom Index — </w:t>
      </w:r>
      <w:r>
        <w:rPr>
          <w:rStyle w:val="SourceText"/>
          <w:sz w:val="22"/>
        </w:rPr>
        <w:t>v2xca_academ</w:t>
      </w:r>
      <w:r>
        <w:rPr>
          <w:sz w:val="22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sz w:val="22"/>
        </w:rPr>
        <w:t xml:space="preserve">Government misinformation (domestic) — </w:t>
      </w:r>
      <w:r>
        <w:rPr>
          <w:rStyle w:val="SourceText"/>
          <w:sz w:val="22"/>
        </w:rPr>
        <w:t>v2smgovdom</w:t>
      </w:r>
      <w:r>
        <w:rPr>
          <w:sz w:val="22"/>
        </w:rPr>
        <w:t xml:space="preserve"> </w:t>
      </w:r>
    </w:p>
    <w:p>
      <w:pPr>
        <w:pStyle w:val="Heading3"/>
        <w:bidi w:val="0"/>
        <w:jc w:val="start"/>
        <w:rPr>
          <w:sz w:val="22"/>
        </w:rPr>
      </w:pPr>
      <w:r>
        <w:rPr>
          <w:rStyle w:val="Strong"/>
          <w:b/>
          <w:bCs/>
          <w:sz w:val="22"/>
        </w:rPr>
        <w:t>Judicial &amp; Institutional Integrity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</w:rPr>
      </w:pPr>
      <w:r>
        <w:rPr>
          <w:sz w:val="22"/>
        </w:rPr>
        <w:t xml:space="preserve">Government attacks on judiciary — </w:t>
      </w:r>
      <w:r>
        <w:rPr>
          <w:rStyle w:val="SourceText"/>
          <w:sz w:val="22"/>
        </w:rPr>
        <w:t>v2jupoatck</w:t>
      </w:r>
    </w:p>
    <w:p>
      <w:pPr>
        <w:pStyle w:val="Normal"/>
        <w:bidi w:val="0"/>
        <w:jc w:val="start"/>
        <w:rPr>
          <w:sz w:val="22"/>
        </w:rPr>
      </w:pPr>
      <w:r>
        <w:rPr>
          <w:sz w:val="22"/>
        </w:rPr>
      </w:r>
    </w:p>
    <w:p>
      <w:pPr>
        <w:pStyle w:val="Normal"/>
        <w:bidi w:val="0"/>
        <w:jc w:val="start"/>
        <w:rPr>
          <w:sz w:val="22"/>
        </w:rPr>
      </w:pPr>
      <w:r>
        <w:rPr>
          <w:sz w:val="22"/>
        </w:rPr>
      </w:r>
    </w:p>
    <w:p>
      <w:pPr>
        <w:pStyle w:val="Normal"/>
        <w:bidi w:val="0"/>
        <w:jc w:val="start"/>
        <w:rPr>
          <w:sz w:val="22"/>
        </w:rPr>
      </w:pPr>
      <w:r>
        <w:rPr>
          <w:sz w:val="22"/>
        </w:rPr>
      </w:r>
    </w:p>
    <w:p>
      <w:pPr>
        <w:pStyle w:val="Heading2"/>
        <w:bidi w:val="0"/>
        <w:jc w:val="start"/>
        <w:rPr>
          <w:sz w:val="22"/>
        </w:rPr>
      </w:pPr>
      <w:r>
        <w:rPr>
          <w:rStyle w:val="Strong"/>
          <w:b/>
          <w:bCs/>
          <w:sz w:val="22"/>
        </w:rPr>
        <w:t>3. VIEWS (Conflict Prediction)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>
          <w:sz w:val="22"/>
        </w:rPr>
      </w:pPr>
      <w:r>
        <w:rPr>
          <w:rStyle w:val="Strong"/>
          <w:sz w:val="22"/>
        </w:rPr>
        <w:t>Predicted fatalities (conflict)</w:t>
      </w:r>
      <w:r>
        <w:rPr>
          <w:sz w:val="22"/>
        </w:rPr>
        <w:t xml:space="preserve"> — </w:t>
      </w:r>
      <w:r>
        <w:rPr>
          <w:rStyle w:val="SourceText"/>
          <w:sz w:val="22"/>
        </w:rPr>
        <w:t>main_mean</w:t>
      </w:r>
      <w:r>
        <w:rPr>
          <w:sz w:val="22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val="fullPage" w:percent="10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183</TotalTime>
  <Application>LibreOffice/25.2.3.2$Linux_X86_64 LibreOffice_project/520$Build-2</Application>
  <AppVersion>15.0000</AppVersion>
  <Pages>2</Pages>
  <Words>265</Words>
  <Characters>1812</Characters>
  <CharactersWithSpaces>2061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2026-04-15T14:17:51Z</dcterms:created>
  <dc:creator/>
  <dc:description/>
  <dc:language>en-GB</dc:language>
  <cp:lastModifiedBy/>
  <dcterms:modified xsi:type="dcterms:W3CDTF">2026-04-15T17:31:32Z</dcterms:modified>
  <cp:revision>1</cp:revision>
  <dc:subject/>
  <dc:title/>
</cp:coreProperties>
</file>