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564"/>
          <w:sz w:val="40"/>
        </w:rPr>
        <w:t>ReconX — Day 10 Tickets</w:t>
      </w:r>
    </w:p>
    <w:p>
      <w:pPr>
        <w:jc w:val="center"/>
      </w:pPr>
      <w:r>
        <w:rPr>
          <w:i/>
          <w:color w:val="2E74B5"/>
          <w:sz w:val="20"/>
        </w:rPr>
        <w:t>ADV146 – ADV165  |  Ticket descriptions and solution file locations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20</w:t>
              <w:br/>
            </w:r>
            <w:r>
              <w:rPr>
                <w:color w:val="D6E4F0"/>
                <w:sz w:val="16"/>
              </w:rPr>
              <w:t>Total Tickets</w:t>
            </w:r>
          </w:p>
        </w:tc>
        <w:tc>
          <w:tcPr>
            <w:tcW w:type="dxa" w:w="2493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17</w:t>
              <w:br/>
            </w:r>
            <w:r>
              <w:rPr>
                <w:color w:val="D6E4F0"/>
                <w:sz w:val="16"/>
              </w:rPr>
              <w:t>File Solutions</w:t>
            </w:r>
          </w:p>
        </w:tc>
        <w:tc>
          <w:tcPr>
            <w:tcW w:type="dxa" w:w="2493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  <w:br/>
            </w:r>
            <w:r>
              <w:rPr>
                <w:color w:val="D6E4F0"/>
                <w:sz w:val="16"/>
              </w:rPr>
              <w:t>Manual Steps</w:t>
            </w:r>
          </w:p>
        </w:tc>
        <w:tc>
          <w:tcPr>
            <w:tcW w:type="dxa" w:w="2493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ADV146–ADV165</w:t>
              <w:br/>
            </w:r>
            <w:r>
              <w:rPr>
                <w:color w:val="D6E4F0"/>
                <w:sz w:val="16"/>
              </w:rPr>
              <w:t>Ticket Range</w:t>
            </w:r>
          </w:p>
        </w:tc>
      </w:tr>
    </w:tbl>
    <w:p/>
    <w:p>
      <w:pPr>
        <w:pStyle w:val="Heading1"/>
      </w:pPr>
      <w:r>
        <w:rPr>
          <w:color w:val="2E74B5"/>
        </w:rPr>
        <w:t>1.  Containers &amp; Compose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6192"/>
        <w:gridCol w:w="3312"/>
      </w:tblGrid>
      <w:tr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Ticket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 File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ADV146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Backend multi-stage Dockerfile.</w:t>
              <w:br/>
              <w:t>Stage 1: compile the Spring Boot JAR using eclipse-temurin:21-jdk.</w:t>
              <w:br/>
              <w:t>Stage 2: copy only the JAR onto eclipse-temurin:21-jre-alpine to keep the final image small and secure.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backend/Dockerfile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ADV147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Frontend multi-stage Dockerfile + nginx config.</w:t>
              <w:br/>
              <w:t>node:22-alpine builds the React/Vite SPA (npm run build).</w:t>
              <w:br/>
              <w:t>nginx:1.27-alpine serves the dist/ folder.</w:t>
              <w:br/>
              <w:t>nginx.conf adds SPA fallback (try_files → index.html) and reverse-proxies /api/ calls to the backend container.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frontend/Dockerfile</w:t>
              <w:br/>
              <w:t>frontend/nginx.conf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ADV148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docker-compose.yml with all 7 services: postgres, zookeeper, kafka, backend, frontend, prometheus, grafana.</w:t>
              <w:br/>
              <w:t>Includes named volumes (postgres_data, grafana_data), a shared docker network, and healthcheck dependency gates so services start in the correct order.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docker-compose.yml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ADV151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Liquibase migrations must run automatically on container start.</w:t>
              <w:br/>
              <w:t>spring.liquibase.enabled: true must be set in application.yml.</w:t>
              <w:br/>
              <w:t>This is already present — no code change is needed. Just verify it has not been overridden in any environment profile.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Already in:</w:t>
              <w:br/>
              <w:t>backend/src/main/resources/</w:t>
              <w:br/>
              <w:t>application.yml</w:t>
              <w:br/>
              <w:t>(no change needed)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ADV152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Every container's healthcheck must pass in isolation.</w:t>
              <w:br/>
              <w:t>Backend depends on postgres (service_healthy) and kafka (service_healthy).</w:t>
              <w:br/>
              <w:t>Frontend depends on backend (service_healthy).</w:t>
              <w:br/>
              <w:t>This prevents race conditions where a service starts before its dependencies are ready.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Already handled inside:</w:t>
              <w:br/>
              <w:t>day10-solved-files/</w:t>
              <w:br/>
              <w:t>docker-compose.yml</w:t>
              <w:br/>
              <w:t>(healthcheck block on every service)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ADV153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Automated smoke-test shell script.</w:t>
              <w:br/>
              <w:t>Brings up the full stack, waits for the backend to be healthy, then:</w:t>
              <w:br/>
              <w:t xml:space="preserve">  • POSTs /auth/login to obtain a JWT</w:t>
              <w:br/>
              <w:t xml:space="preserve">  • POSTs /trades to create a trade</w:t>
              <w:br/>
              <w:t xml:space="preserve">  • GETs /trades/{id} to verify persistence</w:t>
              <w:br/>
              <w:t xml:space="preserve">  • Checks /actuator/prometheus for JVM metrics</w:t>
              <w:br/>
              <w:t xml:space="preserve">  • Checks Prometheus targets via its API</w:t>
              <w:br/>
              <w:t>Tears down the stack on completion or failure.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scripts/smoke-test.sh</w:t>
            </w:r>
          </w:p>
        </w:tc>
      </w:tr>
    </w:tbl>
    <w:p/>
    <w:p>
      <w:pPr>
        <w:pStyle w:val="Heading1"/>
      </w:pPr>
      <w:r>
        <w:rPr>
          <w:color w:val="2E74B5"/>
        </w:rPr>
        <w:t>2. 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6192"/>
        <w:gridCol w:w="3312"/>
      </w:tblGrid>
      <w:tr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Ticket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 File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ADV149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Prometheus scrape config + alert rules.</w:t>
              <w:br/>
              <w:t>Scrapes backend:8081/api/actuator/prometheus every 10 seconds.</w:t>
              <w:br/>
              <w:t>Three alert rules are wired in alerts.yml:</w:t>
              <w:br/>
              <w:t xml:space="preserve">  • TooManyReconBreaks — fires if open breaks &gt; 50 for 5 min (warning)</w:t>
              <w:br/>
              <w:t xml:space="preserve">  • HighApiLatencyP95 — fires if P95 latency &gt; 500ms for 3 min (warning)</w:t>
              <w:br/>
              <w:t xml:space="preserve">  • KafkaDlqGrowing — fires if any message lands in the DLQ (critical)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monitoring/prometheus/</w:t>
              <w:br/>
              <w:t xml:space="preserve">  prometheus.yml</w:t>
              <w:br/>
              <w:t xml:space="preserve">  alerts.yml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ADV150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Grafana provisioning — zero manual setup required.</w:t>
              <w:br/>
              <w:t>Datasource YAML: wires Grafana to Prometheus automatically on first container start.</w:t>
              <w:br/>
              <w:t>Dashboard provisioning YAML: tells Grafana where to load JSON files from.</w:t>
              <w:br/>
              <w:t>reconx-overview.json: the baseline ReconX dashboard with trade rate, recon latency, Kafka consumer lag, JVM heap, and CPU panels.</w:t>
              <w:br/>
              <w:t>Everything loads automatically on docker compose up.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monitoring/grafana/</w:t>
              <w:br/>
              <w:t>provisioning/</w:t>
              <w:br/>
              <w:t xml:space="preserve">  datasources/</w:t>
              <w:br/>
              <w:t xml:space="preserve">    prometheus.yml</w:t>
              <w:br/>
              <w:t xml:space="preserve">  dashboards/</w:t>
              <w:br/>
              <w:t xml:space="preserve">    reconx.yml</w:t>
              <w:br/>
              <w:t xml:space="preserve">    reconx-overview.json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ADV159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Screenshots for the demo deck — this is a manual step.</w:t>
              <w:br/>
              <w:t>Take 3 screenshots while the stack is running and save them in a screenshots/ folder in the project root:</w:t>
              <w:br/>
              <w:t xml:space="preserve">  01-stack-healthy.png — docker compose ps showing all services healthy</w:t>
              <w:br/>
              <w:t xml:space="preserve">  02-grafana-under-load.png — Grafana panels while k6 load test is running</w:t>
              <w:br/>
              <w:t xml:space="preserve">  03-k6-results.png — k6 terminal output showing pass/fail summary</w:t>
              <w:br/>
              <w:t>Use these as backup slides if the live demo has issues.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MANUAL STEP</w:t>
              <w:br/>
              <w:t>Save to: screenshots/</w:t>
              <w:br/>
              <w:t>(no solved file — you take</w:t>
              <w:br/>
              <w:t>the screenshots yourself)</w:t>
            </w:r>
          </w:p>
        </w:tc>
      </w:tr>
    </w:tbl>
    <w:p/>
    <w:p>
      <w:pPr>
        <w:pStyle w:val="Heading1"/>
      </w:pPr>
      <w:r>
        <w:rPr>
          <w:color w:val="2E74B5"/>
        </w:rPr>
        <w:t>3.  CI &amp; Quality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6192"/>
        <w:gridCol w:w="3312"/>
      </w:tblGrid>
      <w:tr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Ticket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 File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ADV154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GitHub Actions CI workflow.</w:t>
              <w:br/>
              <w:t>Triggers on: push to main, any v* version tag, pull requests to main.</w:t>
              <w:br/>
              <w:t>Runs 3 jobs:</w:t>
              <w:br/>
              <w:t xml:space="preserve">  1. backend — sets up Postgres service container, runs Liquibase validate, then mvn verify -Pci (tests + JaCoCo + Checkstyle), uploads reports as artefacts.</w:t>
              <w:br/>
              <w:t xml:space="preserve">  2. frontend — runs npm ci and npm run build.</w:t>
              <w:br/>
              <w:t xml:space="preserve">  3. docker — runs only on push (not PRs), logs into GHCR using GITHUB_TOKEN, builds and pushes both images tagged with semver and SHA.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.github/workflows/</w:t>
              <w:br/>
              <w:t xml:space="preserve">  ci.yml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ADV155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Liquibase validate step in CI — runs before mvn verify.</w:t>
              <w:br/>
              <w:t>Uses the liquibase:validate Maven goal against the CI Postgres service container.</w:t>
              <w:br/>
              <w:t>If any changelog XML is syntactically broken or references a missing include file, the build fails immediately with a clear error message before wasting time on compilation and tests.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Inside ci.yml</w:t>
              <w:br/>
              <w:t>"Liquibase validate" step</w:t>
              <w:br/>
              <w:t>in the backend job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ADV156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JaCoCo Maven plugin with 85% line-coverage gate.</w:t>
              <w:br/>
              <w:t>Adds the jacoco:check goal to the verify phase.</w:t>
              <w:br/>
              <w:t>Build fails with BUILD FAILURE if the total line coverage ratio drops below 0.85.</w:t>
              <w:br/>
              <w:t>Excludes generated/boilerplate classes:</w:t>
              <w:br/>
              <w:t xml:space="preserve">  • ReconxApplication (entry point)</w:t>
              <w:br/>
              <w:t xml:space="preserve">  • com/dbtraining/reconx/dto/**</w:t>
              <w:br/>
              <w:t xml:space="preserve">  • com/dbtraining/reconx/domain/**</w:t>
              <w:br/>
              <w:t xml:space="preserve">  • com/dbtraining/reconx/mapper/**</w:t>
              <w:br/>
              <w:t>Coverage HTML report is written to target/site/jacoco/index.html.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backend/pom.xml</w:t>
              <w:br/>
              <w:t>(jacoco-maven-plugin</w:t>
              <w:br/>
              <w:t>+ ci Maven profile)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ADV157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Checkstyle static analysis with a Google-style ruleset.</w:t>
              <w:br/>
              <w:t>maven-checkstyle-plugin is bound to the validate phase (runs before compile).</w:t>
              <w:br/>
              <w:t>Build fails on any violation with file name, line number, and rule name.</w:t>
              <w:br/>
              <w:t>Rules enforced:</w:t>
              <w:br/>
              <w:t xml:space="preserve">  • No star imports or unused imports</w:t>
              <w:br/>
              <w:t xml:space="preserve">  • Braces required on all blocks (if, for, while, catch)</w:t>
              <w:br/>
              <w:t xml:space="preserve">  • 120-character line length limit</w:t>
              <w:br/>
              <w:t xml:space="preserve">  • Correct Java modifier order</w:t>
              <w:br/>
              <w:t xml:space="preserve">  • No tab characters — spaces only</w:t>
              <w:br/>
              <w:t xml:space="preserve">  • No trailing whitespace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backend/pom.xml</w:t>
              <w:br/>
              <w:t>backend/checkstyle.xml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ADV158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k6 load test — 200 concurrent virtual users for 60 seconds.</w:t>
              <w:br/>
              <w:t>Each VU authenticates once in the setup() function to get a JWT.</w:t>
              <w:br/>
              <w:t>Each iteration posts a trade with a unique tradeRef (VU + iteration number).</w:t>
              <w:br/>
              <w:t>Thresholds (build fails if breached):</w:t>
              <w:br/>
              <w:t xml:space="preserve">  • http_req_failed &lt; 1%</w:t>
              <w:br/>
              <w:t xml:space="preserve">  • http_req_duration p(95) &lt; 800ms</w:t>
              <w:br/>
              <w:t>Custom k6 metrics tracked:</w:t>
              <w:br/>
              <w:t xml:space="preserve">  • trades_created_total (Counter)</w:t>
              <w:br/>
              <w:t xml:space="preserve">  • trade_create_duration_ms (Trend)</w:t>
              <w:br/>
              <w:t xml:space="preserve">  • trade_create_error_rate (Rate)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load-tests/</w:t>
              <w:br/>
              <w:t xml:space="preserve">  trade-creation.js</w:t>
            </w:r>
          </w:p>
        </w:tc>
      </w:tr>
    </w:tbl>
    <w:p/>
    <w:p>
      <w:pPr>
        <w:pStyle w:val="Heading1"/>
      </w:pPr>
      <w:r>
        <w:rPr>
          <w:color w:val="2E74B5"/>
        </w:rPr>
        <w:t>4.  Docs &amp;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6192"/>
        <w:gridCol w:w="3312"/>
      </w:tblGrid>
      <w:tr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Ticket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24"/>
            <w:shd w:val="clear" w:color="auto" w:fill="1F356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 File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ADV160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Mermaid C4 architecture diagrams at three levels.</w:t>
              <w:br/>
              <w:t>Level 1 — System Context: shows actors (Trader, Admin) and external systems (OMS, PMS, Grafana) interacting with ReconX.</w:t>
              <w:br/>
              <w:t>Level 2 — Container: shows all 7 services, their technology, and communication paths (HTTPS, Kafka, JDBC, PromQL).</w:t>
              <w:br/>
              <w:t>Level 3 — Component: zooms into the Spring Boot backend showing all controllers, services, Kafka consumers/producers, repositories, and cross-cutting components (JWT filter, Micrometer metrics).</w:t>
              <w:br/>
              <w:t>Renderable at mermaid.live or in GitHub Markdown.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db/diagrams/</w:t>
              <w:br/>
              <w:t xml:space="preserve">  architecture.md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ADV161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Comprehensive top-level README.md.</w:t>
              <w:br/>
              <w:t>Covers:</w:t>
              <w:br/>
              <w:t xml:space="preserve">  • Project description and what ReconX does</w:t>
              <w:br/>
              <w:t xml:space="preserve">  • ASCII + C4 architecture diagram reference</w:t>
              <w:br/>
              <w:t xml:space="preserve">  • Quick start with Docker Compose (step by step)</w:t>
              <w:br/>
              <w:t xml:space="preserve">  • Per-layer run instructions (backend dev mode, frontend dev server, tests, k6)</w:t>
              <w:br/>
              <w:t xml:space="preserve">  • Full project directory tree with annotations</w:t>
              <w:br/>
              <w:t xml:space="preserve">  • CI/CD pipeline explanation and release tagging</w:t>
              <w:br/>
              <w:t xml:space="preserve">  • Key design decisions table (8 decisions with rationale)</w:t>
              <w:br/>
              <w:t xml:space="preserve">  • Troubleshooting section (6 common problems + fixes)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README.md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ADV162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10-slide demo deck in Markdown format.</w:t>
              <w:br/>
              <w:t>Slide topics:</w:t>
              <w:br/>
              <w:t xml:space="preserve">  1. Title  |  2. The problem we solved</w:t>
              <w:br/>
              <w:t xml:space="preserve">  3. System architecture  |  4. Tech stack decisions</w:t>
              <w:br/>
              <w:t xml:space="preserve">  5. Kafka pipeline flow  |  6. Audit trail (Envers)</w:t>
              <w:br/>
              <w:t xml:space="preserve">  7. Observability (Grafana panels)  |  8. CI &amp; quality gates</w:t>
              <w:br/>
              <w:t xml:space="preserve">  9. Live demo path  |  10. Retro highlights &amp; next steps</w:t>
              <w:br/>
              <w:t>Each slide includes speaker notes.</w:t>
              <w:br/>
              <w:t>Convert to .pptx or .pdf using Marp CLI, Slidev, or Pandoc.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docs/demo-deck.md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ADV163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20-minute demo runsheet with 8 timed segments.</w:t>
              <w:br/>
              <w:t>Segment 1 (2 min): Stack startup — docker compose up, watch health</w:t>
              <w:br/>
              <w:t>Segment 2 (3 min): Swagger API — auth, POST trade, GET trade</w:t>
              <w:br/>
              <w:t>Segment 3 (3 min): SPA — login, create trades, show SSE live feed</w:t>
              <w:br/>
              <w:t>Segment 4 (2 min): Kafdrop — show 4 Kafka topics and message payloads</w:t>
              <w:br/>
              <w:t>Segment 5 (2 min): Audit trail — GET /audit/trades/{id}/history</w:t>
              <w:br/>
              <w:t>Segment 6 (4 min): k6 load test while narrating Grafana panels</w:t>
              <w:br/>
              <w:t>Segment 7 (2 min): CI pipeline walkthrough on GitHub Actions</w:t>
              <w:br/>
              <w:t>Segment 8 (2 min): Q&amp;A buffer with prepared answers</w:t>
              <w:br/>
              <w:t>Includes exact commands per segment and a contingency table.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docs/demo-runsheet.md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ADV164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Tag v1.0.0 and push to trigger the versioned release.</w:t>
              <w:br/>
              <w:t>Run after CI is green on main.</w:t>
              <w:br/>
              <w:t>Commands:</w:t>
              <w:br/>
              <w:t xml:space="preserve">  git tag -a v1.0.0 -m "Release 1.0.0 — ReconX Advanced Track"</w:t>
              <w:br/>
              <w:t xml:space="preserve">  git push origin v1.0.0</w:t>
              <w:br/>
              <w:t>This triggers the CI docker job which builds images tagged 1.0.0 and pushes them to GHCR:</w:t>
              <w:br/>
              <w:t xml:space="preserve">  ghcr.io/&lt;org&gt;/reconx-backend:1.0.0</w:t>
              <w:br/>
              <w:t xml:space="preserve">  ghcr.io/&lt;org&gt;/reconx-frontend:1.0.0</w:t>
            </w:r>
          </w:p>
        </w:tc>
        <w:tc>
          <w:tcPr>
            <w:tcW w:type="dxa" w:w="3324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MANUAL STEP</w:t>
              <w:br/>
              <w:t>(git tag + push commands</w:t>
              <w:br/>
              <w:t>— no file in solved folder)</w:t>
            </w:r>
          </w:p>
        </w:tc>
      </w:tr>
      <w:tr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b/>
                <w:color w:val="C00000"/>
                <w:sz w:val="18"/>
              </w:rPr>
              <w:t>ADV165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Retrospective document covering the full 10-day sprint.</w:t>
              <w:br/>
              <w:t>Four sections:</w:t>
              <w:br/>
              <w:t xml:space="preserve">  1. What went well — Testcontainers, Envers, Grafana provisioning, compose DX</w:t>
              <w:br/>
              <w:t xml:space="preserve">  2. What slowed us down — Kafka port config, JWT k6 expiry, JaCoCo exclusions, Grafana datasource URL</w:t>
              <w:br/>
              <w:t xml:space="preserve">  3. Design decisions to revisit — single Maven module, no schema registry, hard-coded seed user</w:t>
              <w:br/>
              <w:t xml:space="preserve">  4. What to change next time — k6 in CI, Helm chart, OTel tracing, contract tests</w:t>
              <w:br/>
              <w:t xml:space="preserve">  5. Key technical learnings — 5 concrete lessons with explanations</w:t>
            </w:r>
          </w:p>
        </w:tc>
        <w:tc>
          <w:tcPr>
            <w:tcW w:type="dxa" w:w="3324"/>
            <w:shd w:val="clear" w:color="auto" w:fill="D6E4F0"/>
            <w:vAlign w:val="center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  <w:insideH w:val="single" w:sz="4" w:space="0" w:color="4472C4"/>
              <w:insideV w:val="single" w:sz="4" w:space="0" w:color="4472C4"/>
            </w:tcBorders>
          </w:tcPr>
          <w:p>
            <w:pPr>
              <w:jc w:val="left"/>
            </w:pPr>
            <w:r>
              <w:rPr>
                <w:sz w:val="18"/>
              </w:rPr>
              <w:t>day10-solved-files/</w:t>
              <w:br/>
              <w:t>docs/retro.md</w:t>
            </w:r>
          </w:p>
        </w:tc>
      </w:tr>
    </w:tbl>
    <w:p/>
    <w:p>
      <w:pPr>
        <w:jc w:val="center"/>
      </w:pPr>
      <w:r>
        <w:rPr>
          <w:i/>
          <w:color w:val="2E74B5"/>
          <w:sz w:val="16"/>
        </w:rPr>
        <w:t>All solution files live in the day10-solved-files/ folder. Apply them using the cp / Copy-Item commands in WHERE-TO-PASTE.md or follow the "For Students — Start Here" section in README.md.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