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3B5" w:rsidRDefault="008F03B5">
      <w:pPr>
        <w:pStyle w:val="a3"/>
        <w:spacing w:before="5"/>
        <w:rPr>
          <w:rFonts w:ascii="Times New Roman"/>
          <w:sz w:val="6"/>
        </w:rPr>
      </w:pPr>
    </w:p>
    <w:p w:rsidR="008F03B5" w:rsidRDefault="008F03B5">
      <w:pPr>
        <w:pStyle w:val="a3"/>
        <w:rPr>
          <w:sz w:val="20"/>
        </w:rPr>
      </w:pPr>
    </w:p>
    <w:p w:rsidR="008F03B5" w:rsidRDefault="008F03B5">
      <w:pPr>
        <w:pStyle w:val="a3"/>
        <w:rPr>
          <w:sz w:val="20"/>
        </w:rPr>
      </w:pPr>
    </w:p>
    <w:p w:rsidR="008F03B5" w:rsidRDefault="008F03B5">
      <w:pPr>
        <w:pStyle w:val="a3"/>
        <w:rPr>
          <w:sz w:val="20"/>
        </w:rPr>
      </w:pPr>
    </w:p>
    <w:p w:rsidR="008F03B5" w:rsidRDefault="00586B9B">
      <w:pPr>
        <w:spacing w:before="201"/>
        <w:ind w:left="818" w:right="894"/>
        <w:jc w:val="center"/>
        <w:rPr>
          <w:b/>
          <w:sz w:val="36"/>
        </w:rPr>
      </w:pPr>
      <w:r>
        <w:rPr>
          <w:b/>
          <w:color w:val="44536A"/>
          <w:sz w:val="36"/>
        </w:rPr>
        <w:t>Section I</w:t>
      </w:r>
    </w:p>
    <w:p w:rsidR="008F03B5" w:rsidRDefault="008F03B5">
      <w:pPr>
        <w:pStyle w:val="a3"/>
        <w:rPr>
          <w:b/>
          <w:sz w:val="36"/>
        </w:rPr>
      </w:pPr>
    </w:p>
    <w:p w:rsidR="008F03B5" w:rsidRDefault="008F03B5">
      <w:pPr>
        <w:pStyle w:val="a3"/>
        <w:rPr>
          <w:b/>
          <w:sz w:val="36"/>
        </w:rPr>
      </w:pPr>
    </w:p>
    <w:p w:rsidR="008F03B5" w:rsidRDefault="008F03B5">
      <w:pPr>
        <w:pStyle w:val="a3"/>
        <w:rPr>
          <w:b/>
          <w:sz w:val="36"/>
        </w:rPr>
      </w:pPr>
    </w:p>
    <w:p w:rsidR="008F03B5" w:rsidRDefault="00586B9B" w:rsidP="00CC01A0">
      <w:pPr>
        <w:spacing w:before="265"/>
        <w:ind w:left="813" w:right="895"/>
        <w:jc w:val="center"/>
        <w:rPr>
          <w:b/>
          <w:sz w:val="36"/>
        </w:rPr>
      </w:pPr>
      <w:r>
        <w:rPr>
          <w:b/>
          <w:color w:val="44536A"/>
          <w:sz w:val="36"/>
        </w:rPr>
        <w:t>Management of Hyperkalaemia</w:t>
      </w:r>
      <w:r w:rsidR="00CC01A0">
        <w:rPr>
          <w:b/>
          <w:color w:val="44536A"/>
          <w:sz w:val="36"/>
        </w:rPr>
        <w:t xml:space="preserve"> </w:t>
      </w:r>
      <w:r>
        <w:rPr>
          <w:b/>
          <w:color w:val="44536A"/>
          <w:sz w:val="36"/>
        </w:rPr>
        <w:t>in the Community and Out-patient Clinic</w:t>
      </w:r>
    </w:p>
    <w:p w:rsidR="008F03B5" w:rsidRDefault="008F03B5">
      <w:pPr>
        <w:jc w:val="center"/>
        <w:rPr>
          <w:sz w:val="36"/>
        </w:rPr>
        <w:sectPr w:rsidR="008F03B5">
          <w:headerReference w:type="default" r:id="rId7"/>
          <w:footerReference w:type="default" r:id="rId8"/>
          <w:pgSz w:w="11910" w:h="16840"/>
          <w:pgMar w:top="1540" w:right="780" w:bottom="1100" w:left="860" w:header="425" w:footer="912" w:gutter="0"/>
          <w:cols w:space="720"/>
        </w:sectPr>
      </w:pPr>
    </w:p>
    <w:p w:rsidR="008F03B5" w:rsidRDefault="00586B9B">
      <w:pPr>
        <w:pStyle w:val="1"/>
      </w:pPr>
      <w:bookmarkStart w:id="0" w:name="_bookmark7"/>
      <w:bookmarkEnd w:id="0"/>
      <w:r>
        <w:rPr>
          <w:color w:val="44536A"/>
        </w:rPr>
        <w:lastRenderedPageBreak/>
        <w:t>Hyperkalaemia in the Community (Guidelines 1.1 – 12.1)</w:t>
      </w:r>
    </w:p>
    <w:p w:rsidR="008F03B5" w:rsidRDefault="008F03B5">
      <w:pPr>
        <w:pStyle w:val="a3"/>
        <w:rPr>
          <w:b/>
          <w:sz w:val="28"/>
        </w:rPr>
      </w:pPr>
    </w:p>
    <w:p w:rsidR="008F03B5" w:rsidRDefault="00586B9B">
      <w:pPr>
        <w:pStyle w:val="2"/>
        <w:spacing w:before="216"/>
      </w:pPr>
      <w:bookmarkStart w:id="1" w:name="_bookmark8"/>
      <w:bookmarkEnd w:id="1"/>
      <w:r>
        <w:rPr>
          <w:color w:val="1F4E79"/>
        </w:rPr>
        <w:t>Introduction</w:t>
      </w:r>
    </w:p>
    <w:p w:rsidR="008F03B5" w:rsidRDefault="00586B9B">
      <w:pPr>
        <w:pStyle w:val="a3"/>
        <w:spacing w:before="40" w:line="276" w:lineRule="auto"/>
        <w:ind w:left="217" w:right="339"/>
      </w:pPr>
      <w:r>
        <w:t>Hyperkalaemia is commonly detected in the community and the patient groups most at risk are those with CKD, diabetes mellitus and heart failure. Hyperkalaemia may also occur in the context of an AKI triggered by acute illness, initiation or titration of RAASi medications, or worsening of heart failure</w:t>
      </w:r>
      <w:r w:rsidR="00903055">
        <w:t>.</w:t>
      </w:r>
      <w:r w:rsidR="00903055">
        <w:rPr>
          <w:vertAlign w:val="superscript"/>
        </w:rPr>
        <w:t>1</w:t>
      </w:r>
      <w:r w:rsidR="00903055">
        <w:t xml:space="preserve"> </w:t>
      </w:r>
      <w:r w:rsidR="00903055">
        <w:rPr>
          <w:rFonts w:ascii="宋体" w:eastAsia="宋体" w:hAnsi="宋体" w:cs="宋体" w:hint="eastAsia"/>
        </w:rPr>
        <w:t>。。</w:t>
      </w:r>
      <w:r w:rsidR="00903055">
        <w:t>H</w:t>
      </w:r>
      <w:r>
        <w:t>yperkalaemia develops in approximately 10% of out-patients within one year after initiation of RAASi drugs, thereby limiting treatment in the patients who receive the greatest benefit from this therapy.</w:t>
      </w:r>
      <w:r>
        <w:rPr>
          <w:vertAlign w:val="superscript"/>
        </w:rPr>
        <w:t>2</w:t>
      </w:r>
    </w:p>
    <w:p w:rsidR="008F03B5" w:rsidRDefault="008F03B5">
      <w:pPr>
        <w:pStyle w:val="a3"/>
        <w:spacing w:before="4"/>
        <w:rPr>
          <w:sz w:val="25"/>
        </w:rPr>
      </w:pPr>
    </w:p>
    <w:p w:rsidR="008F03B5" w:rsidRDefault="00586B9B">
      <w:pPr>
        <w:pStyle w:val="a3"/>
        <w:spacing w:line="276" w:lineRule="auto"/>
        <w:ind w:left="217" w:right="407"/>
      </w:pPr>
      <w:r>
        <w:t>The management of patients with heart failure is challenging given the high prevalence of renal impairment and increased risk of hyperkalaemia. In clinical trials of RAASi monotherapy, the incidence of hyperkalaemia ranges from 3 – 7%</w:t>
      </w:r>
      <w:bookmarkStart w:id="2" w:name="_GoBack"/>
      <w:r w:rsidR="00903055">
        <w:t>.</w:t>
      </w:r>
      <w:r w:rsidR="00903055">
        <w:rPr>
          <w:vertAlign w:val="superscript"/>
        </w:rPr>
        <w:t>3</w:t>
      </w:r>
      <w:r w:rsidR="00903055">
        <w:t xml:space="preserve"> </w:t>
      </w:r>
      <w:r w:rsidR="00903055">
        <w:rPr>
          <w:rFonts w:ascii="宋体" w:eastAsia="宋体" w:hAnsi="宋体" w:cs="宋体" w:hint="eastAsia"/>
        </w:rPr>
        <w:t>。。</w:t>
      </w:r>
      <w:bookmarkEnd w:id="2"/>
      <w:r w:rsidR="00903055">
        <w:t>T</w:t>
      </w:r>
      <w:r>
        <w:t>he overall incidence of hyperkalaemia was generally higher in clinical trials involving aldosterone antagonists</w:t>
      </w:r>
      <w:r w:rsidR="00903055">
        <w:t>.</w:t>
      </w:r>
      <w:r w:rsidR="00903055">
        <w:rPr>
          <w:vertAlign w:val="superscript"/>
        </w:rPr>
        <w:t>3</w:t>
      </w:r>
      <w:r w:rsidR="00903055">
        <w:t xml:space="preserve"> </w:t>
      </w:r>
      <w:r w:rsidR="00903055">
        <w:rPr>
          <w:rFonts w:ascii="宋体" w:eastAsia="宋体" w:hAnsi="宋体" w:cs="宋体" w:hint="eastAsia"/>
        </w:rPr>
        <w:t>。。</w:t>
      </w:r>
      <w:r w:rsidR="00903055">
        <w:t>C</w:t>
      </w:r>
      <w:r>
        <w:t>ombination therapy of RAASi and aldosterone antagonist increases the risk of hyperkalaemia and hospitalisation</w:t>
      </w:r>
      <w:r w:rsidR="00903055">
        <w:t>.</w:t>
      </w:r>
      <w:r w:rsidR="00903055">
        <w:rPr>
          <w:vertAlign w:val="superscript"/>
        </w:rPr>
        <w:t>4</w:t>
      </w:r>
      <w:r w:rsidR="00903055">
        <w:t xml:space="preserve"> </w:t>
      </w:r>
      <w:r w:rsidR="00903055">
        <w:rPr>
          <w:rFonts w:ascii="宋体" w:eastAsia="宋体" w:hAnsi="宋体" w:cs="宋体" w:hint="eastAsia"/>
        </w:rPr>
        <w:t>。。</w:t>
      </w:r>
      <w:r w:rsidR="00903055">
        <w:t>M</w:t>
      </w:r>
      <w:r>
        <w:t>ortality in patients with heart failure is significantly increased with worsening severity of hyperkalaemia: serum K+ levels between 4.8 – 5.0 mmol/l (HR 1.34), 5.1 – 5.5 mmol/l (HR 1.60) and 5.6 – 7.4 mmol/l (HR 3.31).</w:t>
      </w:r>
      <w:r>
        <w:rPr>
          <w:vertAlign w:val="superscript"/>
        </w:rPr>
        <w:t>5</w:t>
      </w:r>
    </w:p>
    <w:p w:rsidR="008F03B5" w:rsidRDefault="008F03B5">
      <w:pPr>
        <w:pStyle w:val="a3"/>
        <w:spacing w:before="3"/>
        <w:rPr>
          <w:sz w:val="27"/>
        </w:rPr>
      </w:pPr>
    </w:p>
    <w:tbl>
      <w:tblPr>
        <w:tblStyle w:val="TableNormal"/>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97"/>
        <w:gridCol w:w="1872"/>
        <w:gridCol w:w="1869"/>
        <w:gridCol w:w="1872"/>
        <w:gridCol w:w="1869"/>
      </w:tblGrid>
      <w:tr w:rsidR="008F03B5">
        <w:trPr>
          <w:trHeight w:val="618"/>
        </w:trPr>
        <w:tc>
          <w:tcPr>
            <w:tcW w:w="2297" w:type="dxa"/>
            <w:shd w:val="clear" w:color="auto" w:fill="A7C6E7"/>
          </w:tcPr>
          <w:p w:rsidR="008F03B5" w:rsidRDefault="00586B9B" w:rsidP="00C07B5E">
            <w:pPr>
              <w:pStyle w:val="TableParagraph"/>
              <w:spacing w:line="265" w:lineRule="exact"/>
              <w:ind w:left="107"/>
              <w:rPr>
                <w:b/>
              </w:rPr>
            </w:pPr>
            <w:r>
              <w:rPr>
                <w:b/>
              </w:rPr>
              <w:t>Risk Factor for</w:t>
            </w:r>
            <w:r w:rsidR="00C07B5E">
              <w:rPr>
                <w:b/>
              </w:rPr>
              <w:t xml:space="preserve"> </w:t>
            </w:r>
            <w:r>
              <w:rPr>
                <w:b/>
              </w:rPr>
              <w:t>Hyperkalaemia</w:t>
            </w:r>
          </w:p>
        </w:tc>
        <w:tc>
          <w:tcPr>
            <w:tcW w:w="1872" w:type="dxa"/>
            <w:shd w:val="clear" w:color="auto" w:fill="A7C6E7"/>
          </w:tcPr>
          <w:p w:rsidR="008F03B5" w:rsidRDefault="00586B9B" w:rsidP="00C07B5E">
            <w:pPr>
              <w:pStyle w:val="TableParagraph"/>
              <w:spacing w:line="265" w:lineRule="exact"/>
              <w:ind w:left="310" w:right="297"/>
              <w:jc w:val="center"/>
              <w:rPr>
                <w:b/>
                <w:sz w:val="20"/>
              </w:rPr>
            </w:pPr>
            <w:r>
              <w:rPr>
                <w:b/>
              </w:rPr>
              <w:t>Odds Ratio</w:t>
            </w:r>
            <w:r w:rsidR="00C07B5E">
              <w:rPr>
                <w:b/>
              </w:rPr>
              <w:t xml:space="preserve"> </w:t>
            </w:r>
            <w:r>
              <w:rPr>
                <w:b/>
                <w:sz w:val="20"/>
              </w:rPr>
              <w:t>[Turgutalp] [6]</w:t>
            </w:r>
          </w:p>
        </w:tc>
        <w:tc>
          <w:tcPr>
            <w:tcW w:w="1869" w:type="dxa"/>
            <w:shd w:val="clear" w:color="auto" w:fill="A7C6E7"/>
          </w:tcPr>
          <w:p w:rsidR="008F03B5" w:rsidRDefault="00586B9B" w:rsidP="00C07B5E">
            <w:pPr>
              <w:pStyle w:val="TableParagraph"/>
              <w:spacing w:line="265" w:lineRule="exact"/>
              <w:ind w:left="435"/>
              <w:rPr>
                <w:b/>
                <w:sz w:val="20"/>
              </w:rPr>
            </w:pPr>
            <w:r>
              <w:rPr>
                <w:b/>
              </w:rPr>
              <w:t>Odds Ratio</w:t>
            </w:r>
            <w:r w:rsidR="00C07B5E">
              <w:rPr>
                <w:b/>
              </w:rPr>
              <w:t xml:space="preserve"> </w:t>
            </w:r>
            <w:r>
              <w:rPr>
                <w:b/>
                <w:sz w:val="20"/>
              </w:rPr>
              <w:t>[Sarafidis] [7]</w:t>
            </w:r>
          </w:p>
        </w:tc>
        <w:tc>
          <w:tcPr>
            <w:tcW w:w="1872" w:type="dxa"/>
            <w:shd w:val="clear" w:color="auto" w:fill="A7C6E7"/>
          </w:tcPr>
          <w:p w:rsidR="008F03B5" w:rsidRDefault="00586B9B" w:rsidP="00C07B5E">
            <w:pPr>
              <w:pStyle w:val="TableParagraph"/>
              <w:spacing w:line="265" w:lineRule="exact"/>
              <w:ind w:left="438"/>
              <w:rPr>
                <w:b/>
                <w:sz w:val="20"/>
              </w:rPr>
            </w:pPr>
            <w:r>
              <w:rPr>
                <w:b/>
              </w:rPr>
              <w:t>Odds Ratio</w:t>
            </w:r>
            <w:r w:rsidR="00C07B5E">
              <w:rPr>
                <w:b/>
              </w:rPr>
              <w:t xml:space="preserve"> </w:t>
            </w:r>
            <w:r>
              <w:rPr>
                <w:b/>
                <w:sz w:val="20"/>
              </w:rPr>
              <w:t>[Nakhoul] [8]</w:t>
            </w:r>
          </w:p>
        </w:tc>
        <w:tc>
          <w:tcPr>
            <w:tcW w:w="1869" w:type="dxa"/>
            <w:shd w:val="clear" w:color="auto" w:fill="A7C6E7"/>
          </w:tcPr>
          <w:p w:rsidR="008F03B5" w:rsidRDefault="00586B9B" w:rsidP="00C07B5E">
            <w:pPr>
              <w:pStyle w:val="TableParagraph"/>
              <w:spacing w:line="265" w:lineRule="exact"/>
              <w:ind w:left="436"/>
              <w:rPr>
                <w:b/>
                <w:sz w:val="20"/>
              </w:rPr>
            </w:pPr>
            <w:r>
              <w:rPr>
                <w:b/>
              </w:rPr>
              <w:t>Odds Ratio</w:t>
            </w:r>
            <w:r w:rsidR="00C07B5E">
              <w:rPr>
                <w:b/>
              </w:rPr>
              <w:t xml:space="preserve"> </w:t>
            </w:r>
            <w:r>
              <w:rPr>
                <w:b/>
                <w:sz w:val="20"/>
              </w:rPr>
              <w:t>[Horne] [9]</w:t>
            </w:r>
          </w:p>
        </w:tc>
      </w:tr>
      <w:tr w:rsidR="008F03B5">
        <w:trPr>
          <w:trHeight w:val="885"/>
        </w:trPr>
        <w:tc>
          <w:tcPr>
            <w:tcW w:w="2297" w:type="dxa"/>
            <w:shd w:val="clear" w:color="auto" w:fill="E7EFF8"/>
          </w:tcPr>
          <w:p w:rsidR="008F03B5" w:rsidRDefault="00586B9B">
            <w:pPr>
              <w:pStyle w:val="TableParagraph"/>
              <w:spacing w:line="265" w:lineRule="exact"/>
              <w:ind w:left="107"/>
            </w:pPr>
            <w:r>
              <w:t>Renal Failure</w:t>
            </w:r>
          </w:p>
        </w:tc>
        <w:tc>
          <w:tcPr>
            <w:tcW w:w="1872" w:type="dxa"/>
            <w:shd w:val="clear" w:color="auto" w:fill="E7EFF8"/>
          </w:tcPr>
          <w:p w:rsidR="008F03B5" w:rsidRDefault="00586B9B">
            <w:pPr>
              <w:pStyle w:val="TableParagraph"/>
              <w:spacing w:line="265" w:lineRule="exact"/>
              <w:ind w:left="739"/>
            </w:pPr>
            <w:r>
              <w:t>5.55</w:t>
            </w:r>
          </w:p>
        </w:tc>
        <w:tc>
          <w:tcPr>
            <w:tcW w:w="1869" w:type="dxa"/>
            <w:shd w:val="clear" w:color="auto" w:fill="E7EFF8"/>
          </w:tcPr>
          <w:p w:rsidR="008F03B5" w:rsidRDefault="00586B9B">
            <w:pPr>
              <w:pStyle w:val="TableParagraph"/>
              <w:spacing w:line="265" w:lineRule="exact"/>
              <w:ind w:left="371" w:right="359"/>
              <w:jc w:val="center"/>
            </w:pPr>
            <w:r>
              <w:t>2.06</w:t>
            </w:r>
          </w:p>
          <w:p w:rsidR="008F03B5" w:rsidRDefault="00586B9B">
            <w:pPr>
              <w:pStyle w:val="TableParagraph"/>
              <w:ind w:left="375" w:right="359"/>
              <w:jc w:val="center"/>
            </w:pPr>
            <w:r>
              <w:t>( eGFR &lt; 15)</w:t>
            </w:r>
          </w:p>
        </w:tc>
        <w:tc>
          <w:tcPr>
            <w:tcW w:w="1872" w:type="dxa"/>
            <w:shd w:val="clear" w:color="auto" w:fill="E7EFF8"/>
          </w:tcPr>
          <w:p w:rsidR="008F03B5" w:rsidRDefault="00586B9B">
            <w:pPr>
              <w:pStyle w:val="TableParagraph"/>
              <w:spacing w:line="265" w:lineRule="exact"/>
              <w:ind w:left="310" w:right="294"/>
              <w:jc w:val="center"/>
            </w:pPr>
            <w:r>
              <w:t>1.25</w:t>
            </w:r>
          </w:p>
          <w:p w:rsidR="008F03B5" w:rsidRDefault="00586B9B">
            <w:pPr>
              <w:pStyle w:val="TableParagraph"/>
              <w:ind w:left="310" w:right="293"/>
              <w:jc w:val="center"/>
            </w:pPr>
            <w:r>
              <w:t>(per 5ml/min</w:t>
            </w:r>
          </w:p>
          <w:p w:rsidR="008F03B5" w:rsidRDefault="00586B9B">
            <w:pPr>
              <w:pStyle w:val="TableParagraph"/>
              <w:spacing w:before="39"/>
              <w:ind w:left="310" w:right="293"/>
              <w:jc w:val="center"/>
            </w:pPr>
            <w:r>
              <w:t>decrease)</w:t>
            </w:r>
          </w:p>
        </w:tc>
        <w:tc>
          <w:tcPr>
            <w:tcW w:w="1869" w:type="dxa"/>
            <w:shd w:val="clear" w:color="auto" w:fill="E7EFF8"/>
          </w:tcPr>
          <w:p w:rsidR="008F03B5" w:rsidRDefault="00586B9B">
            <w:pPr>
              <w:pStyle w:val="TableParagraph"/>
              <w:spacing w:line="265" w:lineRule="exact"/>
              <w:ind w:left="374" w:right="359"/>
              <w:jc w:val="center"/>
            </w:pPr>
            <w:r>
              <w:t>1.04</w:t>
            </w:r>
          </w:p>
        </w:tc>
      </w:tr>
      <w:tr w:rsidR="008F03B5">
        <w:trPr>
          <w:trHeight w:val="309"/>
        </w:trPr>
        <w:tc>
          <w:tcPr>
            <w:tcW w:w="2297" w:type="dxa"/>
            <w:shd w:val="clear" w:color="auto" w:fill="E7EFF8"/>
          </w:tcPr>
          <w:p w:rsidR="008F03B5" w:rsidRDefault="00586B9B">
            <w:pPr>
              <w:pStyle w:val="TableParagraph"/>
              <w:spacing w:line="265" w:lineRule="exact"/>
              <w:ind w:left="107"/>
            </w:pPr>
            <w:r>
              <w:t>Diabetes</w:t>
            </w: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D6E6F5"/>
          </w:tcPr>
          <w:p w:rsidR="008F03B5" w:rsidRDefault="008F03B5">
            <w:pPr>
              <w:pStyle w:val="TableParagraph"/>
              <w:rPr>
                <w:rFonts w:ascii="Times New Roman"/>
                <w:sz w:val="20"/>
              </w:rPr>
            </w:pPr>
          </w:p>
        </w:tc>
        <w:tc>
          <w:tcPr>
            <w:tcW w:w="1872" w:type="dxa"/>
            <w:shd w:val="clear" w:color="auto" w:fill="E7EFF8"/>
          </w:tcPr>
          <w:p w:rsidR="008F03B5" w:rsidRDefault="00586B9B">
            <w:pPr>
              <w:pStyle w:val="TableParagraph"/>
              <w:spacing w:line="265" w:lineRule="exact"/>
              <w:ind w:left="310" w:right="294"/>
              <w:jc w:val="center"/>
            </w:pPr>
            <w:r>
              <w:t>1.53</w:t>
            </w:r>
          </w:p>
        </w:tc>
        <w:tc>
          <w:tcPr>
            <w:tcW w:w="1869" w:type="dxa"/>
            <w:shd w:val="clear" w:color="auto" w:fill="E7EFF8"/>
          </w:tcPr>
          <w:p w:rsidR="008F03B5" w:rsidRDefault="00586B9B">
            <w:pPr>
              <w:pStyle w:val="TableParagraph"/>
              <w:spacing w:line="265" w:lineRule="exact"/>
              <w:ind w:left="374" w:right="359"/>
              <w:jc w:val="center"/>
            </w:pPr>
            <w:r>
              <w:t>0.95</w:t>
            </w:r>
          </w:p>
        </w:tc>
      </w:tr>
      <w:tr w:rsidR="008F03B5">
        <w:trPr>
          <w:trHeight w:val="309"/>
        </w:trPr>
        <w:tc>
          <w:tcPr>
            <w:tcW w:w="2297" w:type="dxa"/>
            <w:shd w:val="clear" w:color="auto" w:fill="E7EFF8"/>
          </w:tcPr>
          <w:p w:rsidR="008F03B5" w:rsidRDefault="00586B9B">
            <w:pPr>
              <w:pStyle w:val="TableParagraph"/>
              <w:spacing w:line="265" w:lineRule="exact"/>
              <w:ind w:left="107"/>
            </w:pPr>
            <w:r>
              <w:t>Heart Failure</w:t>
            </w: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D6E6F5"/>
          </w:tcPr>
          <w:p w:rsidR="008F03B5" w:rsidRDefault="008F03B5">
            <w:pPr>
              <w:pStyle w:val="TableParagraph"/>
              <w:rPr>
                <w:rFonts w:ascii="Times New Roman"/>
                <w:sz w:val="20"/>
              </w:rPr>
            </w:pPr>
          </w:p>
        </w:tc>
        <w:tc>
          <w:tcPr>
            <w:tcW w:w="1872" w:type="dxa"/>
            <w:shd w:val="clear" w:color="auto" w:fill="E7EFF8"/>
          </w:tcPr>
          <w:p w:rsidR="008F03B5" w:rsidRDefault="00586B9B">
            <w:pPr>
              <w:pStyle w:val="TableParagraph"/>
              <w:spacing w:line="265" w:lineRule="exact"/>
              <w:ind w:left="310" w:right="294"/>
              <w:jc w:val="center"/>
            </w:pPr>
            <w:r>
              <w:t>0.95</w:t>
            </w:r>
          </w:p>
        </w:tc>
        <w:tc>
          <w:tcPr>
            <w:tcW w:w="1869" w:type="dxa"/>
            <w:shd w:val="clear" w:color="auto" w:fill="D6E6F5"/>
          </w:tcPr>
          <w:p w:rsidR="008F03B5" w:rsidRDefault="008F03B5">
            <w:pPr>
              <w:pStyle w:val="TableParagraph"/>
              <w:rPr>
                <w:rFonts w:ascii="Times New Roman"/>
                <w:sz w:val="20"/>
              </w:rPr>
            </w:pPr>
          </w:p>
        </w:tc>
      </w:tr>
      <w:tr w:rsidR="008F03B5">
        <w:trPr>
          <w:trHeight w:val="309"/>
        </w:trPr>
        <w:tc>
          <w:tcPr>
            <w:tcW w:w="2297" w:type="dxa"/>
            <w:shd w:val="clear" w:color="auto" w:fill="E7EFF8"/>
          </w:tcPr>
          <w:p w:rsidR="008F03B5" w:rsidRDefault="00586B9B">
            <w:pPr>
              <w:pStyle w:val="TableParagraph"/>
              <w:spacing w:line="265" w:lineRule="exact"/>
              <w:ind w:left="107"/>
            </w:pPr>
            <w:r>
              <w:t>≥2 Co-morbidities</w:t>
            </w:r>
          </w:p>
        </w:tc>
        <w:tc>
          <w:tcPr>
            <w:tcW w:w="1872" w:type="dxa"/>
            <w:shd w:val="clear" w:color="auto" w:fill="E7EFF8"/>
          </w:tcPr>
          <w:p w:rsidR="008F03B5" w:rsidRDefault="00586B9B">
            <w:pPr>
              <w:pStyle w:val="TableParagraph"/>
              <w:spacing w:line="265" w:lineRule="exact"/>
              <w:ind w:left="739"/>
            </w:pPr>
            <w:r>
              <w:t>2.22</w:t>
            </w:r>
          </w:p>
        </w:tc>
        <w:tc>
          <w:tcPr>
            <w:tcW w:w="1869" w:type="dxa"/>
            <w:shd w:val="clear" w:color="auto" w:fill="D6E6F5"/>
          </w:tcPr>
          <w:p w:rsidR="008F03B5" w:rsidRDefault="008F03B5">
            <w:pPr>
              <w:pStyle w:val="TableParagraph"/>
              <w:rPr>
                <w:rFonts w:ascii="Times New Roman"/>
                <w:sz w:val="20"/>
              </w:rPr>
            </w:pP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D6E6F5"/>
          </w:tcPr>
          <w:p w:rsidR="008F03B5" w:rsidRDefault="008F03B5">
            <w:pPr>
              <w:pStyle w:val="TableParagraph"/>
              <w:rPr>
                <w:rFonts w:ascii="Times New Roman"/>
                <w:sz w:val="20"/>
              </w:rPr>
            </w:pPr>
          </w:p>
        </w:tc>
      </w:tr>
      <w:tr w:rsidR="008F03B5">
        <w:trPr>
          <w:trHeight w:val="616"/>
        </w:trPr>
        <w:tc>
          <w:tcPr>
            <w:tcW w:w="2297" w:type="dxa"/>
            <w:shd w:val="clear" w:color="auto" w:fill="E7EFF8"/>
          </w:tcPr>
          <w:p w:rsidR="008F03B5" w:rsidRDefault="00586B9B">
            <w:pPr>
              <w:pStyle w:val="TableParagraph"/>
              <w:spacing w:line="265" w:lineRule="exact"/>
              <w:ind w:left="107"/>
            </w:pPr>
            <w:r>
              <w:t>Serum bicarbonate &lt;</w:t>
            </w:r>
          </w:p>
          <w:p w:rsidR="008F03B5" w:rsidRDefault="00586B9B">
            <w:pPr>
              <w:pStyle w:val="TableParagraph"/>
              <w:spacing w:before="41"/>
              <w:ind w:left="107"/>
            </w:pPr>
            <w:r>
              <w:t>25</w:t>
            </w: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E7EFF8"/>
          </w:tcPr>
          <w:p w:rsidR="008F03B5" w:rsidRDefault="00586B9B">
            <w:pPr>
              <w:pStyle w:val="TableParagraph"/>
              <w:spacing w:line="265" w:lineRule="exact"/>
              <w:ind w:left="371" w:right="359"/>
              <w:jc w:val="center"/>
            </w:pPr>
            <w:r>
              <w:t>1.30</w:t>
            </w: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D6E6F5"/>
          </w:tcPr>
          <w:p w:rsidR="008F03B5" w:rsidRDefault="008F03B5">
            <w:pPr>
              <w:pStyle w:val="TableParagraph"/>
              <w:rPr>
                <w:rFonts w:ascii="Times New Roman"/>
                <w:sz w:val="20"/>
              </w:rPr>
            </w:pPr>
          </w:p>
        </w:tc>
      </w:tr>
      <w:tr w:rsidR="008F03B5">
        <w:trPr>
          <w:trHeight w:val="309"/>
        </w:trPr>
        <w:tc>
          <w:tcPr>
            <w:tcW w:w="2297" w:type="dxa"/>
            <w:shd w:val="clear" w:color="auto" w:fill="E7EFF8"/>
          </w:tcPr>
          <w:p w:rsidR="008F03B5" w:rsidRDefault="00586B9B">
            <w:pPr>
              <w:pStyle w:val="TableParagraph"/>
              <w:spacing w:line="265" w:lineRule="exact"/>
              <w:ind w:left="107"/>
            </w:pPr>
            <w:r>
              <w:t>ARB</w:t>
            </w:r>
          </w:p>
        </w:tc>
        <w:tc>
          <w:tcPr>
            <w:tcW w:w="1872" w:type="dxa"/>
            <w:shd w:val="clear" w:color="auto" w:fill="E7EFF8"/>
          </w:tcPr>
          <w:p w:rsidR="008F03B5" w:rsidRDefault="00586B9B">
            <w:pPr>
              <w:pStyle w:val="TableParagraph"/>
              <w:spacing w:line="265" w:lineRule="exact"/>
              <w:ind w:left="739"/>
            </w:pPr>
            <w:r>
              <w:t>2.68</w:t>
            </w:r>
          </w:p>
        </w:tc>
        <w:tc>
          <w:tcPr>
            <w:tcW w:w="1869" w:type="dxa"/>
            <w:shd w:val="clear" w:color="auto" w:fill="E7EFF8"/>
          </w:tcPr>
          <w:p w:rsidR="008F03B5" w:rsidRDefault="00586B9B">
            <w:pPr>
              <w:pStyle w:val="TableParagraph"/>
              <w:spacing w:line="265" w:lineRule="exact"/>
              <w:ind w:left="371" w:right="359"/>
              <w:jc w:val="center"/>
            </w:pPr>
            <w:r>
              <w:t>1.85</w:t>
            </w:r>
          </w:p>
        </w:tc>
        <w:tc>
          <w:tcPr>
            <w:tcW w:w="1872" w:type="dxa"/>
            <w:shd w:val="clear" w:color="auto" w:fill="E7EFF8"/>
          </w:tcPr>
          <w:p w:rsidR="008F03B5" w:rsidRDefault="00586B9B">
            <w:pPr>
              <w:pStyle w:val="TableParagraph"/>
              <w:spacing w:line="265" w:lineRule="exact"/>
              <w:ind w:left="310" w:right="296"/>
              <w:jc w:val="center"/>
            </w:pPr>
            <w:r>
              <w:t>1.4</w:t>
            </w:r>
          </w:p>
        </w:tc>
        <w:tc>
          <w:tcPr>
            <w:tcW w:w="1869" w:type="dxa"/>
            <w:shd w:val="clear" w:color="auto" w:fill="E7EFF8"/>
          </w:tcPr>
          <w:p w:rsidR="008F03B5" w:rsidRDefault="00586B9B">
            <w:pPr>
              <w:pStyle w:val="TableParagraph"/>
              <w:spacing w:line="265" w:lineRule="exact"/>
              <w:ind w:left="375" w:right="359"/>
              <w:jc w:val="center"/>
            </w:pPr>
            <w:r>
              <w:t>15.89</w:t>
            </w:r>
          </w:p>
        </w:tc>
      </w:tr>
      <w:tr w:rsidR="008F03B5">
        <w:trPr>
          <w:trHeight w:val="309"/>
        </w:trPr>
        <w:tc>
          <w:tcPr>
            <w:tcW w:w="2297" w:type="dxa"/>
            <w:shd w:val="clear" w:color="auto" w:fill="E7EFF8"/>
          </w:tcPr>
          <w:p w:rsidR="008F03B5" w:rsidRDefault="00586B9B">
            <w:pPr>
              <w:pStyle w:val="TableParagraph"/>
              <w:spacing w:line="265" w:lineRule="exact"/>
              <w:ind w:left="107"/>
            </w:pPr>
            <w:r>
              <w:t>ACE-I</w:t>
            </w:r>
          </w:p>
        </w:tc>
        <w:tc>
          <w:tcPr>
            <w:tcW w:w="1872" w:type="dxa"/>
            <w:shd w:val="clear" w:color="auto" w:fill="E7EFF8"/>
          </w:tcPr>
          <w:p w:rsidR="008F03B5" w:rsidRDefault="00586B9B">
            <w:pPr>
              <w:pStyle w:val="TableParagraph"/>
              <w:spacing w:line="265" w:lineRule="exact"/>
              <w:ind w:left="739"/>
            </w:pPr>
            <w:r>
              <w:t>2.24</w:t>
            </w:r>
          </w:p>
        </w:tc>
        <w:tc>
          <w:tcPr>
            <w:tcW w:w="1869" w:type="dxa"/>
            <w:shd w:val="clear" w:color="auto" w:fill="E7EFF8"/>
          </w:tcPr>
          <w:p w:rsidR="008F03B5" w:rsidRDefault="00586B9B">
            <w:pPr>
              <w:pStyle w:val="TableParagraph"/>
              <w:spacing w:line="265" w:lineRule="exact"/>
              <w:ind w:left="371" w:right="359"/>
              <w:jc w:val="center"/>
            </w:pPr>
            <w:r>
              <w:t>1.85</w:t>
            </w:r>
          </w:p>
        </w:tc>
        <w:tc>
          <w:tcPr>
            <w:tcW w:w="1872" w:type="dxa"/>
            <w:shd w:val="clear" w:color="auto" w:fill="E7EFF8"/>
          </w:tcPr>
          <w:p w:rsidR="008F03B5" w:rsidRDefault="00586B9B">
            <w:pPr>
              <w:pStyle w:val="TableParagraph"/>
              <w:spacing w:line="265" w:lineRule="exact"/>
              <w:ind w:left="310" w:right="243"/>
              <w:jc w:val="center"/>
            </w:pPr>
            <w:r>
              <w:t>1.4</w:t>
            </w:r>
          </w:p>
        </w:tc>
        <w:tc>
          <w:tcPr>
            <w:tcW w:w="1869" w:type="dxa"/>
            <w:shd w:val="clear" w:color="auto" w:fill="E7EFF8"/>
          </w:tcPr>
          <w:p w:rsidR="008F03B5" w:rsidRDefault="00586B9B">
            <w:pPr>
              <w:pStyle w:val="TableParagraph"/>
              <w:spacing w:line="265" w:lineRule="exact"/>
              <w:ind w:left="375" w:right="359"/>
              <w:jc w:val="center"/>
            </w:pPr>
            <w:r>
              <w:t>13.63</w:t>
            </w:r>
          </w:p>
        </w:tc>
      </w:tr>
      <w:tr w:rsidR="008F03B5">
        <w:trPr>
          <w:trHeight w:val="309"/>
        </w:trPr>
        <w:tc>
          <w:tcPr>
            <w:tcW w:w="2297" w:type="dxa"/>
            <w:shd w:val="clear" w:color="auto" w:fill="E7EFF8"/>
          </w:tcPr>
          <w:p w:rsidR="008F03B5" w:rsidRDefault="00586B9B">
            <w:pPr>
              <w:pStyle w:val="TableParagraph"/>
              <w:spacing w:line="265" w:lineRule="exact"/>
              <w:ind w:left="107"/>
            </w:pPr>
            <w:r>
              <w:t>Spironolactone</w:t>
            </w:r>
          </w:p>
        </w:tc>
        <w:tc>
          <w:tcPr>
            <w:tcW w:w="1872" w:type="dxa"/>
            <w:shd w:val="clear" w:color="auto" w:fill="E7EFF8"/>
          </w:tcPr>
          <w:p w:rsidR="008F03B5" w:rsidRDefault="00586B9B">
            <w:pPr>
              <w:pStyle w:val="TableParagraph"/>
              <w:spacing w:line="265" w:lineRule="exact"/>
              <w:ind w:left="739"/>
            </w:pPr>
            <w:r>
              <w:t>2.53</w:t>
            </w:r>
          </w:p>
        </w:tc>
        <w:tc>
          <w:tcPr>
            <w:tcW w:w="1869" w:type="dxa"/>
            <w:shd w:val="clear" w:color="auto" w:fill="E7EFF8"/>
          </w:tcPr>
          <w:p w:rsidR="008F03B5" w:rsidRDefault="00586B9B">
            <w:pPr>
              <w:pStyle w:val="TableParagraph"/>
              <w:spacing w:line="265" w:lineRule="exact"/>
              <w:ind w:left="371" w:right="359"/>
              <w:jc w:val="center"/>
            </w:pPr>
            <w:r>
              <w:t>2.10</w:t>
            </w: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E7EFF8"/>
          </w:tcPr>
          <w:p w:rsidR="008F03B5" w:rsidRDefault="00586B9B">
            <w:pPr>
              <w:pStyle w:val="TableParagraph"/>
              <w:spacing w:line="265" w:lineRule="exact"/>
              <w:ind w:left="374" w:right="359"/>
              <w:jc w:val="center"/>
            </w:pPr>
            <w:r>
              <w:t>7.77</w:t>
            </w:r>
          </w:p>
        </w:tc>
      </w:tr>
      <w:tr w:rsidR="008F03B5">
        <w:trPr>
          <w:trHeight w:val="309"/>
        </w:trPr>
        <w:tc>
          <w:tcPr>
            <w:tcW w:w="2297" w:type="dxa"/>
            <w:shd w:val="clear" w:color="auto" w:fill="E7EFF8"/>
          </w:tcPr>
          <w:p w:rsidR="008F03B5" w:rsidRDefault="00586B9B">
            <w:pPr>
              <w:pStyle w:val="TableParagraph"/>
              <w:spacing w:line="266" w:lineRule="exact"/>
              <w:ind w:left="107"/>
            </w:pPr>
            <w:r>
              <w:t>NSAIDS</w:t>
            </w:r>
          </w:p>
        </w:tc>
        <w:tc>
          <w:tcPr>
            <w:tcW w:w="1872" w:type="dxa"/>
            <w:shd w:val="clear" w:color="auto" w:fill="E7EFF8"/>
          </w:tcPr>
          <w:p w:rsidR="008F03B5" w:rsidRDefault="00586B9B">
            <w:pPr>
              <w:pStyle w:val="TableParagraph"/>
              <w:spacing w:line="266" w:lineRule="exact"/>
              <w:ind w:left="739"/>
            </w:pPr>
            <w:r>
              <w:t>2.68</w:t>
            </w:r>
          </w:p>
        </w:tc>
        <w:tc>
          <w:tcPr>
            <w:tcW w:w="1869" w:type="dxa"/>
            <w:shd w:val="clear" w:color="auto" w:fill="D6E6F5"/>
          </w:tcPr>
          <w:p w:rsidR="008F03B5" w:rsidRDefault="008F03B5">
            <w:pPr>
              <w:pStyle w:val="TableParagraph"/>
              <w:rPr>
                <w:rFonts w:ascii="Times New Roman"/>
                <w:sz w:val="20"/>
              </w:rPr>
            </w:pPr>
          </w:p>
        </w:tc>
        <w:tc>
          <w:tcPr>
            <w:tcW w:w="1872" w:type="dxa"/>
            <w:shd w:val="clear" w:color="auto" w:fill="D6E6F5"/>
          </w:tcPr>
          <w:p w:rsidR="008F03B5" w:rsidRDefault="008F03B5">
            <w:pPr>
              <w:pStyle w:val="TableParagraph"/>
              <w:rPr>
                <w:rFonts w:ascii="Times New Roman"/>
                <w:sz w:val="20"/>
              </w:rPr>
            </w:pPr>
          </w:p>
        </w:tc>
        <w:tc>
          <w:tcPr>
            <w:tcW w:w="1869" w:type="dxa"/>
            <w:shd w:val="clear" w:color="auto" w:fill="D6E6F5"/>
          </w:tcPr>
          <w:p w:rsidR="008F03B5" w:rsidRDefault="008F03B5">
            <w:pPr>
              <w:pStyle w:val="TableParagraph"/>
              <w:rPr>
                <w:rFonts w:ascii="Times New Roman"/>
                <w:sz w:val="20"/>
              </w:rPr>
            </w:pPr>
          </w:p>
        </w:tc>
      </w:tr>
      <w:tr w:rsidR="008F03B5">
        <w:trPr>
          <w:trHeight w:val="309"/>
        </w:trPr>
        <w:tc>
          <w:tcPr>
            <w:tcW w:w="2297" w:type="dxa"/>
            <w:shd w:val="clear" w:color="auto" w:fill="E7EFF8"/>
          </w:tcPr>
          <w:p w:rsidR="008F03B5" w:rsidRDefault="00586B9B">
            <w:pPr>
              <w:pStyle w:val="TableParagraph"/>
              <w:spacing w:line="265" w:lineRule="exact"/>
              <w:ind w:left="107"/>
            </w:pPr>
            <w:r>
              <w:t>Beta blocker</w:t>
            </w:r>
          </w:p>
        </w:tc>
        <w:tc>
          <w:tcPr>
            <w:tcW w:w="1872" w:type="dxa"/>
            <w:shd w:val="clear" w:color="auto" w:fill="E7EFF8"/>
          </w:tcPr>
          <w:p w:rsidR="008F03B5" w:rsidRDefault="00586B9B">
            <w:pPr>
              <w:pStyle w:val="TableParagraph"/>
              <w:spacing w:line="265" w:lineRule="exact"/>
              <w:ind w:left="739"/>
            </w:pPr>
            <w:r>
              <w:t>2.14</w:t>
            </w:r>
          </w:p>
        </w:tc>
        <w:tc>
          <w:tcPr>
            <w:tcW w:w="1869" w:type="dxa"/>
            <w:shd w:val="clear" w:color="auto" w:fill="D6E6F5"/>
          </w:tcPr>
          <w:p w:rsidR="008F03B5" w:rsidRDefault="008F03B5">
            <w:pPr>
              <w:pStyle w:val="TableParagraph"/>
              <w:rPr>
                <w:rFonts w:ascii="Times New Roman"/>
                <w:sz w:val="20"/>
              </w:rPr>
            </w:pPr>
          </w:p>
        </w:tc>
        <w:tc>
          <w:tcPr>
            <w:tcW w:w="1872" w:type="dxa"/>
            <w:shd w:val="clear" w:color="auto" w:fill="E7EFF8"/>
          </w:tcPr>
          <w:p w:rsidR="008F03B5" w:rsidRDefault="00586B9B">
            <w:pPr>
              <w:pStyle w:val="TableParagraph"/>
              <w:spacing w:line="265" w:lineRule="exact"/>
              <w:ind w:left="310" w:right="294"/>
              <w:jc w:val="center"/>
            </w:pPr>
            <w:r>
              <w:t>1.06</w:t>
            </w:r>
          </w:p>
        </w:tc>
        <w:tc>
          <w:tcPr>
            <w:tcW w:w="1869" w:type="dxa"/>
            <w:shd w:val="clear" w:color="auto" w:fill="D6E6F5"/>
          </w:tcPr>
          <w:p w:rsidR="008F03B5" w:rsidRDefault="008F03B5">
            <w:pPr>
              <w:pStyle w:val="TableParagraph"/>
              <w:rPr>
                <w:rFonts w:ascii="Times New Roman"/>
                <w:sz w:val="20"/>
              </w:rPr>
            </w:pPr>
          </w:p>
        </w:tc>
      </w:tr>
    </w:tbl>
    <w:p w:rsidR="008F03B5" w:rsidRDefault="008F03B5">
      <w:pPr>
        <w:pStyle w:val="a3"/>
        <w:spacing w:before="5"/>
        <w:rPr>
          <w:sz w:val="19"/>
        </w:rPr>
      </w:pPr>
    </w:p>
    <w:p w:rsidR="008F03B5" w:rsidRDefault="00586B9B">
      <w:pPr>
        <w:pStyle w:val="3"/>
      </w:pPr>
      <w:r>
        <w:t>Table 1: Risk factors with odds ratio of developing hyperkalaemia in community studies.</w:t>
      </w:r>
    </w:p>
    <w:p w:rsidR="008F03B5" w:rsidRDefault="008F03B5">
      <w:pPr>
        <w:pStyle w:val="a3"/>
        <w:spacing w:before="6"/>
        <w:rPr>
          <w:b/>
          <w:sz w:val="28"/>
        </w:rPr>
      </w:pPr>
    </w:p>
    <w:p w:rsidR="008F03B5" w:rsidRDefault="00586B9B">
      <w:pPr>
        <w:pStyle w:val="a3"/>
        <w:spacing w:line="276" w:lineRule="auto"/>
        <w:ind w:left="217" w:right="339"/>
      </w:pPr>
      <w:r>
        <w:t>Several risk factors contribute to community-acquired hyperkalaemia as shown in Table 1. The presence of multiple co-morbidities or other risk factors further increase the risk of hyperkalaemia</w:t>
      </w:r>
      <w:r w:rsidR="00903055">
        <w:t>.</w:t>
      </w:r>
      <w:r w:rsidR="00903055">
        <w:rPr>
          <w:vertAlign w:val="superscript"/>
        </w:rPr>
        <w:t>6-9</w:t>
      </w:r>
      <w:r w:rsidR="00903055">
        <w:t xml:space="preserve"> </w:t>
      </w:r>
      <w:r w:rsidR="00903055">
        <w:rPr>
          <w:rFonts w:ascii="宋体" w:eastAsia="宋体" w:hAnsi="宋体" w:cs="宋体" w:hint="eastAsia"/>
        </w:rPr>
        <w:t>。。</w:t>
      </w:r>
      <w:r w:rsidR="00903055">
        <w:t>R</w:t>
      </w:r>
      <w:r>
        <w:t>AASi drugs are frequently implicated in AKI and hyperkalaemia, but there are conflicting reports in the literature</w:t>
      </w:r>
      <w:r w:rsidR="00903055">
        <w:t>.</w:t>
      </w:r>
      <w:r w:rsidR="00903055">
        <w:rPr>
          <w:vertAlign w:val="superscript"/>
        </w:rPr>
        <w:t>10,</w:t>
      </w:r>
      <w:r w:rsidR="00903055">
        <w:t xml:space="preserve"> </w:t>
      </w:r>
      <w:r w:rsidR="00903055">
        <w:rPr>
          <w:vertAlign w:val="superscript"/>
        </w:rPr>
        <w:t>11</w:t>
      </w:r>
      <w:r w:rsidR="00903055">
        <w:t xml:space="preserve"> </w:t>
      </w:r>
      <w:r w:rsidR="00903055">
        <w:rPr>
          <w:rFonts w:ascii="宋体" w:eastAsia="宋体" w:hAnsi="宋体" w:cs="宋体" w:hint="eastAsia"/>
        </w:rPr>
        <w:t>。。</w:t>
      </w:r>
      <w:r w:rsidR="00903055">
        <w:t>G</w:t>
      </w:r>
      <w:r>
        <w:t>iven the potential risk of AKI, ‘sick day rules’ guidance recommending the cessation of RAASi drugs during acute illness has been proposed by some groups including NICE, but this remains controversial.</w:t>
      </w:r>
      <w:r>
        <w:rPr>
          <w:vertAlign w:val="superscript"/>
        </w:rPr>
        <w:t>1,</w:t>
      </w:r>
      <w:r>
        <w:t xml:space="preserve"> </w:t>
      </w:r>
      <w:r>
        <w:rPr>
          <w:vertAlign w:val="superscript"/>
        </w:rPr>
        <w:t>10,</w:t>
      </w:r>
      <w:r>
        <w:t xml:space="preserve"> </w:t>
      </w:r>
      <w:r>
        <w:rPr>
          <w:vertAlign w:val="superscript"/>
        </w:rPr>
        <w:t>12,</w:t>
      </w:r>
      <w:r>
        <w:t xml:space="preserve"> </w:t>
      </w:r>
      <w:r>
        <w:rPr>
          <w:vertAlign w:val="superscript"/>
        </w:rPr>
        <w:t>13,</w:t>
      </w:r>
      <w:r>
        <w:t xml:space="preserve"> </w:t>
      </w:r>
      <w:r>
        <w:rPr>
          <w:vertAlign w:val="superscript"/>
        </w:rPr>
        <w:t>14</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9" w:after="1"/>
        <w:rPr>
          <w:sz w:val="9"/>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1"/>
        <w:gridCol w:w="1318"/>
        <w:gridCol w:w="1259"/>
        <w:gridCol w:w="939"/>
        <w:gridCol w:w="961"/>
        <w:gridCol w:w="1273"/>
        <w:gridCol w:w="1547"/>
        <w:gridCol w:w="1539"/>
      </w:tblGrid>
      <w:tr w:rsidR="008F03B5">
        <w:trPr>
          <w:trHeight w:val="925"/>
        </w:trPr>
        <w:tc>
          <w:tcPr>
            <w:tcW w:w="951" w:type="dxa"/>
            <w:shd w:val="clear" w:color="auto" w:fill="A7C6E7"/>
          </w:tcPr>
          <w:p w:rsidR="008F03B5" w:rsidRDefault="00586B9B">
            <w:pPr>
              <w:pStyle w:val="TableParagraph"/>
              <w:spacing w:line="265" w:lineRule="exact"/>
              <w:ind w:left="107"/>
              <w:rPr>
                <w:b/>
              </w:rPr>
            </w:pPr>
            <w:r>
              <w:rPr>
                <w:b/>
              </w:rPr>
              <w:t>Study</w:t>
            </w:r>
          </w:p>
        </w:tc>
        <w:tc>
          <w:tcPr>
            <w:tcW w:w="1318" w:type="dxa"/>
            <w:shd w:val="clear" w:color="auto" w:fill="A7C6E7"/>
          </w:tcPr>
          <w:p w:rsidR="008F03B5" w:rsidRDefault="00586B9B">
            <w:pPr>
              <w:pStyle w:val="TableParagraph"/>
              <w:spacing w:line="265" w:lineRule="exact"/>
              <w:ind w:left="107"/>
              <w:rPr>
                <w:b/>
              </w:rPr>
            </w:pPr>
            <w:r>
              <w:rPr>
                <w:b/>
              </w:rPr>
              <w:t>Country</w:t>
            </w:r>
          </w:p>
        </w:tc>
        <w:tc>
          <w:tcPr>
            <w:tcW w:w="1259" w:type="dxa"/>
            <w:shd w:val="clear" w:color="auto" w:fill="A7C6E7"/>
          </w:tcPr>
          <w:p w:rsidR="008F03B5" w:rsidRDefault="00586B9B">
            <w:pPr>
              <w:pStyle w:val="TableParagraph"/>
              <w:spacing w:line="265" w:lineRule="exact"/>
              <w:ind w:left="104"/>
              <w:rPr>
                <w:b/>
              </w:rPr>
            </w:pPr>
            <w:r>
              <w:rPr>
                <w:b/>
              </w:rPr>
              <w:t>Setting</w:t>
            </w:r>
          </w:p>
        </w:tc>
        <w:tc>
          <w:tcPr>
            <w:tcW w:w="939" w:type="dxa"/>
            <w:shd w:val="clear" w:color="auto" w:fill="A7C6E7"/>
          </w:tcPr>
          <w:p w:rsidR="008F03B5" w:rsidRDefault="00586B9B">
            <w:pPr>
              <w:pStyle w:val="TableParagraph"/>
              <w:spacing w:line="265" w:lineRule="exact"/>
              <w:ind w:left="226" w:right="216"/>
              <w:jc w:val="center"/>
              <w:rPr>
                <w:b/>
              </w:rPr>
            </w:pPr>
            <w:r>
              <w:rPr>
                <w:b/>
              </w:rPr>
              <w:t>N=</w:t>
            </w:r>
          </w:p>
        </w:tc>
        <w:tc>
          <w:tcPr>
            <w:tcW w:w="961" w:type="dxa"/>
            <w:shd w:val="clear" w:color="auto" w:fill="A7C6E7"/>
          </w:tcPr>
          <w:p w:rsidR="008F03B5" w:rsidRDefault="00586B9B" w:rsidP="00C07B5E">
            <w:pPr>
              <w:pStyle w:val="TableParagraph"/>
              <w:spacing w:line="265" w:lineRule="exact"/>
              <w:ind w:left="240"/>
              <w:rPr>
                <w:sz w:val="28"/>
              </w:rPr>
            </w:pPr>
            <w:r>
              <w:rPr>
                <w:b/>
              </w:rPr>
              <w:t>eGFR</w:t>
            </w:r>
          </w:p>
          <w:p w:rsidR="008F03B5" w:rsidRDefault="00586B9B">
            <w:pPr>
              <w:pStyle w:val="TableParagraph"/>
              <w:spacing w:before="1"/>
              <w:ind w:left="136"/>
              <w:rPr>
                <w:b/>
              </w:rPr>
            </w:pPr>
            <w:r>
              <w:rPr>
                <w:b/>
              </w:rPr>
              <w:t>ml/min</w:t>
            </w:r>
          </w:p>
        </w:tc>
        <w:tc>
          <w:tcPr>
            <w:tcW w:w="1273" w:type="dxa"/>
            <w:shd w:val="clear" w:color="auto" w:fill="A7C6E7"/>
          </w:tcPr>
          <w:p w:rsidR="008F03B5" w:rsidRDefault="00586B9B" w:rsidP="00C07B5E">
            <w:pPr>
              <w:pStyle w:val="TableParagraph"/>
              <w:spacing w:line="265" w:lineRule="exact"/>
              <w:ind w:left="177" w:hanging="3"/>
              <w:rPr>
                <w:b/>
              </w:rPr>
            </w:pPr>
            <w:r>
              <w:rPr>
                <w:b/>
              </w:rPr>
              <w:t>Definition</w:t>
            </w:r>
            <w:r w:rsidR="00C07B5E">
              <w:rPr>
                <w:b/>
              </w:rPr>
              <w:t xml:space="preserve"> </w:t>
            </w:r>
            <w:r>
              <w:rPr>
                <w:b/>
              </w:rPr>
              <w:t>of HyperK mmol/l</w:t>
            </w:r>
          </w:p>
        </w:tc>
        <w:tc>
          <w:tcPr>
            <w:tcW w:w="1547" w:type="dxa"/>
            <w:shd w:val="clear" w:color="auto" w:fill="A7C6E7"/>
          </w:tcPr>
          <w:p w:rsidR="008F03B5" w:rsidRDefault="00586B9B">
            <w:pPr>
              <w:pStyle w:val="TableParagraph"/>
              <w:spacing w:line="276" w:lineRule="auto"/>
              <w:ind w:left="262" w:right="266"/>
              <w:jc w:val="center"/>
              <w:rPr>
                <w:b/>
              </w:rPr>
            </w:pPr>
            <w:r>
              <w:rPr>
                <w:b/>
              </w:rPr>
              <w:t>Prevalence HyperK</w:t>
            </w:r>
          </w:p>
          <w:p w:rsidR="008F03B5" w:rsidRDefault="00586B9B">
            <w:pPr>
              <w:pStyle w:val="TableParagraph"/>
              <w:ind w:right="4"/>
              <w:jc w:val="center"/>
              <w:rPr>
                <w:b/>
              </w:rPr>
            </w:pPr>
            <w:r>
              <w:rPr>
                <w:b/>
              </w:rPr>
              <w:t>%</w:t>
            </w:r>
          </w:p>
        </w:tc>
        <w:tc>
          <w:tcPr>
            <w:tcW w:w="1539" w:type="dxa"/>
            <w:shd w:val="clear" w:color="auto" w:fill="A7C6E7"/>
          </w:tcPr>
          <w:p w:rsidR="008F03B5" w:rsidRDefault="00586B9B">
            <w:pPr>
              <w:pStyle w:val="TableParagraph"/>
              <w:spacing w:line="276" w:lineRule="auto"/>
              <w:ind w:left="405" w:right="126" w:hanging="260"/>
              <w:rPr>
                <w:b/>
              </w:rPr>
            </w:pPr>
            <w:r>
              <w:rPr>
                <w:b/>
              </w:rPr>
              <w:t>Mortality risk with HK</w:t>
            </w:r>
          </w:p>
        </w:tc>
      </w:tr>
      <w:tr w:rsidR="008F03B5">
        <w:trPr>
          <w:trHeight w:val="928"/>
        </w:trPr>
        <w:tc>
          <w:tcPr>
            <w:tcW w:w="951" w:type="dxa"/>
            <w:shd w:val="clear" w:color="auto" w:fill="E7EFF8"/>
          </w:tcPr>
          <w:p w:rsidR="008F03B5" w:rsidRDefault="00586B9B">
            <w:pPr>
              <w:pStyle w:val="TableParagraph"/>
              <w:spacing w:line="276" w:lineRule="auto"/>
              <w:ind w:left="107" w:right="226"/>
            </w:pPr>
            <w:r>
              <w:t>Liamis 2013</w:t>
            </w:r>
            <w:r>
              <w:rPr>
                <w:vertAlign w:val="superscript"/>
              </w:rPr>
              <w:t>15</w:t>
            </w:r>
          </w:p>
        </w:tc>
        <w:tc>
          <w:tcPr>
            <w:tcW w:w="1318" w:type="dxa"/>
            <w:shd w:val="clear" w:color="auto" w:fill="E7EFF8"/>
          </w:tcPr>
          <w:p w:rsidR="008F03B5" w:rsidRDefault="00586B9B">
            <w:pPr>
              <w:pStyle w:val="TableParagraph"/>
              <w:spacing w:line="265" w:lineRule="exact"/>
              <w:ind w:left="107"/>
            </w:pPr>
            <w:r>
              <w:t>Netherlands</w:t>
            </w:r>
          </w:p>
        </w:tc>
        <w:tc>
          <w:tcPr>
            <w:tcW w:w="1259" w:type="dxa"/>
            <w:shd w:val="clear" w:color="auto" w:fill="E7EFF8"/>
          </w:tcPr>
          <w:p w:rsidR="008F03B5" w:rsidRDefault="00586B9B">
            <w:pPr>
              <w:pStyle w:val="TableParagraph"/>
              <w:spacing w:line="276" w:lineRule="auto"/>
              <w:ind w:left="104" w:right="150"/>
            </w:pPr>
            <w:r>
              <w:t>General population</w:t>
            </w:r>
          </w:p>
          <w:p w:rsidR="008F03B5" w:rsidRDefault="00586B9B">
            <w:pPr>
              <w:pStyle w:val="TableParagraph"/>
              <w:ind w:left="104"/>
            </w:pPr>
            <w:r>
              <w:t>(age &gt; 55)</w:t>
            </w:r>
          </w:p>
        </w:tc>
        <w:tc>
          <w:tcPr>
            <w:tcW w:w="939" w:type="dxa"/>
            <w:shd w:val="clear" w:color="auto" w:fill="E7EFF8"/>
          </w:tcPr>
          <w:p w:rsidR="008F03B5" w:rsidRDefault="00586B9B">
            <w:pPr>
              <w:pStyle w:val="TableParagraph"/>
              <w:spacing w:line="265" w:lineRule="exact"/>
              <w:ind w:left="226" w:right="216"/>
              <w:jc w:val="center"/>
            </w:pPr>
            <w:r>
              <w:t>5179</w:t>
            </w:r>
          </w:p>
        </w:tc>
        <w:tc>
          <w:tcPr>
            <w:tcW w:w="961" w:type="dxa"/>
            <w:shd w:val="clear" w:color="auto" w:fill="E7EFF8"/>
          </w:tcPr>
          <w:p w:rsidR="008F03B5" w:rsidRDefault="00586B9B">
            <w:pPr>
              <w:pStyle w:val="TableParagraph"/>
              <w:spacing w:line="265" w:lineRule="exact"/>
              <w:ind w:left="290" w:right="287"/>
              <w:jc w:val="center"/>
            </w:pPr>
            <w:r>
              <w:t>&gt;60</w:t>
            </w:r>
          </w:p>
        </w:tc>
        <w:tc>
          <w:tcPr>
            <w:tcW w:w="1273" w:type="dxa"/>
            <w:shd w:val="clear" w:color="auto" w:fill="E7EFF8"/>
          </w:tcPr>
          <w:p w:rsidR="008F03B5" w:rsidRDefault="00586B9B">
            <w:pPr>
              <w:pStyle w:val="TableParagraph"/>
              <w:spacing w:line="265" w:lineRule="exact"/>
              <w:ind w:left="227" w:right="227"/>
              <w:jc w:val="center"/>
            </w:pPr>
            <w:r>
              <w:t>≥6.0</w:t>
            </w:r>
          </w:p>
        </w:tc>
        <w:tc>
          <w:tcPr>
            <w:tcW w:w="1547" w:type="dxa"/>
            <w:shd w:val="clear" w:color="auto" w:fill="E7EFF8"/>
          </w:tcPr>
          <w:p w:rsidR="008F03B5" w:rsidRDefault="00586B9B">
            <w:pPr>
              <w:pStyle w:val="TableParagraph"/>
              <w:spacing w:line="265" w:lineRule="exact"/>
              <w:ind w:right="627"/>
              <w:jc w:val="right"/>
            </w:pPr>
            <w:r>
              <w:t>0.3</w:t>
            </w:r>
          </w:p>
        </w:tc>
        <w:tc>
          <w:tcPr>
            <w:tcW w:w="1539" w:type="dxa"/>
            <w:shd w:val="clear" w:color="auto" w:fill="E7EFF8"/>
          </w:tcPr>
          <w:p w:rsidR="008F03B5" w:rsidRDefault="00586B9B">
            <w:pPr>
              <w:pStyle w:val="TableParagraph"/>
              <w:spacing w:line="265" w:lineRule="exact"/>
              <w:ind w:left="103"/>
            </w:pPr>
            <w:r>
              <w:rPr>
                <w:vertAlign w:val="superscript"/>
              </w:rPr>
              <w:t>#</w:t>
            </w:r>
            <w:r>
              <w:t>OR 2.08</w:t>
            </w:r>
          </w:p>
        </w:tc>
      </w:tr>
      <w:tr w:rsidR="008F03B5">
        <w:trPr>
          <w:trHeight w:val="306"/>
        </w:trPr>
        <w:tc>
          <w:tcPr>
            <w:tcW w:w="951" w:type="dxa"/>
            <w:vMerge w:val="restart"/>
            <w:shd w:val="clear" w:color="auto" w:fill="E7EFF8"/>
          </w:tcPr>
          <w:p w:rsidR="008F03B5" w:rsidRDefault="00586B9B">
            <w:pPr>
              <w:pStyle w:val="TableParagraph"/>
              <w:spacing w:line="273" w:lineRule="auto"/>
              <w:ind w:left="107" w:right="226"/>
            </w:pPr>
            <w:r>
              <w:t>Chang 2016</w:t>
            </w:r>
            <w:r>
              <w:rPr>
                <w:vertAlign w:val="superscript"/>
              </w:rPr>
              <w:t>16</w:t>
            </w:r>
          </w:p>
        </w:tc>
        <w:tc>
          <w:tcPr>
            <w:tcW w:w="1318" w:type="dxa"/>
            <w:vMerge w:val="restart"/>
            <w:shd w:val="clear" w:color="auto" w:fill="E7EFF8"/>
          </w:tcPr>
          <w:p w:rsidR="008F03B5" w:rsidRDefault="00586B9B">
            <w:pPr>
              <w:pStyle w:val="TableParagraph"/>
              <w:spacing w:line="265" w:lineRule="exact"/>
              <w:ind w:left="107"/>
            </w:pPr>
            <w:r>
              <w:t>USA</w:t>
            </w:r>
          </w:p>
        </w:tc>
        <w:tc>
          <w:tcPr>
            <w:tcW w:w="1259" w:type="dxa"/>
            <w:vMerge w:val="restart"/>
            <w:shd w:val="clear" w:color="auto" w:fill="E7EFF8"/>
          </w:tcPr>
          <w:p w:rsidR="008F03B5" w:rsidRDefault="00586B9B">
            <w:pPr>
              <w:pStyle w:val="TableParagraph"/>
              <w:spacing w:line="276" w:lineRule="auto"/>
              <w:ind w:left="104" w:right="335" w:firstLine="50"/>
            </w:pPr>
            <w:r>
              <w:t>Health care system – HBP</w:t>
            </w:r>
          </w:p>
          <w:p w:rsidR="008F03B5" w:rsidRDefault="00586B9B">
            <w:pPr>
              <w:pStyle w:val="TableParagraph"/>
              <w:spacing w:line="267" w:lineRule="exact"/>
              <w:ind w:left="104"/>
            </w:pPr>
            <w:r>
              <w:t>(age ≥ 18)</w:t>
            </w:r>
          </w:p>
        </w:tc>
        <w:tc>
          <w:tcPr>
            <w:tcW w:w="939" w:type="dxa"/>
            <w:vMerge w:val="restart"/>
            <w:shd w:val="clear" w:color="auto" w:fill="E7EFF8"/>
          </w:tcPr>
          <w:p w:rsidR="008F03B5" w:rsidRDefault="00586B9B">
            <w:pPr>
              <w:pStyle w:val="TableParagraph"/>
              <w:spacing w:line="265" w:lineRule="exact"/>
              <w:ind w:left="106"/>
            </w:pPr>
            <w:r>
              <w:t>155,695</w:t>
            </w:r>
          </w:p>
        </w:tc>
        <w:tc>
          <w:tcPr>
            <w:tcW w:w="961" w:type="dxa"/>
            <w:vMerge w:val="restart"/>
            <w:shd w:val="clear" w:color="auto" w:fill="E7EFF8"/>
          </w:tcPr>
          <w:p w:rsidR="008F03B5" w:rsidRDefault="00586B9B">
            <w:pPr>
              <w:pStyle w:val="TableParagraph"/>
              <w:spacing w:line="265" w:lineRule="exact"/>
              <w:ind w:left="309"/>
            </w:pPr>
            <w:r>
              <w:t>&gt;60</w:t>
            </w:r>
          </w:p>
        </w:tc>
        <w:tc>
          <w:tcPr>
            <w:tcW w:w="1273" w:type="dxa"/>
            <w:shd w:val="clear" w:color="auto" w:fill="E7EFF8"/>
          </w:tcPr>
          <w:p w:rsidR="008F03B5" w:rsidRDefault="00586B9B">
            <w:pPr>
              <w:pStyle w:val="TableParagraph"/>
              <w:spacing w:line="265" w:lineRule="exact"/>
              <w:ind w:left="227" w:right="227"/>
              <w:jc w:val="center"/>
            </w:pPr>
            <w:r>
              <w:t>&gt;5</w:t>
            </w:r>
          </w:p>
        </w:tc>
        <w:tc>
          <w:tcPr>
            <w:tcW w:w="1547" w:type="dxa"/>
            <w:shd w:val="clear" w:color="auto" w:fill="E7EFF8"/>
          </w:tcPr>
          <w:p w:rsidR="008F03B5" w:rsidRDefault="00586B9B">
            <w:pPr>
              <w:pStyle w:val="TableParagraph"/>
              <w:spacing w:line="265" w:lineRule="exact"/>
              <w:ind w:right="572"/>
              <w:jc w:val="right"/>
            </w:pPr>
            <w:r>
              <w:t>10.8</w:t>
            </w:r>
          </w:p>
        </w:tc>
        <w:tc>
          <w:tcPr>
            <w:tcW w:w="1539" w:type="dxa"/>
            <w:vMerge w:val="restart"/>
            <w:shd w:val="clear" w:color="auto" w:fill="E7EFF8"/>
          </w:tcPr>
          <w:p w:rsidR="008F03B5" w:rsidRDefault="00586B9B">
            <w:pPr>
              <w:pStyle w:val="TableParagraph"/>
              <w:spacing w:line="265" w:lineRule="exact"/>
              <w:ind w:left="103"/>
            </w:pPr>
            <w:r>
              <w:t>NA</w:t>
            </w:r>
          </w:p>
        </w:tc>
      </w:tr>
      <w:tr w:rsidR="008F03B5">
        <w:trPr>
          <w:trHeight w:val="1226"/>
        </w:trPr>
        <w:tc>
          <w:tcPr>
            <w:tcW w:w="951" w:type="dxa"/>
            <w:vMerge/>
            <w:tcBorders>
              <w:top w:val="nil"/>
            </w:tcBorders>
            <w:shd w:val="clear" w:color="auto" w:fill="E7EFF8"/>
          </w:tcPr>
          <w:p w:rsidR="008F03B5" w:rsidRDefault="008F03B5">
            <w:pPr>
              <w:rPr>
                <w:sz w:val="2"/>
                <w:szCs w:val="2"/>
              </w:rPr>
            </w:pPr>
          </w:p>
        </w:tc>
        <w:tc>
          <w:tcPr>
            <w:tcW w:w="1318" w:type="dxa"/>
            <w:vMerge/>
            <w:tcBorders>
              <w:top w:val="nil"/>
            </w:tcBorders>
            <w:shd w:val="clear" w:color="auto" w:fill="E7EFF8"/>
          </w:tcPr>
          <w:p w:rsidR="008F03B5" w:rsidRDefault="008F03B5">
            <w:pPr>
              <w:rPr>
                <w:sz w:val="2"/>
                <w:szCs w:val="2"/>
              </w:rPr>
            </w:pPr>
          </w:p>
        </w:tc>
        <w:tc>
          <w:tcPr>
            <w:tcW w:w="1259" w:type="dxa"/>
            <w:vMerge/>
            <w:tcBorders>
              <w:top w:val="nil"/>
            </w:tcBorders>
            <w:shd w:val="clear" w:color="auto" w:fill="E7EFF8"/>
          </w:tcPr>
          <w:p w:rsidR="008F03B5" w:rsidRDefault="008F03B5">
            <w:pPr>
              <w:rPr>
                <w:sz w:val="2"/>
                <w:szCs w:val="2"/>
              </w:rPr>
            </w:pPr>
          </w:p>
        </w:tc>
        <w:tc>
          <w:tcPr>
            <w:tcW w:w="939" w:type="dxa"/>
            <w:vMerge/>
            <w:tcBorders>
              <w:top w:val="nil"/>
            </w:tcBorders>
            <w:shd w:val="clear" w:color="auto" w:fill="E7EFF8"/>
          </w:tcPr>
          <w:p w:rsidR="008F03B5" w:rsidRDefault="008F03B5">
            <w:pPr>
              <w:rPr>
                <w:sz w:val="2"/>
                <w:szCs w:val="2"/>
              </w:rPr>
            </w:pPr>
          </w:p>
        </w:tc>
        <w:tc>
          <w:tcPr>
            <w:tcW w:w="961" w:type="dxa"/>
            <w:vMerge/>
            <w:tcBorders>
              <w:top w:val="nil"/>
            </w:tcBorders>
            <w:shd w:val="clear" w:color="auto" w:fill="E7EFF8"/>
          </w:tcPr>
          <w:p w:rsidR="008F03B5" w:rsidRDefault="008F03B5">
            <w:pPr>
              <w:rPr>
                <w:sz w:val="2"/>
                <w:szCs w:val="2"/>
              </w:rPr>
            </w:pPr>
          </w:p>
        </w:tc>
        <w:tc>
          <w:tcPr>
            <w:tcW w:w="1273" w:type="dxa"/>
            <w:shd w:val="clear" w:color="auto" w:fill="E7EFF8"/>
          </w:tcPr>
          <w:p w:rsidR="008F03B5" w:rsidRDefault="00586B9B">
            <w:pPr>
              <w:pStyle w:val="TableParagraph"/>
              <w:spacing w:line="268" w:lineRule="exact"/>
              <w:ind w:left="227" w:right="227"/>
              <w:jc w:val="center"/>
            </w:pPr>
            <w:r>
              <w:t>&gt;5.5</w:t>
            </w:r>
          </w:p>
        </w:tc>
        <w:tc>
          <w:tcPr>
            <w:tcW w:w="1547" w:type="dxa"/>
            <w:shd w:val="clear" w:color="auto" w:fill="E7EFF8"/>
          </w:tcPr>
          <w:p w:rsidR="008F03B5" w:rsidRDefault="00586B9B">
            <w:pPr>
              <w:pStyle w:val="TableParagraph"/>
              <w:spacing w:line="268" w:lineRule="exact"/>
              <w:ind w:right="627"/>
              <w:jc w:val="right"/>
            </w:pPr>
            <w:r>
              <w:t>2.3</w:t>
            </w:r>
          </w:p>
        </w:tc>
        <w:tc>
          <w:tcPr>
            <w:tcW w:w="1539" w:type="dxa"/>
            <w:vMerge/>
            <w:tcBorders>
              <w:top w:val="nil"/>
            </w:tcBorders>
            <w:shd w:val="clear" w:color="auto" w:fill="E7EFF8"/>
          </w:tcPr>
          <w:p w:rsidR="008F03B5" w:rsidRDefault="008F03B5">
            <w:pPr>
              <w:rPr>
                <w:sz w:val="2"/>
                <w:szCs w:val="2"/>
              </w:rPr>
            </w:pPr>
          </w:p>
        </w:tc>
      </w:tr>
      <w:tr w:rsidR="008F03B5">
        <w:trPr>
          <w:trHeight w:val="1545"/>
        </w:trPr>
        <w:tc>
          <w:tcPr>
            <w:tcW w:w="951" w:type="dxa"/>
            <w:shd w:val="clear" w:color="auto" w:fill="E7EFF8"/>
          </w:tcPr>
          <w:p w:rsidR="008F03B5" w:rsidRDefault="00586B9B">
            <w:pPr>
              <w:pStyle w:val="TableParagraph"/>
              <w:spacing w:line="276" w:lineRule="auto"/>
              <w:ind w:left="107" w:right="79"/>
            </w:pPr>
            <w:r>
              <w:t>Hughes- Austin 2017</w:t>
            </w:r>
            <w:r>
              <w:rPr>
                <w:vertAlign w:val="superscript"/>
              </w:rPr>
              <w:t>17</w:t>
            </w:r>
          </w:p>
        </w:tc>
        <w:tc>
          <w:tcPr>
            <w:tcW w:w="1318" w:type="dxa"/>
            <w:shd w:val="clear" w:color="auto" w:fill="E7EFF8"/>
          </w:tcPr>
          <w:p w:rsidR="008F03B5" w:rsidRDefault="00586B9B">
            <w:pPr>
              <w:pStyle w:val="TableParagraph"/>
              <w:spacing w:line="265" w:lineRule="exact"/>
              <w:ind w:left="107"/>
            </w:pPr>
            <w:r>
              <w:t>USA</w:t>
            </w:r>
          </w:p>
        </w:tc>
        <w:tc>
          <w:tcPr>
            <w:tcW w:w="1259" w:type="dxa"/>
            <w:shd w:val="clear" w:color="auto" w:fill="E7EFF8"/>
          </w:tcPr>
          <w:p w:rsidR="008F03B5" w:rsidRDefault="00586B9B">
            <w:pPr>
              <w:pStyle w:val="TableParagraph"/>
              <w:spacing w:line="276" w:lineRule="auto"/>
              <w:ind w:left="104" w:right="150"/>
            </w:pPr>
            <w:r>
              <w:t>Multi- ethnic general population</w:t>
            </w:r>
          </w:p>
          <w:p w:rsidR="008F03B5" w:rsidRDefault="00586B9B">
            <w:pPr>
              <w:pStyle w:val="TableParagraph"/>
              <w:ind w:left="104"/>
            </w:pPr>
            <w:r>
              <w:t>(age ≥65)</w:t>
            </w:r>
          </w:p>
        </w:tc>
        <w:tc>
          <w:tcPr>
            <w:tcW w:w="939" w:type="dxa"/>
            <w:shd w:val="clear" w:color="auto" w:fill="E7EFF8"/>
          </w:tcPr>
          <w:p w:rsidR="008F03B5" w:rsidRDefault="00586B9B">
            <w:pPr>
              <w:pStyle w:val="TableParagraph"/>
              <w:spacing w:line="265" w:lineRule="exact"/>
              <w:ind w:left="226" w:right="216"/>
              <w:jc w:val="center"/>
            </w:pPr>
            <w:r>
              <w:t>9651</w:t>
            </w:r>
          </w:p>
        </w:tc>
        <w:tc>
          <w:tcPr>
            <w:tcW w:w="961" w:type="dxa"/>
            <w:shd w:val="clear" w:color="auto" w:fill="E7EFF8"/>
          </w:tcPr>
          <w:p w:rsidR="008F03B5" w:rsidRDefault="00586B9B">
            <w:pPr>
              <w:pStyle w:val="TableParagraph"/>
              <w:spacing w:line="265" w:lineRule="exact"/>
              <w:ind w:left="290" w:right="287"/>
              <w:jc w:val="center"/>
            </w:pPr>
            <w:r>
              <w:t>&gt;60</w:t>
            </w:r>
          </w:p>
        </w:tc>
        <w:tc>
          <w:tcPr>
            <w:tcW w:w="1273" w:type="dxa"/>
            <w:shd w:val="clear" w:color="auto" w:fill="E7EFF8"/>
          </w:tcPr>
          <w:p w:rsidR="008F03B5" w:rsidRDefault="00586B9B">
            <w:pPr>
              <w:pStyle w:val="TableParagraph"/>
              <w:spacing w:line="265" w:lineRule="exact"/>
              <w:ind w:left="227" w:right="227"/>
              <w:jc w:val="center"/>
            </w:pPr>
            <w:r>
              <w:t>≥5.0</w:t>
            </w:r>
          </w:p>
        </w:tc>
        <w:tc>
          <w:tcPr>
            <w:tcW w:w="1547" w:type="dxa"/>
            <w:shd w:val="clear" w:color="auto" w:fill="E7EFF8"/>
          </w:tcPr>
          <w:p w:rsidR="008F03B5" w:rsidRDefault="00586B9B">
            <w:pPr>
              <w:pStyle w:val="TableParagraph"/>
              <w:spacing w:line="265" w:lineRule="exact"/>
              <w:ind w:right="627"/>
              <w:jc w:val="right"/>
            </w:pPr>
            <w:r>
              <w:t>2.8</w:t>
            </w:r>
          </w:p>
        </w:tc>
        <w:tc>
          <w:tcPr>
            <w:tcW w:w="1539" w:type="dxa"/>
            <w:shd w:val="clear" w:color="auto" w:fill="E7EFF8"/>
          </w:tcPr>
          <w:p w:rsidR="008F03B5" w:rsidRDefault="00586B9B">
            <w:pPr>
              <w:pStyle w:val="TableParagraph"/>
              <w:spacing w:line="265" w:lineRule="exact"/>
              <w:ind w:left="103"/>
            </w:pPr>
            <w:r>
              <w:rPr>
                <w:vertAlign w:val="superscript"/>
              </w:rPr>
              <w:t>+</w:t>
            </w:r>
            <w:r>
              <w:t>HR 1.41</w:t>
            </w:r>
          </w:p>
        </w:tc>
      </w:tr>
      <w:tr w:rsidR="008F03B5">
        <w:trPr>
          <w:trHeight w:val="306"/>
        </w:trPr>
        <w:tc>
          <w:tcPr>
            <w:tcW w:w="951" w:type="dxa"/>
            <w:vMerge w:val="restart"/>
            <w:shd w:val="clear" w:color="auto" w:fill="E7EFF8"/>
          </w:tcPr>
          <w:p w:rsidR="008F03B5" w:rsidRDefault="00586B9B">
            <w:pPr>
              <w:pStyle w:val="TableParagraph"/>
              <w:spacing w:line="276" w:lineRule="auto"/>
              <w:ind w:left="107" w:right="259"/>
            </w:pPr>
            <w:r>
              <w:t>Horne 2019</w:t>
            </w:r>
            <w:r>
              <w:rPr>
                <w:vertAlign w:val="superscript"/>
              </w:rPr>
              <w:t>9</w:t>
            </w:r>
          </w:p>
        </w:tc>
        <w:tc>
          <w:tcPr>
            <w:tcW w:w="1318" w:type="dxa"/>
            <w:vMerge w:val="restart"/>
            <w:shd w:val="clear" w:color="auto" w:fill="E7EFF8"/>
          </w:tcPr>
          <w:p w:rsidR="008F03B5" w:rsidRDefault="00586B9B">
            <w:pPr>
              <w:pStyle w:val="TableParagraph"/>
              <w:spacing w:line="265" w:lineRule="exact"/>
              <w:ind w:left="107"/>
            </w:pPr>
            <w:r>
              <w:t>UK</w:t>
            </w:r>
          </w:p>
        </w:tc>
        <w:tc>
          <w:tcPr>
            <w:tcW w:w="1259" w:type="dxa"/>
            <w:vMerge w:val="restart"/>
            <w:shd w:val="clear" w:color="auto" w:fill="E7EFF8"/>
          </w:tcPr>
          <w:p w:rsidR="008F03B5" w:rsidRDefault="00586B9B">
            <w:pPr>
              <w:pStyle w:val="TableParagraph"/>
              <w:spacing w:line="276" w:lineRule="auto"/>
              <w:ind w:left="104" w:right="150"/>
            </w:pPr>
            <w:r>
              <w:t>General population (age ≥ 18)</w:t>
            </w:r>
          </w:p>
        </w:tc>
        <w:tc>
          <w:tcPr>
            <w:tcW w:w="939" w:type="dxa"/>
            <w:vMerge w:val="restart"/>
            <w:shd w:val="clear" w:color="auto" w:fill="E7EFF8"/>
          </w:tcPr>
          <w:p w:rsidR="008F03B5" w:rsidRDefault="00586B9B">
            <w:pPr>
              <w:pStyle w:val="TableParagraph"/>
              <w:spacing w:line="265" w:lineRule="exact"/>
              <w:ind w:left="106"/>
            </w:pPr>
            <w:r>
              <w:t>195,178</w:t>
            </w:r>
          </w:p>
        </w:tc>
        <w:tc>
          <w:tcPr>
            <w:tcW w:w="961" w:type="dxa"/>
            <w:vMerge w:val="restart"/>
            <w:shd w:val="clear" w:color="auto" w:fill="E7EFF8"/>
          </w:tcPr>
          <w:p w:rsidR="008F03B5" w:rsidRDefault="00586B9B">
            <w:pPr>
              <w:pStyle w:val="TableParagraph"/>
              <w:spacing w:line="265" w:lineRule="exact"/>
              <w:ind w:left="309"/>
            </w:pPr>
            <w:r>
              <w:t>&gt;60</w:t>
            </w:r>
          </w:p>
        </w:tc>
        <w:tc>
          <w:tcPr>
            <w:tcW w:w="1273" w:type="dxa"/>
            <w:tcBorders>
              <w:bottom w:val="single" w:sz="2" w:space="0" w:color="808080"/>
            </w:tcBorders>
            <w:shd w:val="clear" w:color="auto" w:fill="E7EFF8"/>
          </w:tcPr>
          <w:p w:rsidR="008F03B5" w:rsidRDefault="00586B9B">
            <w:pPr>
              <w:pStyle w:val="TableParagraph"/>
              <w:spacing w:line="265" w:lineRule="exact"/>
              <w:ind w:left="229" w:right="227"/>
              <w:jc w:val="center"/>
            </w:pPr>
            <w:r>
              <w:t>5.0 – 5.4</w:t>
            </w:r>
          </w:p>
        </w:tc>
        <w:tc>
          <w:tcPr>
            <w:tcW w:w="1547" w:type="dxa"/>
            <w:tcBorders>
              <w:bottom w:val="single" w:sz="2" w:space="0" w:color="808080"/>
            </w:tcBorders>
            <w:shd w:val="clear" w:color="auto" w:fill="E7EFF8"/>
          </w:tcPr>
          <w:p w:rsidR="008F03B5" w:rsidRDefault="00586B9B">
            <w:pPr>
              <w:pStyle w:val="TableParagraph"/>
              <w:spacing w:line="265" w:lineRule="exact"/>
              <w:ind w:right="572"/>
              <w:jc w:val="right"/>
            </w:pPr>
            <w:r>
              <w:t>91.2</w:t>
            </w:r>
          </w:p>
        </w:tc>
        <w:tc>
          <w:tcPr>
            <w:tcW w:w="1539" w:type="dxa"/>
            <w:tcBorders>
              <w:bottom w:val="single" w:sz="2" w:space="0" w:color="808080"/>
            </w:tcBorders>
            <w:shd w:val="clear" w:color="auto" w:fill="E7EFF8"/>
          </w:tcPr>
          <w:p w:rsidR="008F03B5" w:rsidRDefault="00586B9B">
            <w:pPr>
              <w:pStyle w:val="TableParagraph"/>
              <w:spacing w:line="265" w:lineRule="exact"/>
              <w:ind w:left="103"/>
            </w:pPr>
            <w:r>
              <w:rPr>
                <w:vertAlign w:val="superscript"/>
              </w:rPr>
              <w:t>∞</w:t>
            </w:r>
            <w:r>
              <w:t>2.51</w:t>
            </w:r>
          </w:p>
        </w:tc>
      </w:tr>
      <w:tr w:rsidR="008F03B5">
        <w:trPr>
          <w:trHeight w:val="306"/>
        </w:trPr>
        <w:tc>
          <w:tcPr>
            <w:tcW w:w="951" w:type="dxa"/>
            <w:vMerge/>
            <w:tcBorders>
              <w:top w:val="nil"/>
            </w:tcBorders>
            <w:shd w:val="clear" w:color="auto" w:fill="E7EFF8"/>
          </w:tcPr>
          <w:p w:rsidR="008F03B5" w:rsidRDefault="008F03B5">
            <w:pPr>
              <w:rPr>
                <w:sz w:val="2"/>
                <w:szCs w:val="2"/>
              </w:rPr>
            </w:pPr>
          </w:p>
        </w:tc>
        <w:tc>
          <w:tcPr>
            <w:tcW w:w="1318" w:type="dxa"/>
            <w:vMerge/>
            <w:tcBorders>
              <w:top w:val="nil"/>
            </w:tcBorders>
            <w:shd w:val="clear" w:color="auto" w:fill="E7EFF8"/>
          </w:tcPr>
          <w:p w:rsidR="008F03B5" w:rsidRDefault="008F03B5">
            <w:pPr>
              <w:rPr>
                <w:sz w:val="2"/>
                <w:szCs w:val="2"/>
              </w:rPr>
            </w:pPr>
          </w:p>
        </w:tc>
        <w:tc>
          <w:tcPr>
            <w:tcW w:w="1259" w:type="dxa"/>
            <w:vMerge/>
            <w:tcBorders>
              <w:top w:val="nil"/>
            </w:tcBorders>
            <w:shd w:val="clear" w:color="auto" w:fill="E7EFF8"/>
          </w:tcPr>
          <w:p w:rsidR="008F03B5" w:rsidRDefault="008F03B5">
            <w:pPr>
              <w:rPr>
                <w:sz w:val="2"/>
                <w:szCs w:val="2"/>
              </w:rPr>
            </w:pPr>
          </w:p>
        </w:tc>
        <w:tc>
          <w:tcPr>
            <w:tcW w:w="939" w:type="dxa"/>
            <w:vMerge/>
            <w:tcBorders>
              <w:top w:val="nil"/>
            </w:tcBorders>
            <w:shd w:val="clear" w:color="auto" w:fill="E7EFF8"/>
          </w:tcPr>
          <w:p w:rsidR="008F03B5" w:rsidRDefault="008F03B5">
            <w:pPr>
              <w:rPr>
                <w:sz w:val="2"/>
                <w:szCs w:val="2"/>
              </w:rPr>
            </w:pPr>
          </w:p>
        </w:tc>
        <w:tc>
          <w:tcPr>
            <w:tcW w:w="961" w:type="dxa"/>
            <w:vMerge/>
            <w:tcBorders>
              <w:top w:val="nil"/>
            </w:tcBorders>
            <w:shd w:val="clear" w:color="auto" w:fill="E7EFF8"/>
          </w:tcPr>
          <w:p w:rsidR="008F03B5" w:rsidRDefault="008F03B5">
            <w:pPr>
              <w:rPr>
                <w:sz w:val="2"/>
                <w:szCs w:val="2"/>
              </w:rPr>
            </w:pPr>
          </w:p>
        </w:tc>
        <w:tc>
          <w:tcPr>
            <w:tcW w:w="1273" w:type="dxa"/>
            <w:tcBorders>
              <w:top w:val="single" w:sz="2" w:space="0" w:color="808080"/>
              <w:bottom w:val="single" w:sz="2" w:space="0" w:color="808080"/>
            </w:tcBorders>
            <w:shd w:val="clear" w:color="auto" w:fill="E7EFF8"/>
          </w:tcPr>
          <w:p w:rsidR="008F03B5" w:rsidRDefault="00586B9B">
            <w:pPr>
              <w:pStyle w:val="TableParagraph"/>
              <w:spacing w:line="268" w:lineRule="exact"/>
              <w:ind w:left="229" w:right="227"/>
              <w:jc w:val="center"/>
            </w:pPr>
            <w:r>
              <w:t>5.5 – 6.0</w:t>
            </w:r>
          </w:p>
        </w:tc>
        <w:tc>
          <w:tcPr>
            <w:tcW w:w="1547" w:type="dxa"/>
            <w:tcBorders>
              <w:top w:val="single" w:sz="2" w:space="0" w:color="808080"/>
              <w:bottom w:val="single" w:sz="2" w:space="0" w:color="808080"/>
            </w:tcBorders>
            <w:shd w:val="clear" w:color="auto" w:fill="E7EFF8"/>
          </w:tcPr>
          <w:p w:rsidR="008F03B5" w:rsidRDefault="00586B9B">
            <w:pPr>
              <w:pStyle w:val="TableParagraph"/>
              <w:spacing w:line="268" w:lineRule="exact"/>
              <w:ind w:right="627"/>
              <w:jc w:val="right"/>
            </w:pPr>
            <w:r>
              <w:t>7.2</w:t>
            </w:r>
          </w:p>
        </w:tc>
        <w:tc>
          <w:tcPr>
            <w:tcW w:w="1539" w:type="dxa"/>
            <w:tcBorders>
              <w:top w:val="single" w:sz="2" w:space="0" w:color="808080"/>
              <w:bottom w:val="single" w:sz="2" w:space="0" w:color="808080"/>
            </w:tcBorders>
            <w:shd w:val="clear" w:color="auto" w:fill="E7EFF8"/>
          </w:tcPr>
          <w:p w:rsidR="008F03B5" w:rsidRDefault="00586B9B">
            <w:pPr>
              <w:pStyle w:val="TableParagraph"/>
              <w:spacing w:line="268" w:lineRule="exact"/>
              <w:ind w:left="103"/>
            </w:pPr>
            <w:r>
              <w:rPr>
                <w:vertAlign w:val="superscript"/>
              </w:rPr>
              <w:t>∞</w:t>
            </w:r>
            <w:r>
              <w:t>3.83</w:t>
            </w:r>
          </w:p>
        </w:tc>
      </w:tr>
      <w:tr w:rsidR="008F03B5">
        <w:trPr>
          <w:trHeight w:val="311"/>
        </w:trPr>
        <w:tc>
          <w:tcPr>
            <w:tcW w:w="951" w:type="dxa"/>
            <w:vMerge/>
            <w:tcBorders>
              <w:top w:val="nil"/>
            </w:tcBorders>
            <w:shd w:val="clear" w:color="auto" w:fill="E7EFF8"/>
          </w:tcPr>
          <w:p w:rsidR="008F03B5" w:rsidRDefault="008F03B5">
            <w:pPr>
              <w:rPr>
                <w:sz w:val="2"/>
                <w:szCs w:val="2"/>
              </w:rPr>
            </w:pPr>
          </w:p>
        </w:tc>
        <w:tc>
          <w:tcPr>
            <w:tcW w:w="1318" w:type="dxa"/>
            <w:vMerge/>
            <w:tcBorders>
              <w:top w:val="nil"/>
            </w:tcBorders>
            <w:shd w:val="clear" w:color="auto" w:fill="E7EFF8"/>
          </w:tcPr>
          <w:p w:rsidR="008F03B5" w:rsidRDefault="008F03B5">
            <w:pPr>
              <w:rPr>
                <w:sz w:val="2"/>
                <w:szCs w:val="2"/>
              </w:rPr>
            </w:pPr>
          </w:p>
        </w:tc>
        <w:tc>
          <w:tcPr>
            <w:tcW w:w="1259" w:type="dxa"/>
            <w:vMerge/>
            <w:tcBorders>
              <w:top w:val="nil"/>
            </w:tcBorders>
            <w:shd w:val="clear" w:color="auto" w:fill="E7EFF8"/>
          </w:tcPr>
          <w:p w:rsidR="008F03B5" w:rsidRDefault="008F03B5">
            <w:pPr>
              <w:rPr>
                <w:sz w:val="2"/>
                <w:szCs w:val="2"/>
              </w:rPr>
            </w:pPr>
          </w:p>
        </w:tc>
        <w:tc>
          <w:tcPr>
            <w:tcW w:w="939" w:type="dxa"/>
            <w:vMerge/>
            <w:tcBorders>
              <w:top w:val="nil"/>
            </w:tcBorders>
            <w:shd w:val="clear" w:color="auto" w:fill="E7EFF8"/>
          </w:tcPr>
          <w:p w:rsidR="008F03B5" w:rsidRDefault="008F03B5">
            <w:pPr>
              <w:rPr>
                <w:sz w:val="2"/>
                <w:szCs w:val="2"/>
              </w:rPr>
            </w:pPr>
          </w:p>
        </w:tc>
        <w:tc>
          <w:tcPr>
            <w:tcW w:w="961" w:type="dxa"/>
            <w:vMerge/>
            <w:tcBorders>
              <w:top w:val="nil"/>
            </w:tcBorders>
            <w:shd w:val="clear" w:color="auto" w:fill="E7EFF8"/>
          </w:tcPr>
          <w:p w:rsidR="008F03B5" w:rsidRDefault="008F03B5">
            <w:pPr>
              <w:rPr>
                <w:sz w:val="2"/>
                <w:szCs w:val="2"/>
              </w:rPr>
            </w:pPr>
          </w:p>
        </w:tc>
        <w:tc>
          <w:tcPr>
            <w:tcW w:w="1273" w:type="dxa"/>
            <w:tcBorders>
              <w:top w:val="single" w:sz="2" w:space="0" w:color="808080"/>
            </w:tcBorders>
            <w:shd w:val="clear" w:color="auto" w:fill="E7EFF8"/>
          </w:tcPr>
          <w:p w:rsidR="008F03B5" w:rsidRDefault="00586B9B">
            <w:pPr>
              <w:pStyle w:val="TableParagraph"/>
              <w:spacing w:before="1"/>
              <w:ind w:left="227" w:right="227"/>
              <w:jc w:val="center"/>
            </w:pPr>
            <w:r>
              <w:t>&gt;6</w:t>
            </w:r>
          </w:p>
        </w:tc>
        <w:tc>
          <w:tcPr>
            <w:tcW w:w="1547" w:type="dxa"/>
            <w:tcBorders>
              <w:top w:val="single" w:sz="2" w:space="0" w:color="808080"/>
            </w:tcBorders>
            <w:shd w:val="clear" w:color="auto" w:fill="E7EFF8"/>
          </w:tcPr>
          <w:p w:rsidR="008F03B5" w:rsidRDefault="00586B9B">
            <w:pPr>
              <w:pStyle w:val="TableParagraph"/>
              <w:spacing w:before="1"/>
              <w:ind w:right="627"/>
              <w:jc w:val="right"/>
            </w:pPr>
            <w:r>
              <w:t>1.6</w:t>
            </w:r>
          </w:p>
        </w:tc>
        <w:tc>
          <w:tcPr>
            <w:tcW w:w="1539" w:type="dxa"/>
            <w:tcBorders>
              <w:top w:val="single" w:sz="2" w:space="0" w:color="808080"/>
            </w:tcBorders>
            <w:shd w:val="clear" w:color="auto" w:fill="E7EFF8"/>
          </w:tcPr>
          <w:p w:rsidR="008F03B5" w:rsidRDefault="00586B9B">
            <w:pPr>
              <w:pStyle w:val="TableParagraph"/>
              <w:spacing w:before="1"/>
              <w:ind w:left="103"/>
            </w:pPr>
            <w:r>
              <w:rPr>
                <w:vertAlign w:val="superscript"/>
              </w:rPr>
              <w:t>∞</w:t>
            </w:r>
            <w:r>
              <w:t>12.57</w:t>
            </w:r>
          </w:p>
        </w:tc>
      </w:tr>
    </w:tbl>
    <w:p w:rsidR="008F03B5" w:rsidRDefault="008F03B5">
      <w:pPr>
        <w:pStyle w:val="a3"/>
        <w:spacing w:before="6"/>
        <w:rPr>
          <w:sz w:val="20"/>
        </w:rPr>
      </w:pPr>
    </w:p>
    <w:p w:rsidR="008F03B5" w:rsidRDefault="00586B9B">
      <w:pPr>
        <w:pStyle w:val="3"/>
        <w:spacing w:before="56" w:line="276" w:lineRule="auto"/>
        <w:ind w:right="546"/>
      </w:pPr>
      <w:r>
        <w:t>Table 2: Prevalence and outcome of Hyperkalaemia in patients with eGFR&gt; 60 ml/min in community studies.</w:t>
      </w:r>
    </w:p>
    <w:p w:rsidR="008F03B5" w:rsidRDefault="00586B9B">
      <w:pPr>
        <w:spacing w:before="2"/>
        <w:ind w:left="217"/>
        <w:rPr>
          <w:sz w:val="18"/>
        </w:rPr>
      </w:pPr>
      <w:r>
        <w:rPr>
          <w:sz w:val="18"/>
          <w:vertAlign w:val="superscript"/>
        </w:rPr>
        <w:t>#</w:t>
      </w:r>
      <w:r>
        <w:rPr>
          <w:sz w:val="18"/>
        </w:rPr>
        <w:t xml:space="preserve">OR- Odds Ratio; </w:t>
      </w:r>
      <w:r>
        <w:rPr>
          <w:sz w:val="18"/>
          <w:vertAlign w:val="superscript"/>
        </w:rPr>
        <w:t>+</w:t>
      </w:r>
      <w:r>
        <w:rPr>
          <w:sz w:val="18"/>
        </w:rPr>
        <w:t xml:space="preserve">HR- Hazard Ratio; </w:t>
      </w:r>
      <w:r>
        <w:rPr>
          <w:sz w:val="18"/>
          <w:vertAlign w:val="superscript"/>
        </w:rPr>
        <w:t>∞</w:t>
      </w:r>
      <w:r>
        <w:rPr>
          <w:sz w:val="18"/>
        </w:rPr>
        <w:t>All-cause mortality; HBP – hypertensive; NA – not available</w:t>
      </w:r>
    </w:p>
    <w:p w:rsidR="008F03B5" w:rsidRDefault="008F03B5">
      <w:pPr>
        <w:pStyle w:val="a3"/>
      </w:pPr>
    </w:p>
    <w:p w:rsidR="008F03B5" w:rsidRDefault="00586B9B">
      <w:pPr>
        <w:pStyle w:val="a3"/>
        <w:spacing w:before="191" w:line="276" w:lineRule="auto"/>
        <w:ind w:left="217" w:right="322"/>
      </w:pPr>
      <w:r>
        <w:t>The reported incidence of hyperkalaemia in the general population is variable depending on the specific patient</w:t>
      </w:r>
      <w:r>
        <w:rPr>
          <w:spacing w:val="-1"/>
        </w:rPr>
        <w:t xml:space="preserve"> </w:t>
      </w:r>
      <w:r>
        <w:t>group,</w:t>
      </w:r>
      <w:r>
        <w:rPr>
          <w:spacing w:val="-1"/>
        </w:rPr>
        <w:t xml:space="preserve"> </w:t>
      </w:r>
      <w:r>
        <w:t>study</w:t>
      </w:r>
      <w:r>
        <w:rPr>
          <w:spacing w:val="-1"/>
        </w:rPr>
        <w:t xml:space="preserve"> </w:t>
      </w:r>
      <w:r>
        <w:t>design, level</w:t>
      </w:r>
      <w:r>
        <w:rPr>
          <w:spacing w:val="-3"/>
        </w:rPr>
        <w:t xml:space="preserve"> </w:t>
      </w:r>
      <w:r>
        <w:t>of</w:t>
      </w:r>
      <w:r>
        <w:rPr>
          <w:spacing w:val="-1"/>
        </w:rPr>
        <w:t xml:space="preserve"> </w:t>
      </w:r>
      <w:r>
        <w:t>renal</w:t>
      </w:r>
      <w:r>
        <w:rPr>
          <w:spacing w:val="-4"/>
        </w:rPr>
        <w:t xml:space="preserve"> </w:t>
      </w:r>
      <w:r>
        <w:t>function</w:t>
      </w:r>
      <w:r>
        <w:rPr>
          <w:spacing w:val="-3"/>
        </w:rPr>
        <w:t xml:space="preserve"> </w:t>
      </w:r>
      <w:r>
        <w:t>and</w:t>
      </w:r>
      <w:r>
        <w:rPr>
          <w:spacing w:val="-2"/>
        </w:rPr>
        <w:t xml:space="preserve"> </w:t>
      </w:r>
      <w:r>
        <w:t>definition</w:t>
      </w:r>
      <w:r>
        <w:rPr>
          <w:spacing w:val="-4"/>
        </w:rPr>
        <w:t xml:space="preserve"> </w:t>
      </w:r>
      <w:r>
        <w:t>of hyperkalaemia</w:t>
      </w:r>
      <w:r w:rsidR="00903055">
        <w:t>.</w:t>
      </w:r>
      <w:r w:rsidR="00903055">
        <w:rPr>
          <w:vertAlign w:val="superscript"/>
        </w:rPr>
        <w:t>6,</w:t>
      </w:r>
      <w:r w:rsidR="00903055">
        <w:rPr>
          <w:spacing w:val="-19"/>
        </w:rPr>
        <w:t xml:space="preserve"> </w:t>
      </w:r>
      <w:r w:rsidR="00903055">
        <w:rPr>
          <w:vertAlign w:val="superscript"/>
        </w:rPr>
        <w:t>9,</w:t>
      </w:r>
      <w:r w:rsidR="00903055">
        <w:rPr>
          <w:spacing w:val="-18"/>
        </w:rPr>
        <w:t xml:space="preserve"> </w:t>
      </w:r>
      <w:r w:rsidR="00903055">
        <w:rPr>
          <w:vertAlign w:val="superscript"/>
        </w:rPr>
        <w:t>15-19</w:t>
      </w:r>
      <w:r w:rsidR="00903055">
        <w:rPr>
          <w:spacing w:val="-2"/>
        </w:rPr>
        <w:t xml:space="preserve"> </w:t>
      </w:r>
      <w:r w:rsidR="00903055">
        <w:rPr>
          <w:rFonts w:ascii="宋体" w:eastAsia="宋体" w:hAnsi="宋体" w:cs="宋体" w:hint="eastAsia"/>
        </w:rPr>
        <w:t>。。</w:t>
      </w:r>
      <w:r w:rsidR="00903055">
        <w:t>T</w:t>
      </w:r>
      <w:r>
        <w:t>he</w:t>
      </w:r>
      <w:r>
        <w:rPr>
          <w:spacing w:val="-1"/>
        </w:rPr>
        <w:t xml:space="preserve"> </w:t>
      </w:r>
      <w:r>
        <w:t>prevalence</w:t>
      </w:r>
      <w:r>
        <w:rPr>
          <w:spacing w:val="-2"/>
        </w:rPr>
        <w:t xml:space="preserve"> </w:t>
      </w:r>
      <w:r>
        <w:t>of hyperkalaemia in patients with an eGFR &gt; 60 ml/min is shown in Table 2. In a large UK primary care study, the overall incidence rate of a hyperkalaemic event was 2.9 per 100 person years</w:t>
      </w:r>
      <w:r w:rsidR="00903055">
        <w:t>.</w:t>
      </w:r>
      <w:r w:rsidR="00903055">
        <w:rPr>
          <w:vertAlign w:val="superscript"/>
        </w:rPr>
        <w:t>9</w:t>
      </w:r>
      <w:r w:rsidR="00903055">
        <w:t xml:space="preserve"> </w:t>
      </w:r>
      <w:r w:rsidR="00903055">
        <w:rPr>
          <w:rFonts w:ascii="宋体" w:eastAsia="宋体" w:hAnsi="宋体" w:cs="宋体" w:hint="eastAsia"/>
        </w:rPr>
        <w:t>。。</w:t>
      </w:r>
      <w:r w:rsidR="00903055">
        <w:t>I</w:t>
      </w:r>
      <w:r>
        <w:t>n this study, the use of RAASi was strongly associated with hyperkalaemia with an odds ratio of 13.6 -</w:t>
      </w:r>
      <w:r>
        <w:rPr>
          <w:spacing w:val="-12"/>
        </w:rPr>
        <w:t xml:space="preserve"> </w:t>
      </w:r>
      <w:r>
        <w:t>15.9.</w:t>
      </w:r>
    </w:p>
    <w:p w:rsidR="008F03B5" w:rsidRDefault="00586B9B">
      <w:pPr>
        <w:pStyle w:val="a3"/>
        <w:spacing w:before="121" w:line="276" w:lineRule="auto"/>
        <w:ind w:left="217" w:right="319"/>
      </w:pPr>
      <w:r>
        <w:t>Hyperkalaemia is more common in patients with CKD and the incidence increases with declining renal function. Sarafadis et al found that over 30% of patients experienced hyperkalaemia (K+ &gt; 5.5 mmol/l) in the pre-dialysis setting (eGFR &lt; 15 ml/min)</w:t>
      </w:r>
      <w:r w:rsidR="00903055">
        <w:t>.</w:t>
      </w:r>
      <w:r w:rsidR="00903055">
        <w:rPr>
          <w:vertAlign w:val="superscript"/>
        </w:rPr>
        <w:t>7</w:t>
      </w:r>
      <w:r w:rsidR="00903055">
        <w:t xml:space="preserve">  </w:t>
      </w:r>
      <w:r w:rsidR="00903055">
        <w:rPr>
          <w:rFonts w:ascii="宋体" w:eastAsia="宋体" w:hAnsi="宋体" w:cs="宋体" w:hint="eastAsia"/>
        </w:rPr>
        <w:t>。。</w:t>
      </w:r>
      <w:r w:rsidR="00903055">
        <w:t>A</w:t>
      </w:r>
      <w:r>
        <w:t xml:space="preserve"> summary of the prevalence of hyperkalaemia in patients with CKD is shown in Table</w:t>
      </w:r>
      <w:r>
        <w:rPr>
          <w:spacing w:val="-2"/>
        </w:rPr>
        <w:t xml:space="preserve"> </w:t>
      </w:r>
      <w:r>
        <w:t>3.</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9" w:after="1"/>
        <w:rPr>
          <w:sz w:val="9"/>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6"/>
        <w:gridCol w:w="946"/>
        <w:gridCol w:w="1345"/>
        <w:gridCol w:w="941"/>
        <w:gridCol w:w="946"/>
        <w:gridCol w:w="1308"/>
        <w:gridCol w:w="1270"/>
        <w:gridCol w:w="1639"/>
      </w:tblGrid>
      <w:tr w:rsidR="008F03B5">
        <w:trPr>
          <w:trHeight w:val="1057"/>
        </w:trPr>
        <w:tc>
          <w:tcPr>
            <w:tcW w:w="1246" w:type="dxa"/>
            <w:shd w:val="clear" w:color="auto" w:fill="A7C6E7"/>
          </w:tcPr>
          <w:p w:rsidR="008F03B5" w:rsidRDefault="00586B9B">
            <w:pPr>
              <w:pStyle w:val="TableParagraph"/>
              <w:spacing w:line="265" w:lineRule="exact"/>
              <w:ind w:left="107"/>
              <w:rPr>
                <w:b/>
              </w:rPr>
            </w:pPr>
            <w:r>
              <w:rPr>
                <w:b/>
              </w:rPr>
              <w:t>Study</w:t>
            </w:r>
          </w:p>
        </w:tc>
        <w:tc>
          <w:tcPr>
            <w:tcW w:w="946" w:type="dxa"/>
            <w:shd w:val="clear" w:color="auto" w:fill="A7C6E7"/>
          </w:tcPr>
          <w:p w:rsidR="008F03B5" w:rsidRDefault="00586B9B">
            <w:pPr>
              <w:pStyle w:val="TableParagraph"/>
              <w:spacing w:line="265" w:lineRule="exact"/>
              <w:ind w:left="107"/>
              <w:rPr>
                <w:b/>
              </w:rPr>
            </w:pPr>
            <w:r>
              <w:rPr>
                <w:b/>
              </w:rPr>
              <w:t>Country</w:t>
            </w:r>
          </w:p>
        </w:tc>
        <w:tc>
          <w:tcPr>
            <w:tcW w:w="1345" w:type="dxa"/>
            <w:shd w:val="clear" w:color="auto" w:fill="A7C6E7"/>
          </w:tcPr>
          <w:p w:rsidR="008F03B5" w:rsidRDefault="00586B9B">
            <w:pPr>
              <w:pStyle w:val="TableParagraph"/>
              <w:spacing w:line="265" w:lineRule="exact"/>
              <w:ind w:left="89" w:right="80"/>
              <w:jc w:val="center"/>
              <w:rPr>
                <w:b/>
              </w:rPr>
            </w:pPr>
            <w:r>
              <w:rPr>
                <w:b/>
              </w:rPr>
              <w:t>Setting</w:t>
            </w:r>
          </w:p>
        </w:tc>
        <w:tc>
          <w:tcPr>
            <w:tcW w:w="941" w:type="dxa"/>
            <w:shd w:val="clear" w:color="auto" w:fill="A7C6E7"/>
          </w:tcPr>
          <w:p w:rsidR="008F03B5" w:rsidRDefault="00586B9B">
            <w:pPr>
              <w:pStyle w:val="TableParagraph"/>
              <w:spacing w:line="265" w:lineRule="exact"/>
              <w:ind w:left="142" w:right="133"/>
              <w:jc w:val="center"/>
              <w:rPr>
                <w:b/>
              </w:rPr>
            </w:pPr>
            <w:r>
              <w:rPr>
                <w:b/>
              </w:rPr>
              <w:t>N=</w:t>
            </w:r>
          </w:p>
        </w:tc>
        <w:tc>
          <w:tcPr>
            <w:tcW w:w="946" w:type="dxa"/>
            <w:shd w:val="clear" w:color="auto" w:fill="A7C6E7"/>
          </w:tcPr>
          <w:p w:rsidR="008F03B5" w:rsidRDefault="00586B9B">
            <w:pPr>
              <w:pStyle w:val="TableParagraph"/>
              <w:spacing w:line="265" w:lineRule="exact"/>
              <w:ind w:left="233"/>
              <w:rPr>
                <w:b/>
              </w:rPr>
            </w:pPr>
            <w:r>
              <w:rPr>
                <w:b/>
              </w:rPr>
              <w:t>eGFR</w:t>
            </w:r>
          </w:p>
          <w:p w:rsidR="008F03B5" w:rsidRDefault="008F03B5">
            <w:pPr>
              <w:pStyle w:val="TableParagraph"/>
              <w:spacing w:before="8"/>
              <w:rPr>
                <w:sz w:val="28"/>
              </w:rPr>
            </w:pPr>
          </w:p>
          <w:p w:rsidR="008F03B5" w:rsidRDefault="00586B9B">
            <w:pPr>
              <w:pStyle w:val="TableParagraph"/>
              <w:spacing w:before="1"/>
              <w:ind w:left="130"/>
              <w:rPr>
                <w:b/>
              </w:rPr>
            </w:pPr>
            <w:r>
              <w:rPr>
                <w:b/>
              </w:rPr>
              <w:t>ml/min</w:t>
            </w:r>
          </w:p>
        </w:tc>
        <w:tc>
          <w:tcPr>
            <w:tcW w:w="1308" w:type="dxa"/>
            <w:shd w:val="clear" w:color="auto" w:fill="A7C6E7"/>
          </w:tcPr>
          <w:p w:rsidR="008F03B5" w:rsidRDefault="00586B9B">
            <w:pPr>
              <w:pStyle w:val="TableParagraph"/>
              <w:spacing w:line="276" w:lineRule="auto"/>
              <w:ind w:left="197" w:right="187" w:hanging="3"/>
              <w:jc w:val="both"/>
              <w:rPr>
                <w:b/>
              </w:rPr>
            </w:pPr>
            <w:r>
              <w:rPr>
                <w:b/>
              </w:rPr>
              <w:t>Definition of HyperK mmol/l</w:t>
            </w:r>
          </w:p>
        </w:tc>
        <w:tc>
          <w:tcPr>
            <w:tcW w:w="1270" w:type="dxa"/>
            <w:shd w:val="clear" w:color="auto" w:fill="A7C6E7"/>
          </w:tcPr>
          <w:p w:rsidR="008F03B5" w:rsidRDefault="00586B9B">
            <w:pPr>
              <w:pStyle w:val="TableParagraph"/>
              <w:spacing w:line="276" w:lineRule="auto"/>
              <w:ind w:left="130" w:right="121"/>
              <w:jc w:val="center"/>
              <w:rPr>
                <w:b/>
              </w:rPr>
            </w:pPr>
            <w:r>
              <w:rPr>
                <w:b/>
              </w:rPr>
              <w:t>Prevalence HyperK</w:t>
            </w:r>
          </w:p>
          <w:p w:rsidR="008F03B5" w:rsidRDefault="00586B9B">
            <w:pPr>
              <w:pStyle w:val="TableParagraph"/>
              <w:ind w:left="7"/>
              <w:jc w:val="center"/>
              <w:rPr>
                <w:b/>
              </w:rPr>
            </w:pPr>
            <w:r>
              <w:rPr>
                <w:b/>
              </w:rPr>
              <w:t>%</w:t>
            </w:r>
          </w:p>
        </w:tc>
        <w:tc>
          <w:tcPr>
            <w:tcW w:w="1639" w:type="dxa"/>
            <w:shd w:val="clear" w:color="auto" w:fill="A7C6E7"/>
          </w:tcPr>
          <w:p w:rsidR="008F03B5" w:rsidRDefault="00586B9B">
            <w:pPr>
              <w:pStyle w:val="TableParagraph"/>
              <w:spacing w:line="276" w:lineRule="auto"/>
              <w:ind w:left="481" w:right="224" w:hanging="231"/>
              <w:rPr>
                <w:b/>
              </w:rPr>
            </w:pPr>
            <w:r>
              <w:rPr>
                <w:b/>
              </w:rPr>
              <w:t>Mortality by K</w:t>
            </w:r>
            <w:r>
              <w:rPr>
                <w:vertAlign w:val="superscript"/>
              </w:rPr>
              <w:t>+</w:t>
            </w:r>
            <w:r>
              <w:t xml:space="preserve"> </w:t>
            </w:r>
            <w:r>
              <w:rPr>
                <w:b/>
              </w:rPr>
              <w:t>level</w:t>
            </w:r>
          </w:p>
        </w:tc>
      </w:tr>
      <w:tr w:rsidR="008F03B5">
        <w:trPr>
          <w:trHeight w:val="618"/>
        </w:trPr>
        <w:tc>
          <w:tcPr>
            <w:tcW w:w="1246" w:type="dxa"/>
            <w:shd w:val="clear" w:color="auto" w:fill="E7EFF8"/>
          </w:tcPr>
          <w:p w:rsidR="008F03B5" w:rsidRDefault="00586B9B">
            <w:pPr>
              <w:pStyle w:val="TableParagraph"/>
              <w:spacing w:line="268" w:lineRule="exact"/>
              <w:ind w:left="107"/>
            </w:pPr>
            <w:r>
              <w:t>Korgaonkar</w:t>
            </w:r>
          </w:p>
          <w:p w:rsidR="008F03B5" w:rsidRDefault="00586B9B">
            <w:pPr>
              <w:pStyle w:val="TableParagraph"/>
              <w:spacing w:before="38"/>
              <w:ind w:left="107"/>
            </w:pPr>
            <w:r>
              <w:t>2010</w:t>
            </w:r>
            <w:r>
              <w:rPr>
                <w:vertAlign w:val="superscript"/>
              </w:rPr>
              <w:t>20</w:t>
            </w:r>
          </w:p>
        </w:tc>
        <w:tc>
          <w:tcPr>
            <w:tcW w:w="946" w:type="dxa"/>
            <w:shd w:val="clear" w:color="auto" w:fill="E7EFF8"/>
          </w:tcPr>
          <w:p w:rsidR="008F03B5" w:rsidRDefault="00586B9B">
            <w:pPr>
              <w:pStyle w:val="TableParagraph"/>
              <w:spacing w:line="268" w:lineRule="exact"/>
              <w:ind w:left="107"/>
            </w:pPr>
            <w:r>
              <w:t>USA</w:t>
            </w:r>
          </w:p>
        </w:tc>
        <w:tc>
          <w:tcPr>
            <w:tcW w:w="1345" w:type="dxa"/>
            <w:shd w:val="clear" w:color="auto" w:fill="E7EFF8"/>
          </w:tcPr>
          <w:p w:rsidR="008F03B5" w:rsidRDefault="00586B9B">
            <w:pPr>
              <w:pStyle w:val="TableParagraph"/>
              <w:spacing w:line="268" w:lineRule="exact"/>
              <w:ind w:left="89" w:right="177"/>
              <w:jc w:val="center"/>
            </w:pPr>
            <w:r>
              <w:t>Renal Clinic</w:t>
            </w:r>
          </w:p>
        </w:tc>
        <w:tc>
          <w:tcPr>
            <w:tcW w:w="941" w:type="dxa"/>
            <w:shd w:val="clear" w:color="auto" w:fill="E7EFF8"/>
          </w:tcPr>
          <w:p w:rsidR="008F03B5" w:rsidRDefault="00586B9B">
            <w:pPr>
              <w:pStyle w:val="TableParagraph"/>
              <w:spacing w:line="268" w:lineRule="exact"/>
              <w:ind w:left="142" w:right="136"/>
              <w:jc w:val="center"/>
            </w:pPr>
            <w:r>
              <w:t>820</w:t>
            </w:r>
          </w:p>
        </w:tc>
        <w:tc>
          <w:tcPr>
            <w:tcW w:w="946" w:type="dxa"/>
            <w:shd w:val="clear" w:color="auto" w:fill="E7EFF8"/>
          </w:tcPr>
          <w:p w:rsidR="008F03B5" w:rsidRDefault="00586B9B">
            <w:pPr>
              <w:pStyle w:val="TableParagraph"/>
              <w:spacing w:line="268" w:lineRule="exact"/>
              <w:ind w:left="274"/>
            </w:pPr>
            <w:r>
              <w:t>25.4</w:t>
            </w:r>
          </w:p>
        </w:tc>
        <w:tc>
          <w:tcPr>
            <w:tcW w:w="1308" w:type="dxa"/>
            <w:shd w:val="clear" w:color="auto" w:fill="E7EFF8"/>
          </w:tcPr>
          <w:p w:rsidR="008F03B5" w:rsidRDefault="00586B9B">
            <w:pPr>
              <w:pStyle w:val="TableParagraph"/>
              <w:spacing w:line="268" w:lineRule="exact"/>
              <w:ind w:left="247" w:right="241"/>
              <w:jc w:val="center"/>
            </w:pPr>
            <w:r>
              <w:t>≥5.5</w:t>
            </w:r>
          </w:p>
        </w:tc>
        <w:tc>
          <w:tcPr>
            <w:tcW w:w="1270" w:type="dxa"/>
            <w:shd w:val="clear" w:color="auto" w:fill="E7EFF8"/>
          </w:tcPr>
          <w:p w:rsidR="008F03B5" w:rsidRDefault="00586B9B">
            <w:pPr>
              <w:pStyle w:val="TableParagraph"/>
              <w:spacing w:line="268" w:lineRule="exact"/>
              <w:ind w:left="127" w:right="121"/>
              <w:jc w:val="center"/>
            </w:pPr>
            <w:r>
              <w:t>7.9</w:t>
            </w:r>
          </w:p>
        </w:tc>
        <w:tc>
          <w:tcPr>
            <w:tcW w:w="1639" w:type="dxa"/>
            <w:shd w:val="clear" w:color="auto" w:fill="E7EFF8"/>
          </w:tcPr>
          <w:p w:rsidR="008F03B5" w:rsidRDefault="00586B9B">
            <w:pPr>
              <w:pStyle w:val="TableParagraph"/>
              <w:spacing w:line="268" w:lineRule="exact"/>
              <w:ind w:left="106"/>
            </w:pPr>
            <w:r>
              <w:rPr>
                <w:vertAlign w:val="superscript"/>
              </w:rPr>
              <w:t>+</w:t>
            </w:r>
            <w:r>
              <w:t>HR 1.57</w:t>
            </w:r>
          </w:p>
        </w:tc>
      </w:tr>
      <w:tr w:rsidR="008F03B5">
        <w:trPr>
          <w:trHeight w:val="309"/>
        </w:trPr>
        <w:tc>
          <w:tcPr>
            <w:tcW w:w="1246" w:type="dxa"/>
            <w:vMerge w:val="restart"/>
            <w:shd w:val="clear" w:color="auto" w:fill="E7EFF8"/>
          </w:tcPr>
          <w:p w:rsidR="008F03B5" w:rsidRDefault="00586B9B">
            <w:pPr>
              <w:pStyle w:val="TableParagraph"/>
              <w:spacing w:line="276" w:lineRule="auto"/>
              <w:ind w:left="107" w:right="350"/>
            </w:pPr>
            <w:r>
              <w:t>Sarafidis 2012</w:t>
            </w:r>
            <w:r>
              <w:rPr>
                <w:vertAlign w:val="superscript"/>
              </w:rPr>
              <w:t>7</w:t>
            </w:r>
          </w:p>
        </w:tc>
        <w:tc>
          <w:tcPr>
            <w:tcW w:w="946" w:type="dxa"/>
            <w:vMerge w:val="restart"/>
            <w:shd w:val="clear" w:color="auto" w:fill="E7EFF8"/>
          </w:tcPr>
          <w:p w:rsidR="008F03B5" w:rsidRDefault="00586B9B">
            <w:pPr>
              <w:pStyle w:val="TableParagraph"/>
              <w:spacing w:line="265" w:lineRule="exact"/>
              <w:ind w:left="107"/>
            </w:pPr>
            <w:r>
              <w:t>UK</w:t>
            </w:r>
          </w:p>
        </w:tc>
        <w:tc>
          <w:tcPr>
            <w:tcW w:w="1345" w:type="dxa"/>
            <w:vMerge w:val="restart"/>
            <w:shd w:val="clear" w:color="auto" w:fill="E7EFF8"/>
          </w:tcPr>
          <w:p w:rsidR="008F03B5" w:rsidRDefault="00586B9B">
            <w:pPr>
              <w:pStyle w:val="TableParagraph"/>
              <w:spacing w:line="276" w:lineRule="auto"/>
              <w:ind w:left="107" w:right="325"/>
            </w:pPr>
            <w:r>
              <w:t>Low Clearance clinic</w:t>
            </w:r>
          </w:p>
        </w:tc>
        <w:tc>
          <w:tcPr>
            <w:tcW w:w="941" w:type="dxa"/>
            <w:vMerge w:val="restart"/>
            <w:shd w:val="clear" w:color="auto" w:fill="E7EFF8"/>
          </w:tcPr>
          <w:p w:rsidR="008F03B5" w:rsidRDefault="00586B9B">
            <w:pPr>
              <w:pStyle w:val="TableParagraph"/>
              <w:spacing w:line="265" w:lineRule="exact"/>
              <w:ind w:left="301"/>
            </w:pPr>
            <w:r>
              <w:t>238</w:t>
            </w:r>
          </w:p>
        </w:tc>
        <w:tc>
          <w:tcPr>
            <w:tcW w:w="946" w:type="dxa"/>
            <w:vMerge w:val="restart"/>
            <w:shd w:val="clear" w:color="auto" w:fill="E7EFF8"/>
          </w:tcPr>
          <w:p w:rsidR="008F03B5" w:rsidRDefault="00586B9B">
            <w:pPr>
              <w:pStyle w:val="TableParagraph"/>
              <w:spacing w:line="265" w:lineRule="exact"/>
              <w:ind w:left="274"/>
            </w:pPr>
            <w:r>
              <w:t>14.5</w:t>
            </w:r>
          </w:p>
        </w:tc>
        <w:tc>
          <w:tcPr>
            <w:tcW w:w="1308" w:type="dxa"/>
            <w:tcBorders>
              <w:bottom w:val="single" w:sz="2" w:space="0" w:color="A4A4A4"/>
            </w:tcBorders>
            <w:shd w:val="clear" w:color="auto" w:fill="E7EFF8"/>
          </w:tcPr>
          <w:p w:rsidR="008F03B5" w:rsidRDefault="00586B9B">
            <w:pPr>
              <w:pStyle w:val="TableParagraph"/>
              <w:spacing w:line="265" w:lineRule="exact"/>
              <w:ind w:left="249" w:right="241"/>
              <w:jc w:val="center"/>
            </w:pPr>
            <w:r>
              <w:t>5.0 – 5.4</w:t>
            </w:r>
          </w:p>
        </w:tc>
        <w:tc>
          <w:tcPr>
            <w:tcW w:w="1270" w:type="dxa"/>
            <w:tcBorders>
              <w:bottom w:val="single" w:sz="2" w:space="0" w:color="A4A4A4"/>
            </w:tcBorders>
            <w:shd w:val="clear" w:color="auto" w:fill="E7EFF8"/>
          </w:tcPr>
          <w:p w:rsidR="008F03B5" w:rsidRDefault="00586B9B">
            <w:pPr>
              <w:pStyle w:val="TableParagraph"/>
              <w:spacing w:line="265" w:lineRule="exact"/>
              <w:ind w:left="129" w:right="121"/>
              <w:jc w:val="center"/>
            </w:pPr>
            <w:r>
              <w:t>22.7</w:t>
            </w:r>
          </w:p>
        </w:tc>
        <w:tc>
          <w:tcPr>
            <w:tcW w:w="1639" w:type="dxa"/>
            <w:shd w:val="clear" w:color="auto" w:fill="E7EFF8"/>
          </w:tcPr>
          <w:p w:rsidR="008F03B5" w:rsidRDefault="00586B9B">
            <w:pPr>
              <w:pStyle w:val="TableParagraph"/>
              <w:spacing w:line="265" w:lineRule="exact"/>
              <w:ind w:left="106"/>
            </w:pPr>
            <w:r>
              <w:t>NA</w:t>
            </w:r>
          </w:p>
        </w:tc>
      </w:tr>
      <w:tr w:rsidR="008F03B5">
        <w:trPr>
          <w:trHeight w:val="3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5" w:lineRule="exact"/>
              <w:ind w:left="249" w:right="241"/>
              <w:jc w:val="center"/>
            </w:pPr>
            <w:r>
              <w:t>5.5 – 5.9</w:t>
            </w:r>
          </w:p>
        </w:tc>
        <w:tc>
          <w:tcPr>
            <w:tcW w:w="1270" w:type="dxa"/>
            <w:tcBorders>
              <w:top w:val="single" w:sz="2" w:space="0" w:color="A4A4A4"/>
              <w:bottom w:val="single" w:sz="2" w:space="0" w:color="A4A4A4"/>
            </w:tcBorders>
            <w:shd w:val="clear" w:color="auto" w:fill="E7EFF8"/>
          </w:tcPr>
          <w:p w:rsidR="008F03B5" w:rsidRDefault="00586B9B">
            <w:pPr>
              <w:pStyle w:val="TableParagraph"/>
              <w:spacing w:line="265" w:lineRule="exact"/>
              <w:ind w:left="129" w:right="121"/>
              <w:jc w:val="center"/>
            </w:pPr>
            <w:r>
              <w:t>23.1</w:t>
            </w:r>
          </w:p>
        </w:tc>
        <w:tc>
          <w:tcPr>
            <w:tcW w:w="1639" w:type="dxa"/>
            <w:shd w:val="clear" w:color="auto" w:fill="E7EFF8"/>
          </w:tcPr>
          <w:p w:rsidR="008F03B5" w:rsidRDefault="00586B9B">
            <w:pPr>
              <w:pStyle w:val="TableParagraph"/>
              <w:spacing w:line="265" w:lineRule="exact"/>
              <w:ind w:left="106"/>
            </w:pPr>
            <w:r>
              <w:t>NA</w:t>
            </w:r>
          </w:p>
        </w:tc>
      </w:tr>
      <w:tr w:rsidR="008F03B5">
        <w:trPr>
          <w:trHeight w:val="3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tcBorders>
            <w:shd w:val="clear" w:color="auto" w:fill="E7EFF8"/>
          </w:tcPr>
          <w:p w:rsidR="008F03B5" w:rsidRDefault="00586B9B">
            <w:pPr>
              <w:pStyle w:val="TableParagraph"/>
              <w:spacing w:line="265" w:lineRule="exact"/>
              <w:ind w:left="247" w:right="241"/>
              <w:jc w:val="center"/>
            </w:pPr>
            <w:r>
              <w:t>≥6.0</w:t>
            </w:r>
          </w:p>
        </w:tc>
        <w:tc>
          <w:tcPr>
            <w:tcW w:w="1270" w:type="dxa"/>
            <w:tcBorders>
              <w:top w:val="single" w:sz="2" w:space="0" w:color="A4A4A4"/>
            </w:tcBorders>
            <w:shd w:val="clear" w:color="auto" w:fill="E7EFF8"/>
          </w:tcPr>
          <w:p w:rsidR="008F03B5" w:rsidRDefault="00586B9B">
            <w:pPr>
              <w:pStyle w:val="TableParagraph"/>
              <w:spacing w:line="265" w:lineRule="exact"/>
              <w:ind w:left="127" w:right="121"/>
              <w:jc w:val="center"/>
            </w:pPr>
            <w:r>
              <w:t>8.4</w:t>
            </w:r>
          </w:p>
        </w:tc>
        <w:tc>
          <w:tcPr>
            <w:tcW w:w="1639" w:type="dxa"/>
            <w:shd w:val="clear" w:color="auto" w:fill="E7EFF8"/>
          </w:tcPr>
          <w:p w:rsidR="008F03B5" w:rsidRDefault="00586B9B">
            <w:pPr>
              <w:pStyle w:val="TableParagraph"/>
              <w:spacing w:line="265" w:lineRule="exact"/>
              <w:ind w:left="106"/>
            </w:pPr>
            <w:r>
              <w:t>NA</w:t>
            </w:r>
          </w:p>
        </w:tc>
      </w:tr>
      <w:tr w:rsidR="008F03B5">
        <w:trPr>
          <w:trHeight w:val="306"/>
        </w:trPr>
        <w:tc>
          <w:tcPr>
            <w:tcW w:w="1246" w:type="dxa"/>
            <w:vMerge w:val="restart"/>
            <w:shd w:val="clear" w:color="auto" w:fill="E7EFF8"/>
          </w:tcPr>
          <w:p w:rsidR="008F03B5" w:rsidRDefault="00586B9B">
            <w:pPr>
              <w:pStyle w:val="TableParagraph"/>
              <w:spacing w:line="273" w:lineRule="auto"/>
              <w:ind w:left="107" w:right="363"/>
            </w:pPr>
            <w:r>
              <w:t>Nakhoul 2015</w:t>
            </w:r>
            <w:r>
              <w:rPr>
                <w:vertAlign w:val="superscript"/>
              </w:rPr>
              <w:t>8</w:t>
            </w:r>
          </w:p>
        </w:tc>
        <w:tc>
          <w:tcPr>
            <w:tcW w:w="946" w:type="dxa"/>
            <w:vMerge w:val="restart"/>
            <w:shd w:val="clear" w:color="auto" w:fill="E7EFF8"/>
          </w:tcPr>
          <w:p w:rsidR="008F03B5" w:rsidRDefault="00586B9B">
            <w:pPr>
              <w:pStyle w:val="TableParagraph"/>
              <w:spacing w:line="265" w:lineRule="exact"/>
              <w:ind w:left="107"/>
            </w:pPr>
            <w:r>
              <w:t>USA</w:t>
            </w:r>
          </w:p>
        </w:tc>
        <w:tc>
          <w:tcPr>
            <w:tcW w:w="1345" w:type="dxa"/>
            <w:vMerge w:val="restart"/>
            <w:shd w:val="clear" w:color="auto" w:fill="E7EFF8"/>
          </w:tcPr>
          <w:p w:rsidR="008F03B5" w:rsidRDefault="00586B9B">
            <w:pPr>
              <w:pStyle w:val="TableParagraph"/>
              <w:spacing w:line="265" w:lineRule="exact"/>
              <w:ind w:left="107"/>
            </w:pPr>
            <w:r>
              <w:t>CKD</w:t>
            </w:r>
          </w:p>
          <w:p w:rsidR="008F03B5" w:rsidRDefault="00586B9B">
            <w:pPr>
              <w:pStyle w:val="TableParagraph"/>
              <w:spacing w:line="310" w:lineRule="exact"/>
              <w:ind w:left="107" w:right="489"/>
            </w:pPr>
            <w:r>
              <w:t>Registry (USA)</w:t>
            </w:r>
          </w:p>
        </w:tc>
        <w:tc>
          <w:tcPr>
            <w:tcW w:w="941" w:type="dxa"/>
            <w:vMerge w:val="restart"/>
            <w:shd w:val="clear" w:color="auto" w:fill="E7EFF8"/>
          </w:tcPr>
          <w:p w:rsidR="008F03B5" w:rsidRDefault="00586B9B">
            <w:pPr>
              <w:pStyle w:val="TableParagraph"/>
              <w:spacing w:line="265" w:lineRule="exact"/>
              <w:ind w:left="162"/>
            </w:pPr>
            <w:r>
              <w:t>36,359</w:t>
            </w:r>
          </w:p>
        </w:tc>
        <w:tc>
          <w:tcPr>
            <w:tcW w:w="946" w:type="dxa"/>
            <w:vMerge w:val="restart"/>
            <w:shd w:val="clear" w:color="auto" w:fill="E7EFF8"/>
          </w:tcPr>
          <w:p w:rsidR="008F03B5" w:rsidRDefault="00586B9B">
            <w:pPr>
              <w:pStyle w:val="TableParagraph"/>
              <w:spacing w:line="265" w:lineRule="exact"/>
              <w:ind w:left="339" w:right="333"/>
              <w:jc w:val="center"/>
            </w:pPr>
            <w:r>
              <w:t>47</w:t>
            </w:r>
          </w:p>
        </w:tc>
        <w:tc>
          <w:tcPr>
            <w:tcW w:w="1308" w:type="dxa"/>
            <w:tcBorders>
              <w:bottom w:val="single" w:sz="2" w:space="0" w:color="A4A4A4"/>
            </w:tcBorders>
            <w:shd w:val="clear" w:color="auto" w:fill="E7EFF8"/>
          </w:tcPr>
          <w:p w:rsidR="008F03B5" w:rsidRDefault="00586B9B">
            <w:pPr>
              <w:pStyle w:val="TableParagraph"/>
              <w:spacing w:line="265" w:lineRule="exact"/>
              <w:ind w:left="249" w:right="241"/>
              <w:jc w:val="center"/>
            </w:pPr>
            <w:r>
              <w:t>5.0 – 5.4</w:t>
            </w:r>
          </w:p>
        </w:tc>
        <w:tc>
          <w:tcPr>
            <w:tcW w:w="1270" w:type="dxa"/>
            <w:tcBorders>
              <w:bottom w:val="single" w:sz="2" w:space="0" w:color="A4A4A4"/>
            </w:tcBorders>
            <w:shd w:val="clear" w:color="auto" w:fill="E7EFF8"/>
          </w:tcPr>
          <w:p w:rsidR="008F03B5" w:rsidRDefault="00586B9B">
            <w:pPr>
              <w:pStyle w:val="TableParagraph"/>
              <w:spacing w:line="265" w:lineRule="exact"/>
              <w:ind w:left="129" w:right="121"/>
              <w:jc w:val="center"/>
            </w:pPr>
            <w:r>
              <w:t>11</w:t>
            </w:r>
          </w:p>
        </w:tc>
        <w:tc>
          <w:tcPr>
            <w:tcW w:w="1639" w:type="dxa"/>
            <w:shd w:val="clear" w:color="auto" w:fill="E7EFF8"/>
          </w:tcPr>
          <w:p w:rsidR="008F03B5" w:rsidRDefault="00586B9B">
            <w:pPr>
              <w:pStyle w:val="TableParagraph"/>
              <w:spacing w:line="265" w:lineRule="exact"/>
              <w:ind w:left="106"/>
            </w:pPr>
            <w:r>
              <w:rPr>
                <w:vertAlign w:val="superscript"/>
              </w:rPr>
              <w:t>#</w:t>
            </w:r>
            <w:r>
              <w:t>OR 1.12</w:t>
            </w:r>
          </w:p>
        </w:tc>
      </w:tr>
      <w:tr w:rsidR="008F03B5">
        <w:trPr>
          <w:trHeight w:val="6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8" w:lineRule="exact"/>
              <w:ind w:left="247" w:right="241"/>
              <w:jc w:val="center"/>
            </w:pPr>
            <w:r>
              <w:t>&gt;5.5</w:t>
            </w:r>
          </w:p>
        </w:tc>
        <w:tc>
          <w:tcPr>
            <w:tcW w:w="1270" w:type="dxa"/>
            <w:tcBorders>
              <w:top w:val="single" w:sz="2" w:space="0" w:color="A4A4A4"/>
              <w:bottom w:val="single" w:sz="2" w:space="0" w:color="A4A4A4"/>
            </w:tcBorders>
            <w:shd w:val="clear" w:color="auto" w:fill="E7EFF8"/>
          </w:tcPr>
          <w:p w:rsidR="008F03B5" w:rsidRDefault="00586B9B">
            <w:pPr>
              <w:pStyle w:val="TableParagraph"/>
              <w:spacing w:line="268" w:lineRule="exact"/>
              <w:ind w:left="127" w:right="121"/>
              <w:jc w:val="center"/>
            </w:pPr>
            <w:r>
              <w:t>3.3</w:t>
            </w:r>
          </w:p>
        </w:tc>
        <w:tc>
          <w:tcPr>
            <w:tcW w:w="1639" w:type="dxa"/>
            <w:shd w:val="clear" w:color="auto" w:fill="E7EFF8"/>
          </w:tcPr>
          <w:p w:rsidR="008F03B5" w:rsidRDefault="00586B9B">
            <w:pPr>
              <w:pStyle w:val="TableParagraph"/>
              <w:spacing w:line="268" w:lineRule="exact"/>
              <w:ind w:left="106"/>
            </w:pPr>
            <w:r>
              <w:rPr>
                <w:vertAlign w:val="superscript"/>
              </w:rPr>
              <w:t>#</w:t>
            </w:r>
            <w:r>
              <w:t>OR 1.65</w:t>
            </w:r>
          </w:p>
        </w:tc>
      </w:tr>
      <w:tr w:rsidR="008F03B5">
        <w:trPr>
          <w:trHeight w:val="926"/>
        </w:trPr>
        <w:tc>
          <w:tcPr>
            <w:tcW w:w="1246" w:type="dxa"/>
            <w:shd w:val="clear" w:color="auto" w:fill="E7EFF8"/>
          </w:tcPr>
          <w:p w:rsidR="008F03B5" w:rsidRDefault="00586B9B">
            <w:pPr>
              <w:pStyle w:val="TableParagraph"/>
              <w:spacing w:line="276" w:lineRule="auto"/>
              <w:ind w:left="107" w:right="245"/>
            </w:pPr>
            <w:r>
              <w:t>Turgutalp 2016</w:t>
            </w:r>
            <w:r>
              <w:rPr>
                <w:vertAlign w:val="superscript"/>
              </w:rPr>
              <w:t>6</w:t>
            </w:r>
          </w:p>
        </w:tc>
        <w:tc>
          <w:tcPr>
            <w:tcW w:w="946" w:type="dxa"/>
            <w:shd w:val="clear" w:color="auto" w:fill="E7EFF8"/>
          </w:tcPr>
          <w:p w:rsidR="008F03B5" w:rsidRDefault="00586B9B">
            <w:pPr>
              <w:pStyle w:val="TableParagraph"/>
              <w:spacing w:line="265" w:lineRule="exact"/>
              <w:ind w:left="107"/>
            </w:pPr>
            <w:r>
              <w:t>Turkey</w:t>
            </w:r>
          </w:p>
        </w:tc>
        <w:tc>
          <w:tcPr>
            <w:tcW w:w="1345" w:type="dxa"/>
            <w:shd w:val="clear" w:color="auto" w:fill="E7EFF8"/>
          </w:tcPr>
          <w:p w:rsidR="008F03B5" w:rsidRDefault="00586B9B">
            <w:pPr>
              <w:pStyle w:val="TableParagraph"/>
              <w:spacing w:line="265" w:lineRule="exact"/>
              <w:ind w:left="107"/>
            </w:pPr>
            <w:r>
              <w:t>Elderly</w:t>
            </w:r>
          </w:p>
          <w:p w:rsidR="008F03B5" w:rsidRDefault="00586B9B">
            <w:pPr>
              <w:pStyle w:val="TableParagraph"/>
              <w:spacing w:before="9" w:line="300" w:lineRule="atLeast"/>
              <w:ind w:left="107" w:right="233"/>
            </w:pPr>
            <w:r>
              <w:t>population (age &gt; 65)</w:t>
            </w:r>
          </w:p>
        </w:tc>
        <w:tc>
          <w:tcPr>
            <w:tcW w:w="941" w:type="dxa"/>
            <w:shd w:val="clear" w:color="auto" w:fill="E7EFF8"/>
          </w:tcPr>
          <w:p w:rsidR="008F03B5" w:rsidRDefault="00586B9B">
            <w:pPr>
              <w:pStyle w:val="TableParagraph"/>
              <w:spacing w:line="265" w:lineRule="exact"/>
              <w:ind w:left="142" w:right="136"/>
              <w:jc w:val="center"/>
            </w:pPr>
            <w:r>
              <w:t>40,092</w:t>
            </w:r>
          </w:p>
        </w:tc>
        <w:tc>
          <w:tcPr>
            <w:tcW w:w="946" w:type="dxa"/>
            <w:shd w:val="clear" w:color="auto" w:fill="E7EFF8"/>
          </w:tcPr>
          <w:p w:rsidR="008F03B5" w:rsidRDefault="00586B9B">
            <w:pPr>
              <w:pStyle w:val="TableParagraph"/>
              <w:spacing w:line="265" w:lineRule="exact"/>
              <w:ind w:left="214"/>
            </w:pPr>
            <w:r>
              <w:t>23-35</w:t>
            </w: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5" w:lineRule="exact"/>
              <w:ind w:left="247" w:right="241"/>
              <w:jc w:val="center"/>
            </w:pPr>
            <w:r>
              <w:t>≥5.5</w:t>
            </w:r>
          </w:p>
        </w:tc>
        <w:tc>
          <w:tcPr>
            <w:tcW w:w="1270" w:type="dxa"/>
            <w:tcBorders>
              <w:top w:val="single" w:sz="2" w:space="0" w:color="A4A4A4"/>
            </w:tcBorders>
            <w:shd w:val="clear" w:color="auto" w:fill="E7EFF8"/>
          </w:tcPr>
          <w:p w:rsidR="008F03B5" w:rsidRDefault="00586B9B">
            <w:pPr>
              <w:pStyle w:val="TableParagraph"/>
              <w:spacing w:line="265" w:lineRule="exact"/>
              <w:ind w:left="127" w:right="121"/>
              <w:jc w:val="center"/>
            </w:pPr>
            <w:r>
              <w:t>2.9</w:t>
            </w:r>
          </w:p>
        </w:tc>
        <w:tc>
          <w:tcPr>
            <w:tcW w:w="1639" w:type="dxa"/>
            <w:shd w:val="clear" w:color="auto" w:fill="E7EFF8"/>
          </w:tcPr>
          <w:p w:rsidR="008F03B5" w:rsidRDefault="00586B9B">
            <w:pPr>
              <w:pStyle w:val="TableParagraph"/>
              <w:spacing w:line="276" w:lineRule="auto"/>
              <w:ind w:left="106" w:right="236"/>
            </w:pPr>
            <w:r>
              <w:t>AUC values by age</w:t>
            </w:r>
          </w:p>
          <w:p w:rsidR="008F03B5" w:rsidRDefault="00586B9B">
            <w:pPr>
              <w:pStyle w:val="TableParagraph"/>
              <w:spacing w:line="268" w:lineRule="exact"/>
              <w:ind w:left="106"/>
            </w:pPr>
            <w:r>
              <w:t>p&lt; 0.001</w:t>
            </w:r>
          </w:p>
        </w:tc>
      </w:tr>
      <w:tr w:rsidR="008F03B5">
        <w:trPr>
          <w:trHeight w:val="309"/>
        </w:trPr>
        <w:tc>
          <w:tcPr>
            <w:tcW w:w="1246" w:type="dxa"/>
            <w:vMerge w:val="restart"/>
            <w:shd w:val="clear" w:color="auto" w:fill="E7EFF8"/>
          </w:tcPr>
          <w:p w:rsidR="008F03B5" w:rsidRDefault="00586B9B">
            <w:pPr>
              <w:pStyle w:val="TableParagraph"/>
              <w:spacing w:line="276" w:lineRule="auto"/>
              <w:ind w:left="107" w:right="521"/>
            </w:pPr>
            <w:r>
              <w:t>Luo 2016</w:t>
            </w:r>
            <w:r>
              <w:rPr>
                <w:vertAlign w:val="superscript"/>
              </w:rPr>
              <w:t>19</w:t>
            </w:r>
          </w:p>
        </w:tc>
        <w:tc>
          <w:tcPr>
            <w:tcW w:w="946" w:type="dxa"/>
            <w:vMerge w:val="restart"/>
            <w:shd w:val="clear" w:color="auto" w:fill="E7EFF8"/>
          </w:tcPr>
          <w:p w:rsidR="008F03B5" w:rsidRDefault="00586B9B">
            <w:pPr>
              <w:pStyle w:val="TableParagraph"/>
              <w:spacing w:line="265" w:lineRule="exact"/>
              <w:ind w:left="107"/>
            </w:pPr>
            <w:r>
              <w:t>USA</w:t>
            </w:r>
          </w:p>
        </w:tc>
        <w:tc>
          <w:tcPr>
            <w:tcW w:w="1345" w:type="dxa"/>
            <w:vMerge w:val="restart"/>
            <w:shd w:val="clear" w:color="auto" w:fill="E7EFF8"/>
          </w:tcPr>
          <w:p w:rsidR="008F03B5" w:rsidRDefault="00586B9B">
            <w:pPr>
              <w:pStyle w:val="TableParagraph"/>
              <w:spacing w:line="276" w:lineRule="auto"/>
              <w:ind w:left="107" w:right="195"/>
            </w:pPr>
            <w:r>
              <w:t xml:space="preserve">Health </w:t>
            </w:r>
            <w:r>
              <w:rPr>
                <w:spacing w:val="-4"/>
              </w:rPr>
              <w:t xml:space="preserve">care </w:t>
            </w:r>
            <w:r>
              <w:t>system (age ≥</w:t>
            </w:r>
            <w:r>
              <w:rPr>
                <w:spacing w:val="-2"/>
              </w:rPr>
              <w:t xml:space="preserve"> </w:t>
            </w:r>
            <w:r>
              <w:t>18)</w:t>
            </w:r>
          </w:p>
        </w:tc>
        <w:tc>
          <w:tcPr>
            <w:tcW w:w="941" w:type="dxa"/>
            <w:vMerge w:val="restart"/>
            <w:shd w:val="clear" w:color="auto" w:fill="E7EFF8"/>
          </w:tcPr>
          <w:p w:rsidR="008F03B5" w:rsidRDefault="00586B9B">
            <w:pPr>
              <w:pStyle w:val="TableParagraph"/>
              <w:spacing w:line="265" w:lineRule="exact"/>
              <w:ind w:left="162"/>
            </w:pPr>
            <w:r>
              <w:t>55,266</w:t>
            </w:r>
          </w:p>
        </w:tc>
        <w:tc>
          <w:tcPr>
            <w:tcW w:w="946" w:type="dxa"/>
            <w:vMerge w:val="restart"/>
            <w:shd w:val="clear" w:color="auto" w:fill="E7EFF8"/>
          </w:tcPr>
          <w:p w:rsidR="008F03B5" w:rsidRDefault="00586B9B">
            <w:pPr>
              <w:pStyle w:val="TableParagraph"/>
              <w:spacing w:line="265" w:lineRule="exact"/>
              <w:ind w:left="279"/>
            </w:pPr>
            <w:r>
              <w:t>&lt; 60</w:t>
            </w: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5" w:lineRule="exact"/>
              <w:ind w:left="249" w:right="241"/>
              <w:jc w:val="center"/>
            </w:pPr>
            <w:r>
              <w:t>5.0 – 5.4</w:t>
            </w:r>
          </w:p>
        </w:tc>
        <w:tc>
          <w:tcPr>
            <w:tcW w:w="1270" w:type="dxa"/>
            <w:shd w:val="clear" w:color="auto" w:fill="E7EFF8"/>
          </w:tcPr>
          <w:p w:rsidR="008F03B5" w:rsidRDefault="00586B9B">
            <w:pPr>
              <w:pStyle w:val="TableParagraph"/>
              <w:spacing w:line="265" w:lineRule="exact"/>
              <w:ind w:left="129" w:right="121"/>
              <w:jc w:val="center"/>
            </w:pPr>
            <w:r>
              <w:t>14.9</w:t>
            </w:r>
          </w:p>
        </w:tc>
        <w:tc>
          <w:tcPr>
            <w:tcW w:w="1639" w:type="dxa"/>
            <w:shd w:val="clear" w:color="auto" w:fill="E7EFF8"/>
          </w:tcPr>
          <w:p w:rsidR="008F03B5" w:rsidRDefault="00586B9B">
            <w:pPr>
              <w:pStyle w:val="TableParagraph"/>
              <w:spacing w:line="265" w:lineRule="exact"/>
              <w:ind w:left="106"/>
            </w:pPr>
            <w:r>
              <w:t>*IRR 1.01</w:t>
            </w:r>
          </w:p>
        </w:tc>
      </w:tr>
      <w:tr w:rsidR="008F03B5">
        <w:trPr>
          <w:trHeight w:val="3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5" w:lineRule="exact"/>
              <w:ind w:left="249" w:right="241"/>
              <w:jc w:val="center"/>
            </w:pPr>
            <w:r>
              <w:t>5.5 – 5.9</w:t>
            </w:r>
          </w:p>
        </w:tc>
        <w:tc>
          <w:tcPr>
            <w:tcW w:w="1270" w:type="dxa"/>
            <w:shd w:val="clear" w:color="auto" w:fill="E7EFF8"/>
          </w:tcPr>
          <w:p w:rsidR="008F03B5" w:rsidRDefault="00586B9B">
            <w:pPr>
              <w:pStyle w:val="TableParagraph"/>
              <w:spacing w:line="265" w:lineRule="exact"/>
              <w:ind w:left="127" w:right="121"/>
              <w:jc w:val="center"/>
            </w:pPr>
            <w:r>
              <w:t>3.9</w:t>
            </w:r>
          </w:p>
        </w:tc>
        <w:tc>
          <w:tcPr>
            <w:tcW w:w="1639" w:type="dxa"/>
            <w:shd w:val="clear" w:color="auto" w:fill="E7EFF8"/>
          </w:tcPr>
          <w:p w:rsidR="008F03B5" w:rsidRDefault="00586B9B">
            <w:pPr>
              <w:pStyle w:val="TableParagraph"/>
              <w:spacing w:line="265" w:lineRule="exact"/>
              <w:ind w:left="106"/>
            </w:pPr>
            <w:r>
              <w:t>*IRR 1.11</w:t>
            </w:r>
          </w:p>
        </w:tc>
      </w:tr>
      <w:tr w:rsidR="008F03B5">
        <w:trPr>
          <w:trHeight w:val="3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5" w:lineRule="exact"/>
              <w:ind w:left="247" w:right="241"/>
              <w:jc w:val="center"/>
            </w:pPr>
            <w:r>
              <w:t>≥6.0</w:t>
            </w:r>
          </w:p>
        </w:tc>
        <w:tc>
          <w:tcPr>
            <w:tcW w:w="1270" w:type="dxa"/>
            <w:shd w:val="clear" w:color="auto" w:fill="E7EFF8"/>
          </w:tcPr>
          <w:p w:rsidR="008F03B5" w:rsidRDefault="00586B9B">
            <w:pPr>
              <w:pStyle w:val="TableParagraph"/>
              <w:spacing w:line="265" w:lineRule="exact"/>
              <w:ind w:left="127" w:right="121"/>
              <w:jc w:val="center"/>
            </w:pPr>
            <w:r>
              <w:t>1.1</w:t>
            </w:r>
          </w:p>
        </w:tc>
        <w:tc>
          <w:tcPr>
            <w:tcW w:w="1639" w:type="dxa"/>
            <w:shd w:val="clear" w:color="auto" w:fill="E7EFF8"/>
          </w:tcPr>
          <w:p w:rsidR="008F03B5" w:rsidRDefault="00586B9B">
            <w:pPr>
              <w:pStyle w:val="TableParagraph"/>
              <w:spacing w:line="265" w:lineRule="exact"/>
              <w:ind w:left="106"/>
            </w:pPr>
            <w:r>
              <w:t>*IRR 3.08</w:t>
            </w:r>
          </w:p>
        </w:tc>
      </w:tr>
      <w:tr w:rsidR="008F03B5">
        <w:trPr>
          <w:trHeight w:val="306"/>
        </w:trPr>
        <w:tc>
          <w:tcPr>
            <w:tcW w:w="1246" w:type="dxa"/>
            <w:vMerge w:val="restart"/>
            <w:shd w:val="clear" w:color="auto" w:fill="E7EFF8"/>
          </w:tcPr>
          <w:p w:rsidR="008F03B5" w:rsidRDefault="00586B9B">
            <w:pPr>
              <w:pStyle w:val="TableParagraph"/>
              <w:spacing w:line="273" w:lineRule="auto"/>
              <w:ind w:left="107" w:right="313"/>
            </w:pPr>
            <w:r>
              <w:t>Furuland 2018</w:t>
            </w:r>
            <w:r>
              <w:rPr>
                <w:vertAlign w:val="superscript"/>
              </w:rPr>
              <w:t>18</w:t>
            </w:r>
          </w:p>
        </w:tc>
        <w:tc>
          <w:tcPr>
            <w:tcW w:w="946" w:type="dxa"/>
            <w:vMerge w:val="restart"/>
            <w:shd w:val="clear" w:color="auto" w:fill="E7EFF8"/>
          </w:tcPr>
          <w:p w:rsidR="008F03B5" w:rsidRDefault="00586B9B">
            <w:pPr>
              <w:pStyle w:val="TableParagraph"/>
              <w:spacing w:line="265" w:lineRule="exact"/>
              <w:ind w:left="107"/>
            </w:pPr>
            <w:r>
              <w:t>UK</w:t>
            </w:r>
          </w:p>
        </w:tc>
        <w:tc>
          <w:tcPr>
            <w:tcW w:w="1345" w:type="dxa"/>
            <w:vMerge w:val="restart"/>
            <w:shd w:val="clear" w:color="auto" w:fill="E7EFF8"/>
          </w:tcPr>
          <w:p w:rsidR="008F03B5" w:rsidRDefault="00586B9B">
            <w:pPr>
              <w:pStyle w:val="TableParagraph"/>
              <w:spacing w:line="273" w:lineRule="auto"/>
              <w:ind w:left="107" w:right="182"/>
            </w:pPr>
            <w:r>
              <w:t>Health care database</w:t>
            </w:r>
          </w:p>
        </w:tc>
        <w:tc>
          <w:tcPr>
            <w:tcW w:w="941" w:type="dxa"/>
            <w:vMerge w:val="restart"/>
            <w:shd w:val="clear" w:color="auto" w:fill="E7EFF8"/>
          </w:tcPr>
          <w:p w:rsidR="008F03B5" w:rsidRDefault="00586B9B">
            <w:pPr>
              <w:pStyle w:val="TableParagraph"/>
              <w:spacing w:line="265" w:lineRule="exact"/>
              <w:ind w:left="106"/>
            </w:pPr>
            <w:r>
              <w:t>191,964</w:t>
            </w:r>
          </w:p>
        </w:tc>
        <w:tc>
          <w:tcPr>
            <w:tcW w:w="946" w:type="dxa"/>
            <w:vMerge w:val="restart"/>
            <w:shd w:val="clear" w:color="auto" w:fill="E7EFF8"/>
          </w:tcPr>
          <w:p w:rsidR="008F03B5" w:rsidRDefault="00586B9B">
            <w:pPr>
              <w:pStyle w:val="TableParagraph"/>
              <w:spacing w:line="265" w:lineRule="exact"/>
              <w:ind w:left="274"/>
            </w:pPr>
            <w:r>
              <w:t>50.9</w:t>
            </w: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5" w:lineRule="exact"/>
              <w:ind w:left="249" w:right="241"/>
              <w:jc w:val="center"/>
            </w:pPr>
            <w:r>
              <w:t>5.0 – 5.4</w:t>
            </w:r>
          </w:p>
        </w:tc>
        <w:tc>
          <w:tcPr>
            <w:tcW w:w="1270" w:type="dxa"/>
            <w:shd w:val="clear" w:color="auto" w:fill="E7EFF8"/>
          </w:tcPr>
          <w:p w:rsidR="008F03B5" w:rsidRDefault="00586B9B">
            <w:pPr>
              <w:pStyle w:val="TableParagraph"/>
              <w:spacing w:line="265" w:lineRule="exact"/>
              <w:ind w:left="129" w:right="121"/>
              <w:jc w:val="center"/>
            </w:pPr>
            <w:r>
              <w:t>45.1</w:t>
            </w:r>
          </w:p>
        </w:tc>
        <w:tc>
          <w:tcPr>
            <w:tcW w:w="1639" w:type="dxa"/>
            <w:shd w:val="clear" w:color="auto" w:fill="E7EFF8"/>
          </w:tcPr>
          <w:p w:rsidR="008F03B5" w:rsidRDefault="00586B9B">
            <w:pPr>
              <w:pStyle w:val="TableParagraph"/>
              <w:spacing w:line="265" w:lineRule="exact"/>
              <w:ind w:left="106"/>
            </w:pPr>
            <w:r>
              <w:t>*IRR 1.1</w:t>
            </w:r>
          </w:p>
        </w:tc>
      </w:tr>
      <w:tr w:rsidR="008F03B5">
        <w:trPr>
          <w:trHeight w:val="3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bottom w:val="single" w:sz="2" w:space="0" w:color="A4A4A4"/>
            </w:tcBorders>
            <w:shd w:val="clear" w:color="auto" w:fill="E7EFF8"/>
          </w:tcPr>
          <w:p w:rsidR="008F03B5" w:rsidRDefault="00586B9B">
            <w:pPr>
              <w:pStyle w:val="TableParagraph"/>
              <w:spacing w:line="268" w:lineRule="exact"/>
              <w:ind w:left="249" w:right="241"/>
              <w:jc w:val="center"/>
            </w:pPr>
            <w:r>
              <w:t>5.5 – 5.9</w:t>
            </w:r>
          </w:p>
        </w:tc>
        <w:tc>
          <w:tcPr>
            <w:tcW w:w="1270" w:type="dxa"/>
            <w:shd w:val="clear" w:color="auto" w:fill="E7EFF8"/>
          </w:tcPr>
          <w:p w:rsidR="008F03B5" w:rsidRDefault="00586B9B">
            <w:pPr>
              <w:pStyle w:val="TableParagraph"/>
              <w:spacing w:line="268" w:lineRule="exact"/>
              <w:ind w:left="129" w:right="121"/>
              <w:jc w:val="center"/>
            </w:pPr>
            <w:r>
              <w:t>15.9</w:t>
            </w:r>
          </w:p>
        </w:tc>
        <w:tc>
          <w:tcPr>
            <w:tcW w:w="1639" w:type="dxa"/>
            <w:shd w:val="clear" w:color="auto" w:fill="E7EFF8"/>
          </w:tcPr>
          <w:p w:rsidR="008F03B5" w:rsidRDefault="00586B9B">
            <w:pPr>
              <w:pStyle w:val="TableParagraph"/>
              <w:spacing w:line="268" w:lineRule="exact"/>
              <w:ind w:left="106"/>
            </w:pPr>
            <w:r>
              <w:t>*IRR 1.60</w:t>
            </w:r>
          </w:p>
        </w:tc>
      </w:tr>
      <w:tr w:rsidR="008F03B5">
        <w:trPr>
          <w:trHeight w:val="309"/>
        </w:trPr>
        <w:tc>
          <w:tcPr>
            <w:tcW w:w="1246"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45" w:type="dxa"/>
            <w:vMerge/>
            <w:tcBorders>
              <w:top w:val="nil"/>
            </w:tcBorders>
            <w:shd w:val="clear" w:color="auto" w:fill="E7EFF8"/>
          </w:tcPr>
          <w:p w:rsidR="008F03B5" w:rsidRDefault="008F03B5">
            <w:pPr>
              <w:rPr>
                <w:sz w:val="2"/>
                <w:szCs w:val="2"/>
              </w:rPr>
            </w:pPr>
          </w:p>
        </w:tc>
        <w:tc>
          <w:tcPr>
            <w:tcW w:w="941" w:type="dxa"/>
            <w:vMerge/>
            <w:tcBorders>
              <w:top w:val="nil"/>
            </w:tcBorders>
            <w:shd w:val="clear" w:color="auto" w:fill="E7EFF8"/>
          </w:tcPr>
          <w:p w:rsidR="008F03B5" w:rsidRDefault="008F03B5">
            <w:pPr>
              <w:rPr>
                <w:sz w:val="2"/>
                <w:szCs w:val="2"/>
              </w:rPr>
            </w:pPr>
          </w:p>
        </w:tc>
        <w:tc>
          <w:tcPr>
            <w:tcW w:w="946" w:type="dxa"/>
            <w:vMerge/>
            <w:tcBorders>
              <w:top w:val="nil"/>
            </w:tcBorders>
            <w:shd w:val="clear" w:color="auto" w:fill="E7EFF8"/>
          </w:tcPr>
          <w:p w:rsidR="008F03B5" w:rsidRDefault="008F03B5">
            <w:pPr>
              <w:rPr>
                <w:sz w:val="2"/>
                <w:szCs w:val="2"/>
              </w:rPr>
            </w:pPr>
          </w:p>
        </w:tc>
        <w:tc>
          <w:tcPr>
            <w:tcW w:w="1308" w:type="dxa"/>
            <w:tcBorders>
              <w:top w:val="single" w:sz="2" w:space="0" w:color="A4A4A4"/>
            </w:tcBorders>
            <w:shd w:val="clear" w:color="auto" w:fill="E7EFF8"/>
          </w:tcPr>
          <w:p w:rsidR="008F03B5" w:rsidRDefault="00586B9B">
            <w:pPr>
              <w:pStyle w:val="TableParagraph"/>
              <w:spacing w:line="265" w:lineRule="exact"/>
              <w:ind w:left="247" w:right="241"/>
              <w:jc w:val="center"/>
            </w:pPr>
            <w:r>
              <w:t>≥6.0</w:t>
            </w:r>
          </w:p>
        </w:tc>
        <w:tc>
          <w:tcPr>
            <w:tcW w:w="1270" w:type="dxa"/>
            <w:shd w:val="clear" w:color="auto" w:fill="E7EFF8"/>
          </w:tcPr>
          <w:p w:rsidR="008F03B5" w:rsidRDefault="00586B9B">
            <w:pPr>
              <w:pStyle w:val="TableParagraph"/>
              <w:spacing w:line="265" w:lineRule="exact"/>
              <w:ind w:left="127" w:right="121"/>
              <w:jc w:val="center"/>
            </w:pPr>
            <w:r>
              <w:t>4.9</w:t>
            </w:r>
          </w:p>
        </w:tc>
        <w:tc>
          <w:tcPr>
            <w:tcW w:w="1639" w:type="dxa"/>
            <w:shd w:val="clear" w:color="auto" w:fill="E7EFF8"/>
          </w:tcPr>
          <w:p w:rsidR="008F03B5" w:rsidRDefault="00586B9B">
            <w:pPr>
              <w:pStyle w:val="TableParagraph"/>
              <w:spacing w:line="265" w:lineRule="exact"/>
              <w:ind w:left="106"/>
            </w:pPr>
            <w:r>
              <w:t>*IRR 2.88</w:t>
            </w:r>
          </w:p>
        </w:tc>
      </w:tr>
    </w:tbl>
    <w:p w:rsidR="008F03B5" w:rsidRDefault="008F03B5">
      <w:pPr>
        <w:pStyle w:val="a3"/>
        <w:spacing w:before="6"/>
        <w:rPr>
          <w:sz w:val="20"/>
        </w:rPr>
      </w:pPr>
    </w:p>
    <w:p w:rsidR="008F03B5" w:rsidRDefault="00586B9B">
      <w:pPr>
        <w:pStyle w:val="3"/>
        <w:spacing w:before="56"/>
      </w:pPr>
      <w:r>
        <w:t>Table 3: Prevalence of hyperkalaemia and mortality rate in patients with CKD.</w:t>
      </w:r>
    </w:p>
    <w:p w:rsidR="008F03B5" w:rsidRDefault="00586B9B">
      <w:pPr>
        <w:spacing w:before="44"/>
        <w:ind w:left="217"/>
        <w:rPr>
          <w:sz w:val="18"/>
        </w:rPr>
      </w:pPr>
      <w:r>
        <w:rPr>
          <w:sz w:val="18"/>
        </w:rPr>
        <w:t xml:space="preserve">NA – not available; </w:t>
      </w:r>
      <w:r>
        <w:rPr>
          <w:sz w:val="18"/>
          <w:vertAlign w:val="superscript"/>
        </w:rPr>
        <w:t>+</w:t>
      </w:r>
      <w:r>
        <w:rPr>
          <w:sz w:val="18"/>
        </w:rPr>
        <w:t xml:space="preserve">HR – Hazard Ratio; </w:t>
      </w:r>
      <w:r>
        <w:rPr>
          <w:sz w:val="18"/>
          <w:vertAlign w:val="superscript"/>
        </w:rPr>
        <w:t>#</w:t>
      </w:r>
      <w:r>
        <w:rPr>
          <w:sz w:val="18"/>
        </w:rPr>
        <w:t>OR - Odds Ratio; AUC- Area Under Curve; *IRR- Incident rate ratio</w:t>
      </w:r>
    </w:p>
    <w:p w:rsidR="008F03B5" w:rsidRDefault="008F03B5">
      <w:pPr>
        <w:pStyle w:val="a3"/>
      </w:pPr>
    </w:p>
    <w:p w:rsidR="008F03B5" w:rsidRDefault="00586B9B">
      <w:pPr>
        <w:pStyle w:val="a3"/>
        <w:spacing w:before="191" w:line="276" w:lineRule="auto"/>
        <w:ind w:left="217" w:right="339"/>
      </w:pPr>
      <w:r>
        <w:t>Hyperkalaemia is associated with increased hospitalisation, prolongation of hospital stay and increased mortality. Horne et al showed the incidence rates for all-cause hospitalisation in adults was 14.1 per 100 person years</w:t>
      </w:r>
      <w:r w:rsidR="00903055">
        <w:t>.</w:t>
      </w:r>
      <w:r w:rsidR="00903055">
        <w:rPr>
          <w:vertAlign w:val="superscript"/>
        </w:rPr>
        <w:t>9</w:t>
      </w:r>
      <w:r w:rsidR="00903055">
        <w:t xml:space="preserve"> </w:t>
      </w:r>
      <w:r w:rsidR="00903055">
        <w:rPr>
          <w:rFonts w:ascii="宋体" w:eastAsia="宋体" w:hAnsi="宋体" w:cs="宋体" w:hint="eastAsia"/>
        </w:rPr>
        <w:t>。。</w:t>
      </w:r>
      <w:r w:rsidR="00903055">
        <w:t>T</w:t>
      </w:r>
      <w:r>
        <w:t>urgutalp et al demonstrated a higher incidence of hospitalisation for hyperkalaemia in the elderly population: age 65-74 years (46%), age 75-84 years (44%) and ≥ 85 years (74%)</w:t>
      </w:r>
      <w:r w:rsidR="00903055">
        <w:t>.</w:t>
      </w:r>
      <w:r w:rsidR="00903055">
        <w:rPr>
          <w:vertAlign w:val="superscript"/>
        </w:rPr>
        <w:t>6</w:t>
      </w:r>
      <w:r w:rsidR="00903055">
        <w:t xml:space="preserve"> </w:t>
      </w:r>
      <w:r w:rsidR="00903055">
        <w:rPr>
          <w:rFonts w:ascii="宋体" w:eastAsia="宋体" w:hAnsi="宋体" w:cs="宋体" w:hint="eastAsia"/>
        </w:rPr>
        <w:t>。。</w:t>
      </w:r>
      <w:r w:rsidR="00903055">
        <w:t>M</w:t>
      </w:r>
      <w:r>
        <w:t>ortality increases with worsening severity of hyperkalaemia in the general population and in patients with CKD.</w:t>
      </w:r>
      <w:r>
        <w:rPr>
          <w:vertAlign w:val="superscript"/>
        </w:rPr>
        <w:t>8,</w:t>
      </w:r>
      <w:r>
        <w:t xml:space="preserve"> </w:t>
      </w:r>
      <w:r>
        <w:rPr>
          <w:vertAlign w:val="superscript"/>
        </w:rPr>
        <w:t>9,</w:t>
      </w:r>
      <w:r>
        <w:t xml:space="preserve"> </w:t>
      </w:r>
      <w:r>
        <w:rPr>
          <w:vertAlign w:val="superscript"/>
        </w:rPr>
        <w:t>18,</w:t>
      </w:r>
      <w:r>
        <w:t xml:space="preserve"> </w:t>
      </w:r>
      <w:r>
        <w:rPr>
          <w:vertAlign w:val="superscript"/>
        </w:rPr>
        <w:t>19</w:t>
      </w:r>
    </w:p>
    <w:p w:rsidR="008F03B5" w:rsidRDefault="00586B9B">
      <w:pPr>
        <w:pStyle w:val="a3"/>
        <w:spacing w:before="198" w:line="278" w:lineRule="auto"/>
        <w:ind w:left="217" w:right="337"/>
        <w:jc w:val="both"/>
      </w:pPr>
      <w:r>
        <w:t>This chapter focuses on the detection, treatment and prevention of hyperkalaemia in the community. It will address the management of patients receiving RAASi drugs, indications for hospital admission and the use of novel oral potassium lowering drugs.</w:t>
      </w:r>
    </w:p>
    <w:p w:rsidR="008F03B5" w:rsidRDefault="008F03B5">
      <w:pPr>
        <w:pStyle w:val="a3"/>
        <w:spacing w:before="5"/>
        <w:rPr>
          <w:sz w:val="19"/>
        </w:rPr>
      </w:pPr>
    </w:p>
    <w:p w:rsidR="008F03B5" w:rsidRDefault="00586B9B">
      <w:pPr>
        <w:spacing w:before="1"/>
        <w:ind w:left="217"/>
        <w:rPr>
          <w:b/>
          <w:sz w:val="24"/>
        </w:rPr>
      </w:pPr>
      <w:r>
        <w:rPr>
          <w:b/>
          <w:color w:val="44536A"/>
          <w:sz w:val="24"/>
        </w:rPr>
        <w:t>References</w:t>
      </w:r>
    </w:p>
    <w:p w:rsidR="008F03B5" w:rsidRDefault="00586B9B" w:rsidP="00586B9B">
      <w:pPr>
        <w:pStyle w:val="a4"/>
        <w:numPr>
          <w:ilvl w:val="0"/>
          <w:numId w:val="64"/>
        </w:numPr>
        <w:tabs>
          <w:tab w:val="left" w:pos="939"/>
        </w:tabs>
        <w:spacing w:before="40" w:line="273" w:lineRule="auto"/>
        <w:ind w:right="532"/>
      </w:pPr>
      <w:r>
        <w:t xml:space="preserve">Clark, A.L., et al., </w:t>
      </w:r>
      <w:r>
        <w:rPr>
          <w:i/>
        </w:rPr>
        <w:t>Change in renal function associated with drug treatment in heart failure: national guidance</w:t>
      </w:r>
      <w:r>
        <w:t xml:space="preserve">. Heart, 2019. </w:t>
      </w:r>
      <w:r>
        <w:rPr>
          <w:b/>
        </w:rPr>
        <w:t>105</w:t>
      </w:r>
      <w:r>
        <w:t>(12): p.</w:t>
      </w:r>
      <w:r>
        <w:rPr>
          <w:spacing w:val="-3"/>
        </w:rPr>
        <w:t xml:space="preserve"> </w:t>
      </w:r>
      <w:r>
        <w:t>904-910.</w:t>
      </w:r>
    </w:p>
    <w:p w:rsidR="008F03B5" w:rsidRDefault="00586B9B" w:rsidP="00586B9B">
      <w:pPr>
        <w:pStyle w:val="a4"/>
        <w:numPr>
          <w:ilvl w:val="0"/>
          <w:numId w:val="64"/>
        </w:numPr>
        <w:tabs>
          <w:tab w:val="left" w:pos="939"/>
        </w:tabs>
        <w:spacing w:before="4" w:line="276" w:lineRule="auto"/>
        <w:ind w:right="314"/>
      </w:pPr>
      <w:r>
        <w:t xml:space="preserve">Palmer, B.F. and D.J. Clegg, </w:t>
      </w:r>
      <w:r>
        <w:rPr>
          <w:i/>
        </w:rPr>
        <w:t>Diagnosis and treatment of hyperkalemia</w:t>
      </w:r>
      <w:r>
        <w:t xml:space="preserve">. Cleve Clin J Med, 2017. </w:t>
      </w:r>
      <w:r>
        <w:rPr>
          <w:b/>
        </w:rPr>
        <w:t>84</w:t>
      </w:r>
      <w:r>
        <w:t>(12): p. 934-942.</w:t>
      </w:r>
    </w:p>
    <w:p w:rsidR="008F03B5" w:rsidRDefault="008F03B5">
      <w:pPr>
        <w:spacing w:line="278" w:lineRule="auto"/>
        <w:sectPr w:rsidR="008F03B5">
          <w:pgSz w:w="11910" w:h="16840"/>
          <w:pgMar w:top="1540" w:right="780" w:bottom="1100" w:left="860" w:header="425" w:footer="912" w:gutter="0"/>
          <w:cols w:space="720"/>
        </w:sectPr>
      </w:pPr>
    </w:p>
    <w:p w:rsidR="008F03B5" w:rsidRDefault="00586B9B">
      <w:pPr>
        <w:pStyle w:val="2"/>
        <w:spacing w:before="119"/>
      </w:pPr>
      <w:bookmarkStart w:id="3" w:name="_bookmark9"/>
      <w:bookmarkEnd w:id="3"/>
      <w:r>
        <w:rPr>
          <w:color w:val="1F4E79"/>
        </w:rPr>
        <w:lastRenderedPageBreak/>
        <w:t>Patient monitoring (Guidelines 1.1-1.2)</w:t>
      </w:r>
    </w:p>
    <w:p w:rsidR="008F03B5" w:rsidRDefault="00586B9B">
      <w:pPr>
        <w:pStyle w:val="3"/>
        <w:spacing w:before="40"/>
      </w:pPr>
      <w:r>
        <w:t>Guideline 1.1 – Monitoring of patients at risk of Hyperkalaemia in the community.</w:t>
      </w:r>
    </w:p>
    <w:p w:rsidR="008F03B5" w:rsidRDefault="00586B9B">
      <w:pPr>
        <w:pStyle w:val="a3"/>
        <w:spacing w:before="41" w:line="276" w:lineRule="auto"/>
        <w:ind w:left="217" w:right="402"/>
      </w:pPr>
      <w:r>
        <w:t>We recommend that patients known to have CKD, heart failure and/or diabetes, who are at risk of hyperkalaemia, undergo regular blood monitoring at a frequency (2-4 times per year) dependent on level of renal function and degree of proteinuria. (1B)</w:t>
      </w:r>
    </w:p>
    <w:p w:rsidR="008F03B5" w:rsidRDefault="008F03B5">
      <w:pPr>
        <w:pStyle w:val="a3"/>
        <w:spacing w:before="5"/>
        <w:rPr>
          <w:sz w:val="25"/>
        </w:rPr>
      </w:pPr>
    </w:p>
    <w:p w:rsidR="008F03B5" w:rsidRDefault="00586B9B">
      <w:pPr>
        <w:pStyle w:val="3"/>
        <w:spacing w:line="276" w:lineRule="auto"/>
        <w:ind w:right="1298"/>
      </w:pPr>
      <w:r>
        <w:t>Guideline 1.2.1 – Monitoring of patients after an episode of mild hyperkalaemia detected in the community.</w:t>
      </w:r>
    </w:p>
    <w:p w:rsidR="008F03B5" w:rsidRDefault="00586B9B">
      <w:pPr>
        <w:pStyle w:val="a3"/>
        <w:spacing w:line="276" w:lineRule="auto"/>
        <w:ind w:left="217" w:right="728"/>
      </w:pPr>
      <w:r>
        <w:t>We recommend that the serum K+ is repeated within 3 days, or as soon as feasible, if an episode of mild hyperkalaemia (K+ 5.5 – 5.9 mmol/l) is detected unexpectedly in the community. (1C)</w:t>
      </w:r>
    </w:p>
    <w:p w:rsidR="008F03B5" w:rsidRDefault="008F03B5">
      <w:pPr>
        <w:pStyle w:val="a3"/>
        <w:spacing w:before="3"/>
        <w:rPr>
          <w:sz w:val="25"/>
        </w:rPr>
      </w:pPr>
    </w:p>
    <w:p w:rsidR="008F03B5" w:rsidRDefault="00586B9B">
      <w:pPr>
        <w:pStyle w:val="3"/>
        <w:spacing w:line="276" w:lineRule="auto"/>
        <w:ind w:right="803"/>
      </w:pPr>
      <w:r>
        <w:t>Guideline 1.2.2 – Monitoring of patients after an episode of moderate hyperkalaemia detected in the community.</w:t>
      </w:r>
    </w:p>
    <w:p w:rsidR="008F03B5" w:rsidRDefault="00586B9B">
      <w:pPr>
        <w:pStyle w:val="a3"/>
        <w:spacing w:before="2"/>
        <w:ind w:left="217"/>
      </w:pPr>
      <w:r>
        <w:t>We recommend that the serum K+ is repeated within 1 day of an episode of moderate hyperkalaemia (K+ 6.0</w:t>
      </w:r>
    </w:p>
    <w:p w:rsidR="008F03B5" w:rsidRDefault="00586B9B">
      <w:pPr>
        <w:pStyle w:val="a3"/>
        <w:spacing w:before="38"/>
        <w:ind w:left="217"/>
      </w:pPr>
      <w:r>
        <w:t>– 6.4 mmol/l) when detected in the community. (1C)</w:t>
      </w:r>
    </w:p>
    <w:p w:rsidR="008F03B5" w:rsidRDefault="008F03B5">
      <w:pPr>
        <w:pStyle w:val="a3"/>
        <w:spacing w:before="9"/>
        <w:rPr>
          <w:sz w:val="28"/>
        </w:rPr>
      </w:pPr>
    </w:p>
    <w:p w:rsidR="008F03B5" w:rsidRDefault="00586B9B">
      <w:pPr>
        <w:pStyle w:val="3"/>
        <w:spacing w:line="273" w:lineRule="auto"/>
        <w:ind w:right="1101"/>
      </w:pPr>
      <w:r>
        <w:t>Guideline 1.2.3 – Monitoring of patients after an episode of severe hyperkalaemia detected in the community.</w:t>
      </w:r>
    </w:p>
    <w:p w:rsidR="008F03B5" w:rsidRDefault="00586B9B">
      <w:pPr>
        <w:pStyle w:val="a3"/>
        <w:spacing w:before="5" w:line="276" w:lineRule="auto"/>
        <w:ind w:left="217" w:right="518"/>
      </w:pPr>
      <w:r>
        <w:t>We recommend that patients with severe hyperkalaemia (K+ ≥ 6.5 mmol/l) detected in the community are admitted for immediate assessment and treatment. (1B)</w:t>
      </w:r>
    </w:p>
    <w:p w:rsidR="008F03B5" w:rsidRDefault="008F03B5">
      <w:pPr>
        <w:pStyle w:val="a3"/>
      </w:pPr>
    </w:p>
    <w:p w:rsidR="008F03B5" w:rsidRDefault="008F03B5">
      <w:pPr>
        <w:pStyle w:val="a3"/>
        <w:spacing w:before="2"/>
        <w:rPr>
          <w:sz w:val="23"/>
        </w:rPr>
      </w:pPr>
    </w:p>
    <w:p w:rsidR="008F03B5" w:rsidRDefault="00586B9B">
      <w:pPr>
        <w:ind w:left="217"/>
        <w:rPr>
          <w:b/>
          <w:sz w:val="24"/>
        </w:rPr>
      </w:pPr>
      <w:r>
        <w:rPr>
          <w:b/>
          <w:color w:val="44536A"/>
          <w:sz w:val="24"/>
        </w:rPr>
        <w:t>Audit measure</w:t>
      </w:r>
    </w:p>
    <w:p w:rsidR="008F03B5" w:rsidRDefault="00586B9B">
      <w:pPr>
        <w:pStyle w:val="a3"/>
        <w:spacing w:before="40" w:line="276" w:lineRule="auto"/>
        <w:ind w:left="938" w:right="546" w:hanging="360"/>
      </w:pPr>
      <w:r>
        <w:t>1. Frequency of hospital admission for severe hyperkalaemia (serum K+ &gt; 6.5 mmol/l) detected on routine blood test in the community.</w:t>
      </w:r>
    </w:p>
    <w:p w:rsidR="008F03B5" w:rsidRDefault="008F03B5">
      <w:pPr>
        <w:pStyle w:val="a3"/>
      </w:pPr>
    </w:p>
    <w:p w:rsidR="008F03B5" w:rsidRDefault="008F03B5">
      <w:pPr>
        <w:pStyle w:val="a3"/>
        <w:spacing w:before="5"/>
        <w:rPr>
          <w:sz w:val="23"/>
        </w:rPr>
      </w:pPr>
    </w:p>
    <w:p w:rsidR="008F03B5" w:rsidRDefault="00586B9B">
      <w:pPr>
        <w:ind w:left="217"/>
        <w:rPr>
          <w:b/>
          <w:sz w:val="24"/>
        </w:rPr>
      </w:pPr>
      <w:r>
        <w:rPr>
          <w:b/>
          <w:color w:val="44536A"/>
          <w:sz w:val="24"/>
        </w:rPr>
        <w:t>Rationale (Guideline 1.1 – 1.2)</w:t>
      </w:r>
    </w:p>
    <w:p w:rsidR="008F03B5" w:rsidRDefault="00586B9B">
      <w:pPr>
        <w:pStyle w:val="a3"/>
        <w:spacing w:before="40" w:line="276" w:lineRule="auto"/>
        <w:ind w:left="217" w:right="362"/>
      </w:pPr>
      <w:r>
        <w:t>Patients with CKD are at risk of hyperkalaemia and progression of their underlying kidney disease, therefore require regular blood monitoring in the community. The NICE CKD Guideline suggests that the frequency of monitoring should be tailored to the level of renal function, rate of decline in renal function and degree of proteinuria</w:t>
      </w:r>
      <w:r w:rsidR="00903055">
        <w:t>.</w:t>
      </w:r>
      <w:r w:rsidR="00903055">
        <w:rPr>
          <w:vertAlign w:val="superscript"/>
        </w:rPr>
        <w:t>1</w:t>
      </w:r>
      <w:r w:rsidR="00903055">
        <w:t xml:space="preserve"> </w:t>
      </w:r>
      <w:r w:rsidR="00903055">
        <w:rPr>
          <w:rFonts w:ascii="宋体" w:eastAsia="宋体" w:hAnsi="宋体" w:cs="宋体" w:hint="eastAsia"/>
        </w:rPr>
        <w:t>。。</w:t>
      </w:r>
      <w:r w:rsidR="00903055">
        <w:t>P</w:t>
      </w:r>
      <w:r>
        <w:t>atients with CKD 1-3 require monitoring at least 1-2 times per year and patients with CKD 4-5 require monitoring at least 2-4 times per year. More frequent monitoring is indicated during acute illness and following an episode of AKI or hyperkalaemia.</w:t>
      </w:r>
    </w:p>
    <w:p w:rsidR="008F03B5" w:rsidRDefault="008F03B5">
      <w:pPr>
        <w:pStyle w:val="a3"/>
        <w:spacing w:before="5"/>
        <w:rPr>
          <w:sz w:val="25"/>
        </w:rPr>
      </w:pPr>
    </w:p>
    <w:p w:rsidR="008F03B5" w:rsidRDefault="00586B9B">
      <w:pPr>
        <w:pStyle w:val="a3"/>
        <w:spacing w:line="276" w:lineRule="auto"/>
        <w:ind w:left="217" w:right="307"/>
      </w:pPr>
      <w:r>
        <w:t>Several observational studies have reported the frequency of blood monitoring in patients with CKD in relation to detection of hyperkalaemic events.  Chang et al showed that the proportion of patients who had a serum K+ level performed over a 3 year period was 0 tests/ year (20%), &lt;2 tests/ year (58%), 2-3 tests/ year (16%) and ≥4 tests/ year (6%)</w:t>
      </w:r>
      <w:r w:rsidR="00903055">
        <w:t>.</w:t>
      </w:r>
      <w:r w:rsidR="00903055">
        <w:rPr>
          <w:vertAlign w:val="superscript"/>
        </w:rPr>
        <w:t>2</w:t>
      </w:r>
      <w:r w:rsidR="00903055">
        <w:t xml:space="preserve"> </w:t>
      </w:r>
      <w:r w:rsidR="00903055">
        <w:rPr>
          <w:rFonts w:ascii="宋体" w:eastAsia="宋体" w:hAnsi="宋体" w:cs="宋体" w:hint="eastAsia"/>
        </w:rPr>
        <w:t>。。</w:t>
      </w:r>
      <w:r w:rsidR="00903055">
        <w:t>I</w:t>
      </w:r>
      <w:r>
        <w:t>n patients with an eGFR &lt; 30ml/min who had ≥4 tests per year, hyperkalaemia was found in</w:t>
      </w:r>
      <w:r>
        <w:rPr>
          <w:spacing w:val="-7"/>
        </w:rPr>
        <w:t xml:space="preserve"> </w:t>
      </w:r>
      <w:r>
        <w:t>30%.</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7"/>
        <w:rPr>
          <w:sz w:val="26"/>
        </w:rPr>
      </w:pPr>
    </w:p>
    <w:p w:rsidR="008F03B5" w:rsidRDefault="009A3CBD">
      <w:pPr>
        <w:pStyle w:val="a3"/>
        <w:ind w:left="939"/>
        <w:rPr>
          <w:sz w:val="20"/>
        </w:rPr>
      </w:pPr>
      <w:r>
        <w:rPr>
          <w:sz w:val="20"/>
        </w:rPr>
      </w:r>
      <w:r>
        <w:rPr>
          <w:sz w:val="20"/>
        </w:rPr>
        <w:pict>
          <v:shapetype id="_x0000_t202" coordsize="21600,21600" o:spt="202" path="m,l,21600r21600,l21600,xe">
            <v:stroke joinstyle="miter"/>
            <v:path gradientshapeok="t" o:connecttype="rect"/>
          </v:shapetype>
          <v:shape id="_x0000_s1080" type="#_x0000_t202" style="width:386.6pt;height:101.3pt;mso-left-percent:-10001;mso-top-percent:-10001;mso-position-horizontal:absolute;mso-position-horizontal-relative:char;mso-position-vertical:absolute;mso-position-vertical-relative:line;mso-left-percent:-10001;mso-top-percent:-10001" fillcolor="#deebf7">
            <v:textbox inset="0,0,0,0">
              <w:txbxContent>
                <w:p w:rsidR="008F03B5" w:rsidRDefault="00586B9B">
                  <w:pPr>
                    <w:spacing w:before="192" w:line="276" w:lineRule="auto"/>
                    <w:ind w:left="144"/>
                    <w:rPr>
                      <w:b/>
                      <w:sz w:val="24"/>
                    </w:rPr>
                  </w:pPr>
                  <w:r>
                    <w:rPr>
                      <w:b/>
                      <w:sz w:val="24"/>
                    </w:rPr>
                    <w:t>The more often you test, the more often you will detect hyperkalaemia, especially in patients at risk.</w:t>
                  </w:r>
                </w:p>
                <w:p w:rsidR="008F03B5" w:rsidRDefault="00586B9B">
                  <w:pPr>
                    <w:spacing w:before="199" w:line="273" w:lineRule="auto"/>
                    <w:ind w:left="144" w:right="716"/>
                    <w:rPr>
                      <w:b/>
                      <w:sz w:val="24"/>
                    </w:rPr>
                  </w:pPr>
                  <w:r>
                    <w:rPr>
                      <w:b/>
                      <w:sz w:val="24"/>
                    </w:rPr>
                    <w:t>Patients with CKD 4-5 have a high risk of hyperkalaemia and warrant regular testing.</w:t>
                  </w:r>
                </w:p>
              </w:txbxContent>
            </v:textbox>
            <w10:anchorlock/>
          </v:shape>
        </w:pict>
      </w:r>
    </w:p>
    <w:p w:rsidR="008F03B5" w:rsidRDefault="008F03B5">
      <w:pPr>
        <w:pStyle w:val="a3"/>
        <w:rPr>
          <w:sz w:val="20"/>
        </w:rPr>
      </w:pPr>
    </w:p>
    <w:p w:rsidR="008F03B5" w:rsidRDefault="008F03B5">
      <w:pPr>
        <w:pStyle w:val="a3"/>
        <w:spacing w:before="7"/>
        <w:rPr>
          <w:sz w:val="28"/>
        </w:rPr>
      </w:pPr>
    </w:p>
    <w:p w:rsidR="008F03B5" w:rsidRDefault="00586B9B" w:rsidP="00C07B5E">
      <w:pPr>
        <w:pStyle w:val="a3"/>
        <w:spacing w:before="57" w:line="278" w:lineRule="auto"/>
        <w:ind w:left="217" w:right="456"/>
      </w:pPr>
      <w:r>
        <w:t>Luo et al reported the frequency of blood monitoring stratified by level of renal function and level of serum K+</w:t>
      </w:r>
      <w:r w:rsidR="00903055">
        <w:t>.</w:t>
      </w:r>
      <w:r w:rsidR="00903055">
        <w:rPr>
          <w:vertAlign w:val="superscript"/>
        </w:rPr>
        <w:t>3</w:t>
      </w:r>
      <w:r w:rsidR="00903055">
        <w:t xml:space="preserve"> </w:t>
      </w:r>
      <w:r w:rsidR="00903055">
        <w:rPr>
          <w:rFonts w:ascii="宋体" w:eastAsia="宋体" w:hAnsi="宋体" w:cs="宋体" w:hint="eastAsia"/>
        </w:rPr>
        <w:t>。。</w:t>
      </w:r>
      <w:r w:rsidR="00903055">
        <w:t>I</w:t>
      </w:r>
      <w:r>
        <w:t>n patients with an eGFR &lt; 30 ml/min, the mean frequency of tests per year was 1.69 ± 1.35 (serum K+</w:t>
      </w:r>
      <w:r w:rsidR="00C07B5E">
        <w:t xml:space="preserve"> </w:t>
      </w:r>
      <w:r>
        <w:t>5.5 – 5.9 mmol/l) and 1.37 ± 0.98 (serum K+ ≥ 6 mmol/l) respectively. In patients with an eGFR 50-59 ml/min, the mean frequency of tests per year was 1.34 ± 0.92 (serum K+ 5.5 – 5.9 mmol/l) and 1.21 ± 0.73 (serum K+</w:t>
      </w:r>
      <w:r w:rsidR="00C07B5E">
        <w:t xml:space="preserve"> </w:t>
      </w:r>
      <w:r>
        <w:t>≥ 6 mmol/l) respectively. Similar to Chang et al, detection of hyperkalaemia increases with frequency of testing. Overall, the frequency of monitoring in these studies was generally 1-2 times per year, with more frequent testing in patients with an eGFR &lt; 30 ml/min.</w:t>
      </w:r>
    </w:p>
    <w:p w:rsidR="008F03B5" w:rsidRDefault="00586B9B" w:rsidP="00C07B5E">
      <w:pPr>
        <w:pStyle w:val="a3"/>
        <w:spacing w:before="120" w:line="276" w:lineRule="auto"/>
        <w:ind w:left="217" w:right="396"/>
      </w:pPr>
      <w:r>
        <w:t>The interval between hyperkalaemic episodes was reported in a large retrospective cohort of patients with CKD</w:t>
      </w:r>
      <w:r w:rsidR="00903055">
        <w:t>.</w:t>
      </w:r>
      <w:r w:rsidR="00903055">
        <w:rPr>
          <w:vertAlign w:val="superscript"/>
        </w:rPr>
        <w:t>4</w:t>
      </w:r>
      <w:r w:rsidR="00903055">
        <w:t xml:space="preserve"> </w:t>
      </w:r>
      <w:r w:rsidR="00903055">
        <w:rPr>
          <w:rFonts w:ascii="宋体" w:eastAsia="宋体" w:hAnsi="宋体" w:cs="宋体" w:hint="eastAsia"/>
        </w:rPr>
        <w:t>。。</w:t>
      </w:r>
      <w:r w:rsidR="00903055">
        <w:t>T</w:t>
      </w:r>
      <w:r>
        <w:t>his study utilised data from primary care records for approximately 7% of the UK population over a mean follow-up of 4.9 years. Patients experiencing at least one episode of hyperkalaemia was stratified in three groups: serum K+ 5.0 – 5.4 mmol/l (45.2%), 5.5 – 5.9 mmol/l (15.9%) and ≥ 6.0 mmol/l (4.9%). The time interval to a recurrent episode of hyperkalaemia progressively shortened in each severity group. The interval between the first to second episodes in patients with serum K+ 5.5 – 5.9 mmol/l was 0.84 years and reduced to 0.59 years between the second and third episode and 0.48 years between the third and fourth</w:t>
      </w:r>
      <w:r w:rsidR="00C07B5E">
        <w:t xml:space="preserve"> </w:t>
      </w:r>
      <w:r>
        <w:t>episode. The interval between recurrent episodes was shorter in patients with serum K+ ≥ 6 mmol/l (0.65,</w:t>
      </w:r>
      <w:r w:rsidR="00C07B5E">
        <w:t xml:space="preserve"> </w:t>
      </w:r>
      <w:r>
        <w:t>0.41 and 0.30 years respectively).</w:t>
      </w:r>
    </w:p>
    <w:p w:rsidR="008F03B5" w:rsidRDefault="00586B9B">
      <w:pPr>
        <w:pStyle w:val="a3"/>
        <w:spacing w:before="161" w:line="276" w:lineRule="auto"/>
        <w:ind w:left="217" w:right="570"/>
      </w:pPr>
      <w:r>
        <w:t>This collective data would suggest that monitoring serum K+ at least twice per year in patients at risk of hyperkalaemia is a reasonable approach. The frequency of monitoring should be increased to at least four times per year in patients with an eGFR &lt; 30 ml/min and in patients with a serum K+ ≥ 6 mmol/l given the high risk of recurrence.</w:t>
      </w:r>
    </w:p>
    <w:p w:rsidR="008F03B5" w:rsidRDefault="00586B9B">
      <w:pPr>
        <w:pStyle w:val="a3"/>
        <w:spacing w:before="121" w:line="276" w:lineRule="auto"/>
        <w:ind w:left="217" w:right="336"/>
      </w:pPr>
      <w:r>
        <w:t>The interval for blood monitoring after a hyperkalaemic event is less well documented. Horne et al demonstrated that only 5.8% of patients had a repeat serum K+ performed within 14 days of the hyperkalaemic event, but a large number of patients had a serum K+ &lt; 5.5 mmol/l which may have been perceived to be non-urgent</w:t>
      </w:r>
      <w:r w:rsidR="00903055">
        <w:t>.</w:t>
      </w:r>
      <w:r w:rsidR="00903055">
        <w:rPr>
          <w:vertAlign w:val="superscript"/>
        </w:rPr>
        <w:t>5</w:t>
      </w:r>
      <w:r w:rsidR="00903055">
        <w:t xml:space="preserve"> </w:t>
      </w:r>
      <w:r w:rsidR="00903055">
        <w:rPr>
          <w:rFonts w:ascii="宋体" w:eastAsia="宋体" w:hAnsi="宋体" w:cs="宋体" w:hint="eastAsia"/>
        </w:rPr>
        <w:t>。。</w:t>
      </w:r>
      <w:r w:rsidR="00903055">
        <w:t>A</w:t>
      </w:r>
      <w:r>
        <w:t xml:space="preserve"> repeat level occurred more commonly in patients with K+ &gt; 6.0 mmol/l (55.3%) compared with those with a serum K+ 5.6 – 6.0 mmol/l (23.4%) or serum K+ 5.0 – 5.5 mmol/l (3.9%). In patients with a serum K+ &gt; 6.0 mmol/l at the index event, 36.8% had an elevated K+ level on re-testing.</w:t>
      </w:r>
    </w:p>
    <w:p w:rsidR="008F03B5" w:rsidRDefault="00586B9B" w:rsidP="00C07B5E">
      <w:pPr>
        <w:pStyle w:val="a3"/>
        <w:spacing w:before="120" w:line="276" w:lineRule="auto"/>
        <w:ind w:left="217" w:right="507"/>
        <w:sectPr w:rsidR="008F03B5">
          <w:pgSz w:w="11910" w:h="16840"/>
          <w:pgMar w:top="1540" w:right="780" w:bottom="1100" w:left="860" w:header="425" w:footer="912" w:gutter="0"/>
          <w:cols w:space="720"/>
        </w:sectPr>
      </w:pPr>
      <w:r>
        <w:t>‘Think Kidneys’ have provided practical guidance on repeat testing after a hyperkalaemic episode</w:t>
      </w:r>
      <w:r w:rsidR="00903055">
        <w:t>.</w:t>
      </w:r>
      <w:r w:rsidR="00903055">
        <w:rPr>
          <w:vertAlign w:val="superscript"/>
        </w:rPr>
        <w:t>6</w:t>
      </w:r>
      <w:r w:rsidR="00903055">
        <w:t xml:space="preserve"> </w:t>
      </w:r>
      <w:r w:rsidR="00903055">
        <w:rPr>
          <w:rFonts w:ascii="宋体" w:eastAsia="宋体" w:hAnsi="宋体" w:cs="宋体" w:hint="eastAsia"/>
        </w:rPr>
        <w:t>。。</w:t>
      </w:r>
      <w:r w:rsidR="00903055">
        <w:t>T</w:t>
      </w:r>
      <w:r>
        <w:t>he timing is guided by the level of hyperkalaemia and clinical context. In patients with mild hyperkalaemia (K+</w:t>
      </w:r>
      <w:r w:rsidR="00C07B5E">
        <w:t xml:space="preserve"> 5.5 </w:t>
      </w:r>
      <w:r>
        <w:t>– 5.9 mmol/l), a repeat test is recommended within 3 days if the result was unexpected or as soon as feasible if the patient is clinically stable. In patients with moderate hyperkalaemia (K+ 6.0 – 6.4 mmol/l), a repeat test is recommended within 1 working day if detected on a routine check in a stable patient, but referral to hospital should be considered if clinically unwell or if an AKI is present. Patients with severe hyperkalaemia (K+ ≥ 6.5 mmol/l) warrant urgent referral to hospital for immediate assessment</w:t>
      </w:r>
      <w:r w:rsidRPr="00C07B5E">
        <w:rPr>
          <w:spacing w:val="-26"/>
        </w:rPr>
        <w:t xml:space="preserve"> </w:t>
      </w:r>
      <w:r>
        <w:t>and</w:t>
      </w:r>
      <w:r w:rsidR="00C07B5E">
        <w:t xml:space="preserve"> </w:t>
      </w:r>
    </w:p>
    <w:p w:rsidR="008F03B5" w:rsidRDefault="00586B9B">
      <w:pPr>
        <w:pStyle w:val="a3"/>
        <w:spacing w:before="116" w:line="276" w:lineRule="auto"/>
        <w:ind w:left="217" w:right="546"/>
      </w:pPr>
      <w:r>
        <w:lastRenderedPageBreak/>
        <w:t>treatment if required. The recommended interval for repeat testing after a hyperkalaemic episode is summarised in Table 4.</w:t>
      </w:r>
    </w:p>
    <w:p w:rsidR="008F03B5" w:rsidRDefault="008F03B5">
      <w:pPr>
        <w:pStyle w:val="a3"/>
        <w:rPr>
          <w:sz w:val="20"/>
        </w:rPr>
      </w:pPr>
    </w:p>
    <w:p w:rsidR="008F03B5" w:rsidRDefault="008F03B5">
      <w:pPr>
        <w:pStyle w:val="a3"/>
        <w:spacing w:before="5"/>
        <w:rPr>
          <w:sz w:val="15"/>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4"/>
        <w:gridCol w:w="1844"/>
        <w:gridCol w:w="2269"/>
        <w:gridCol w:w="3376"/>
      </w:tblGrid>
      <w:tr w:rsidR="008F03B5">
        <w:trPr>
          <w:trHeight w:val="942"/>
        </w:trPr>
        <w:tc>
          <w:tcPr>
            <w:tcW w:w="2014" w:type="dxa"/>
            <w:tcBorders>
              <w:bottom w:val="single" w:sz="24" w:space="0" w:color="000000"/>
            </w:tcBorders>
            <w:shd w:val="clear" w:color="auto" w:fill="A7C6E7"/>
          </w:tcPr>
          <w:p w:rsidR="008F03B5" w:rsidRDefault="00586B9B">
            <w:pPr>
              <w:pStyle w:val="TableParagraph"/>
              <w:spacing w:before="161"/>
              <w:ind w:left="107"/>
              <w:rPr>
                <w:b/>
              </w:rPr>
            </w:pPr>
            <w:r>
              <w:rPr>
                <w:b/>
              </w:rPr>
              <w:t>Severity of</w:t>
            </w:r>
            <w:r w:rsidR="00C07B5E">
              <w:rPr>
                <w:b/>
              </w:rPr>
              <w:t xml:space="preserve"> </w:t>
            </w:r>
            <w:r>
              <w:rPr>
                <w:b/>
              </w:rPr>
              <w:t>Hyperkalaemia</w:t>
            </w:r>
          </w:p>
        </w:tc>
        <w:tc>
          <w:tcPr>
            <w:tcW w:w="1844" w:type="dxa"/>
            <w:tcBorders>
              <w:bottom w:val="single" w:sz="24" w:space="0" w:color="000000"/>
            </w:tcBorders>
            <w:shd w:val="clear" w:color="auto" w:fill="A7C6E7"/>
          </w:tcPr>
          <w:p w:rsidR="008F03B5" w:rsidRDefault="00586B9B">
            <w:pPr>
              <w:pStyle w:val="TableParagraph"/>
              <w:spacing w:before="161"/>
              <w:ind w:left="107"/>
              <w:rPr>
                <w:b/>
              </w:rPr>
            </w:pPr>
            <w:r>
              <w:rPr>
                <w:b/>
              </w:rPr>
              <w:t>Clinically well</w:t>
            </w:r>
            <w:r w:rsidR="00C07B5E">
              <w:rPr>
                <w:b/>
              </w:rPr>
              <w:t xml:space="preserve"> </w:t>
            </w:r>
            <w:r>
              <w:rPr>
                <w:b/>
              </w:rPr>
              <w:t>(no AKI)</w:t>
            </w:r>
          </w:p>
        </w:tc>
        <w:tc>
          <w:tcPr>
            <w:tcW w:w="2269" w:type="dxa"/>
            <w:tcBorders>
              <w:bottom w:val="single" w:sz="24" w:space="0" w:color="000000"/>
            </w:tcBorders>
            <w:shd w:val="clear" w:color="auto" w:fill="A7C6E7"/>
          </w:tcPr>
          <w:p w:rsidR="008F03B5" w:rsidRDefault="00586B9B">
            <w:pPr>
              <w:pStyle w:val="TableParagraph"/>
              <w:spacing w:before="116"/>
              <w:ind w:left="105"/>
              <w:rPr>
                <w:b/>
              </w:rPr>
            </w:pPr>
            <w:r>
              <w:rPr>
                <w:b/>
              </w:rPr>
              <w:t>Unexpected result</w:t>
            </w:r>
          </w:p>
        </w:tc>
        <w:tc>
          <w:tcPr>
            <w:tcW w:w="3376" w:type="dxa"/>
            <w:tcBorders>
              <w:bottom w:val="single" w:sz="24" w:space="0" w:color="000000"/>
            </w:tcBorders>
            <w:shd w:val="clear" w:color="auto" w:fill="A7C6E7"/>
          </w:tcPr>
          <w:p w:rsidR="008F03B5" w:rsidRDefault="00586B9B">
            <w:pPr>
              <w:pStyle w:val="TableParagraph"/>
              <w:spacing w:before="116"/>
              <w:ind w:left="104"/>
              <w:rPr>
                <w:b/>
              </w:rPr>
            </w:pPr>
            <w:r>
              <w:rPr>
                <w:b/>
              </w:rPr>
              <w:t>Clinically unwell or AKI</w:t>
            </w:r>
          </w:p>
        </w:tc>
      </w:tr>
      <w:tr w:rsidR="008F03B5">
        <w:trPr>
          <w:trHeight w:val="810"/>
        </w:trPr>
        <w:tc>
          <w:tcPr>
            <w:tcW w:w="2014" w:type="dxa"/>
            <w:vMerge w:val="restart"/>
            <w:tcBorders>
              <w:top w:val="single" w:sz="18" w:space="0" w:color="000000"/>
              <w:bottom w:val="single" w:sz="18" w:space="0" w:color="000000"/>
            </w:tcBorders>
            <w:shd w:val="clear" w:color="auto" w:fill="E7EFF8"/>
          </w:tcPr>
          <w:p w:rsidR="008F03B5" w:rsidRDefault="008F03B5">
            <w:pPr>
              <w:pStyle w:val="TableParagraph"/>
              <w:spacing w:before="6"/>
              <w:rPr>
                <w:sz w:val="24"/>
              </w:rPr>
            </w:pPr>
          </w:p>
          <w:p w:rsidR="008F03B5" w:rsidRDefault="00586B9B">
            <w:pPr>
              <w:pStyle w:val="TableParagraph"/>
              <w:ind w:left="107"/>
              <w:rPr>
                <w:b/>
              </w:rPr>
            </w:pPr>
            <w:r>
              <w:rPr>
                <w:b/>
              </w:rPr>
              <w:t>MILD</w:t>
            </w:r>
          </w:p>
          <w:p w:rsidR="008F03B5" w:rsidRDefault="00586B9B">
            <w:pPr>
              <w:pStyle w:val="TableParagraph"/>
              <w:spacing w:before="159"/>
              <w:ind w:left="107"/>
            </w:pPr>
            <w:r>
              <w:t>K</w:t>
            </w:r>
            <w:r>
              <w:rPr>
                <w:vertAlign w:val="superscript"/>
              </w:rPr>
              <w:t>+</w:t>
            </w:r>
            <w:r>
              <w:t xml:space="preserve"> 5.5 – 5.9 mmol/l</w:t>
            </w:r>
          </w:p>
        </w:tc>
        <w:tc>
          <w:tcPr>
            <w:tcW w:w="1844" w:type="dxa"/>
            <w:tcBorders>
              <w:top w:val="single" w:sz="18" w:space="0" w:color="000000"/>
            </w:tcBorders>
            <w:shd w:val="clear" w:color="auto" w:fill="E7EFF8"/>
          </w:tcPr>
          <w:p w:rsidR="008F03B5" w:rsidRDefault="00586B9B">
            <w:pPr>
              <w:pStyle w:val="TableParagraph"/>
              <w:spacing w:before="109" w:line="276" w:lineRule="auto"/>
              <w:ind w:left="107" w:right="188"/>
            </w:pPr>
            <w:r>
              <w:t>Repeat within 14 days</w:t>
            </w:r>
          </w:p>
        </w:tc>
        <w:tc>
          <w:tcPr>
            <w:tcW w:w="2269" w:type="dxa"/>
            <w:tcBorders>
              <w:top w:val="single" w:sz="18" w:space="0" w:color="000000"/>
            </w:tcBorders>
            <w:shd w:val="clear" w:color="auto" w:fill="E7EFF8"/>
          </w:tcPr>
          <w:p w:rsidR="008F03B5" w:rsidRDefault="00586B9B">
            <w:pPr>
              <w:pStyle w:val="TableParagraph"/>
              <w:spacing w:before="109"/>
              <w:ind w:left="105"/>
            </w:pPr>
            <w:r>
              <w:t>Repeat within 3 days</w:t>
            </w:r>
          </w:p>
        </w:tc>
        <w:tc>
          <w:tcPr>
            <w:tcW w:w="3376" w:type="dxa"/>
            <w:tcBorders>
              <w:top w:val="single" w:sz="18" w:space="0" w:color="000000"/>
            </w:tcBorders>
            <w:shd w:val="clear" w:color="auto" w:fill="E7EFF8"/>
          </w:tcPr>
          <w:p w:rsidR="008F03B5" w:rsidRDefault="00586B9B">
            <w:pPr>
              <w:pStyle w:val="TableParagraph"/>
              <w:spacing w:before="109" w:line="276" w:lineRule="auto"/>
              <w:ind w:left="104" w:right="546"/>
            </w:pPr>
            <w:r>
              <w:rPr>
                <w:vertAlign w:val="superscript"/>
              </w:rPr>
              <w:t>#</w:t>
            </w:r>
            <w:r>
              <w:t>Consider if hospital referral is indicated</w:t>
            </w:r>
          </w:p>
        </w:tc>
      </w:tr>
      <w:tr w:rsidR="008F03B5">
        <w:trPr>
          <w:trHeight w:val="412"/>
        </w:trPr>
        <w:tc>
          <w:tcPr>
            <w:tcW w:w="2014" w:type="dxa"/>
            <w:vMerge/>
            <w:tcBorders>
              <w:top w:val="nil"/>
              <w:bottom w:val="single" w:sz="18" w:space="0" w:color="000000"/>
            </w:tcBorders>
            <w:shd w:val="clear" w:color="auto" w:fill="E7EFF8"/>
          </w:tcPr>
          <w:p w:rsidR="008F03B5" w:rsidRDefault="008F03B5">
            <w:pPr>
              <w:rPr>
                <w:sz w:val="2"/>
                <w:szCs w:val="2"/>
              </w:rPr>
            </w:pPr>
          </w:p>
        </w:tc>
        <w:tc>
          <w:tcPr>
            <w:tcW w:w="7489" w:type="dxa"/>
            <w:gridSpan w:val="3"/>
            <w:tcBorders>
              <w:bottom w:val="single" w:sz="18" w:space="0" w:color="000000"/>
            </w:tcBorders>
            <w:shd w:val="clear" w:color="auto" w:fill="E7EFF8"/>
          </w:tcPr>
          <w:p w:rsidR="008F03B5" w:rsidRDefault="00586B9B">
            <w:pPr>
              <w:pStyle w:val="TableParagraph"/>
              <w:spacing w:before="100"/>
              <w:ind w:left="107"/>
            </w:pPr>
            <w:r>
              <w:t>Assess for cause (drugs, diet) and address in community</w:t>
            </w:r>
          </w:p>
        </w:tc>
      </w:tr>
      <w:tr w:rsidR="008F03B5">
        <w:trPr>
          <w:trHeight w:val="719"/>
        </w:trPr>
        <w:tc>
          <w:tcPr>
            <w:tcW w:w="2014" w:type="dxa"/>
            <w:vMerge w:val="restart"/>
            <w:tcBorders>
              <w:top w:val="single" w:sz="18" w:space="0" w:color="000000"/>
              <w:bottom w:val="single" w:sz="18" w:space="0" w:color="000000"/>
            </w:tcBorders>
            <w:shd w:val="clear" w:color="auto" w:fill="E7EFF8"/>
          </w:tcPr>
          <w:p w:rsidR="008F03B5" w:rsidRDefault="008F03B5">
            <w:pPr>
              <w:pStyle w:val="TableParagraph"/>
              <w:spacing w:before="11"/>
              <w:rPr>
                <w:sz w:val="24"/>
              </w:rPr>
            </w:pPr>
          </w:p>
          <w:p w:rsidR="008F03B5" w:rsidRDefault="00586B9B">
            <w:pPr>
              <w:pStyle w:val="TableParagraph"/>
              <w:ind w:left="107"/>
              <w:rPr>
                <w:b/>
              </w:rPr>
            </w:pPr>
            <w:r>
              <w:rPr>
                <w:b/>
              </w:rPr>
              <w:t>MODERATE</w:t>
            </w:r>
          </w:p>
          <w:p w:rsidR="008F03B5" w:rsidRDefault="00586B9B">
            <w:pPr>
              <w:pStyle w:val="TableParagraph"/>
              <w:spacing w:before="161"/>
              <w:ind w:left="107"/>
            </w:pPr>
            <w:r>
              <w:t>K</w:t>
            </w:r>
            <w:r>
              <w:rPr>
                <w:vertAlign w:val="superscript"/>
              </w:rPr>
              <w:t>+</w:t>
            </w:r>
            <w:r>
              <w:t xml:space="preserve"> 6.0 – 6.4 mmol/l</w:t>
            </w:r>
          </w:p>
        </w:tc>
        <w:tc>
          <w:tcPr>
            <w:tcW w:w="1844" w:type="dxa"/>
            <w:tcBorders>
              <w:top w:val="single" w:sz="18" w:space="0" w:color="000000"/>
            </w:tcBorders>
            <w:shd w:val="clear" w:color="auto" w:fill="E7EFF8"/>
          </w:tcPr>
          <w:p w:rsidR="008F03B5" w:rsidRDefault="00586B9B">
            <w:pPr>
              <w:pStyle w:val="TableParagraph"/>
              <w:spacing w:before="85" w:line="300" w:lineRule="atLeast"/>
              <w:ind w:left="107" w:right="299"/>
            </w:pPr>
            <w:r>
              <w:t>Repeat within 1 working day*</w:t>
            </w:r>
          </w:p>
        </w:tc>
        <w:tc>
          <w:tcPr>
            <w:tcW w:w="2269" w:type="dxa"/>
            <w:tcBorders>
              <w:top w:val="single" w:sz="18" w:space="0" w:color="000000"/>
            </w:tcBorders>
            <w:shd w:val="clear" w:color="auto" w:fill="E7EFF8"/>
          </w:tcPr>
          <w:p w:rsidR="008F03B5" w:rsidRDefault="00586B9B">
            <w:pPr>
              <w:pStyle w:val="TableParagraph"/>
              <w:spacing w:before="85" w:line="300" w:lineRule="atLeast"/>
              <w:ind w:left="105" w:right="615"/>
            </w:pPr>
            <w:r>
              <w:t>Repeat within 24 hours</w:t>
            </w:r>
          </w:p>
        </w:tc>
        <w:tc>
          <w:tcPr>
            <w:tcW w:w="3376" w:type="dxa"/>
            <w:tcBorders>
              <w:top w:val="single" w:sz="18" w:space="0" w:color="000000"/>
            </w:tcBorders>
            <w:shd w:val="clear" w:color="auto" w:fill="E7EFF8"/>
          </w:tcPr>
          <w:p w:rsidR="008F03B5" w:rsidRDefault="00586B9B">
            <w:pPr>
              <w:pStyle w:val="TableParagraph"/>
              <w:spacing w:before="117"/>
              <w:ind w:left="104"/>
            </w:pPr>
            <w:r>
              <w:t>Refer to hospital</w:t>
            </w:r>
          </w:p>
        </w:tc>
      </w:tr>
      <w:tr w:rsidR="008F03B5">
        <w:trPr>
          <w:trHeight w:val="412"/>
        </w:trPr>
        <w:tc>
          <w:tcPr>
            <w:tcW w:w="2014" w:type="dxa"/>
            <w:vMerge/>
            <w:tcBorders>
              <w:top w:val="nil"/>
              <w:bottom w:val="single" w:sz="18" w:space="0" w:color="000000"/>
            </w:tcBorders>
            <w:shd w:val="clear" w:color="auto" w:fill="E7EFF8"/>
          </w:tcPr>
          <w:p w:rsidR="008F03B5" w:rsidRDefault="008F03B5">
            <w:pPr>
              <w:rPr>
                <w:sz w:val="2"/>
                <w:szCs w:val="2"/>
              </w:rPr>
            </w:pPr>
          </w:p>
        </w:tc>
        <w:tc>
          <w:tcPr>
            <w:tcW w:w="7489" w:type="dxa"/>
            <w:gridSpan w:val="3"/>
            <w:tcBorders>
              <w:bottom w:val="single" w:sz="18" w:space="0" w:color="000000"/>
            </w:tcBorders>
            <w:shd w:val="clear" w:color="auto" w:fill="E7EFF8"/>
          </w:tcPr>
          <w:p w:rsidR="008F03B5" w:rsidRDefault="00586B9B">
            <w:pPr>
              <w:pStyle w:val="TableParagraph"/>
              <w:spacing w:before="99"/>
              <w:ind w:left="107"/>
            </w:pPr>
            <w:r>
              <w:t>Assess for cause (drugs, diet) and address community or hospital</w:t>
            </w:r>
          </w:p>
        </w:tc>
      </w:tr>
      <w:tr w:rsidR="008F03B5">
        <w:trPr>
          <w:trHeight w:val="529"/>
        </w:trPr>
        <w:tc>
          <w:tcPr>
            <w:tcW w:w="2014" w:type="dxa"/>
            <w:vMerge w:val="restart"/>
            <w:tcBorders>
              <w:top w:val="single" w:sz="18" w:space="0" w:color="000000"/>
              <w:bottom w:val="single" w:sz="18" w:space="0" w:color="000000"/>
            </w:tcBorders>
            <w:shd w:val="clear" w:color="auto" w:fill="E7EFF8"/>
          </w:tcPr>
          <w:p w:rsidR="008F03B5" w:rsidRDefault="008F03B5">
            <w:pPr>
              <w:pStyle w:val="TableParagraph"/>
              <w:spacing w:before="11"/>
              <w:rPr>
                <w:sz w:val="24"/>
              </w:rPr>
            </w:pPr>
          </w:p>
          <w:p w:rsidR="008F03B5" w:rsidRDefault="00586B9B">
            <w:pPr>
              <w:pStyle w:val="TableParagraph"/>
              <w:ind w:left="107"/>
              <w:rPr>
                <w:b/>
              </w:rPr>
            </w:pPr>
            <w:r>
              <w:rPr>
                <w:b/>
              </w:rPr>
              <w:t>SEVERE</w:t>
            </w:r>
          </w:p>
          <w:p w:rsidR="008F03B5" w:rsidRDefault="00586B9B">
            <w:pPr>
              <w:pStyle w:val="TableParagraph"/>
              <w:spacing w:before="161"/>
              <w:ind w:left="107"/>
            </w:pPr>
            <w:r>
              <w:t>K</w:t>
            </w:r>
            <w:r>
              <w:rPr>
                <w:vertAlign w:val="superscript"/>
              </w:rPr>
              <w:t>+</w:t>
            </w:r>
            <w:r>
              <w:t xml:space="preserve"> ≥ 6.5 mmol/l</w:t>
            </w:r>
          </w:p>
        </w:tc>
        <w:tc>
          <w:tcPr>
            <w:tcW w:w="7489" w:type="dxa"/>
            <w:gridSpan w:val="3"/>
            <w:tcBorders>
              <w:top w:val="single" w:sz="18" w:space="0" w:color="000000"/>
            </w:tcBorders>
            <w:shd w:val="clear" w:color="auto" w:fill="E7EFF8"/>
          </w:tcPr>
          <w:p w:rsidR="008F03B5" w:rsidRDefault="00586B9B">
            <w:pPr>
              <w:pStyle w:val="TableParagraph"/>
              <w:spacing w:before="117"/>
              <w:ind w:left="107"/>
              <w:rPr>
                <w:b/>
              </w:rPr>
            </w:pPr>
            <w:r>
              <w:rPr>
                <w:b/>
              </w:rPr>
              <w:t>Refer to hospital for immediate assessment and treatment</w:t>
            </w:r>
          </w:p>
        </w:tc>
      </w:tr>
      <w:tr w:rsidR="008F03B5">
        <w:trPr>
          <w:trHeight w:val="480"/>
        </w:trPr>
        <w:tc>
          <w:tcPr>
            <w:tcW w:w="2014" w:type="dxa"/>
            <w:vMerge/>
            <w:tcBorders>
              <w:top w:val="nil"/>
              <w:bottom w:val="single" w:sz="18" w:space="0" w:color="000000"/>
            </w:tcBorders>
            <w:shd w:val="clear" w:color="auto" w:fill="E7EFF8"/>
          </w:tcPr>
          <w:p w:rsidR="008F03B5" w:rsidRDefault="008F03B5">
            <w:pPr>
              <w:rPr>
                <w:sz w:val="2"/>
                <w:szCs w:val="2"/>
              </w:rPr>
            </w:pPr>
          </w:p>
        </w:tc>
        <w:tc>
          <w:tcPr>
            <w:tcW w:w="7489" w:type="dxa"/>
            <w:gridSpan w:val="3"/>
            <w:tcBorders>
              <w:bottom w:val="single" w:sz="18" w:space="0" w:color="000000"/>
            </w:tcBorders>
            <w:shd w:val="clear" w:color="auto" w:fill="E7EFF8"/>
          </w:tcPr>
          <w:p w:rsidR="008F03B5" w:rsidRDefault="00586B9B">
            <w:pPr>
              <w:pStyle w:val="TableParagraph"/>
              <w:spacing w:before="99"/>
              <w:ind w:left="107"/>
            </w:pPr>
            <w:r>
              <w:t>Assess for cause and address during hospital admission</w:t>
            </w:r>
          </w:p>
        </w:tc>
      </w:tr>
    </w:tbl>
    <w:p w:rsidR="008F03B5" w:rsidRDefault="008F03B5">
      <w:pPr>
        <w:pStyle w:val="a3"/>
        <w:rPr>
          <w:sz w:val="20"/>
        </w:rPr>
      </w:pPr>
    </w:p>
    <w:p w:rsidR="008F03B5" w:rsidRDefault="00586B9B">
      <w:pPr>
        <w:pStyle w:val="3"/>
        <w:spacing w:before="182"/>
      </w:pPr>
      <w:r>
        <w:t>Table 4: Interval for repeat blood monitoring following an episode of hyperkalaemia.</w:t>
      </w:r>
    </w:p>
    <w:p w:rsidR="008F03B5" w:rsidRDefault="00586B9B">
      <w:pPr>
        <w:spacing w:before="3"/>
        <w:ind w:left="217"/>
        <w:rPr>
          <w:sz w:val="18"/>
        </w:rPr>
      </w:pPr>
      <w:r>
        <w:rPr>
          <w:sz w:val="18"/>
          <w:vertAlign w:val="superscript"/>
        </w:rPr>
        <w:t>#</w:t>
      </w:r>
      <w:r>
        <w:rPr>
          <w:sz w:val="18"/>
        </w:rPr>
        <w:t>Need for hospital referral will be guided by clinical circumstance and risk of further deterioration.</w:t>
      </w:r>
    </w:p>
    <w:p w:rsidR="008F03B5" w:rsidRDefault="00586B9B">
      <w:pPr>
        <w:spacing w:before="32" w:line="278" w:lineRule="auto"/>
        <w:ind w:left="217" w:right="4033"/>
        <w:rPr>
          <w:sz w:val="18"/>
        </w:rPr>
      </w:pPr>
      <w:r>
        <w:rPr>
          <w:sz w:val="18"/>
        </w:rPr>
        <w:t>*Routine bloods tests unavailable at weekends and out of hours from community. (</w:t>
      </w:r>
      <w:r>
        <w:rPr>
          <w:i/>
          <w:sz w:val="18"/>
        </w:rPr>
        <w:t>Modified from Think Kidneys Guideline</w:t>
      </w:r>
      <w:r>
        <w:rPr>
          <w:sz w:val="18"/>
        </w:rPr>
        <w:t>)</w:t>
      </w:r>
      <w:r>
        <w:rPr>
          <w:sz w:val="18"/>
          <w:vertAlign w:val="superscript"/>
        </w:rPr>
        <w:t>6</w:t>
      </w:r>
    </w:p>
    <w:p w:rsidR="008F03B5" w:rsidRDefault="008F03B5">
      <w:pPr>
        <w:pStyle w:val="a3"/>
        <w:rPr>
          <w:sz w:val="20"/>
        </w:rPr>
      </w:pPr>
    </w:p>
    <w:p w:rsidR="008F03B5" w:rsidRDefault="00586B9B">
      <w:pPr>
        <w:pStyle w:val="a3"/>
        <w:spacing w:before="180" w:line="276" w:lineRule="auto"/>
        <w:ind w:left="217" w:right="295"/>
      </w:pPr>
      <w:r>
        <w:t>There is increasing use of point of care testing (POCT) in the hospital setting for rapid potassium measurement, but achieving rapid blood analysis in the community can be challenging. POCT has been validated in several studies in the hospital setting within the Emergency Department and Critical Care</w:t>
      </w:r>
      <w:r w:rsidR="00903055">
        <w:t>.</w:t>
      </w:r>
      <w:r w:rsidR="00903055">
        <w:rPr>
          <w:vertAlign w:val="superscript"/>
        </w:rPr>
        <w:t>7-12</w:t>
      </w:r>
      <w:r w:rsidR="00903055">
        <w:t xml:space="preserve"> </w:t>
      </w:r>
      <w:r w:rsidR="00903055">
        <w:rPr>
          <w:rFonts w:ascii="宋体" w:eastAsia="宋体" w:hAnsi="宋体" w:cs="宋体" w:hint="eastAsia"/>
        </w:rPr>
        <w:t>。。</w:t>
      </w:r>
      <w:r w:rsidR="00903055">
        <w:t>P</w:t>
      </w:r>
      <w:r>
        <w:t>OCT has also been shown to improve early recognition of hyperkalaemia in patients with CKD presenting to the Emergency Department</w:t>
      </w:r>
      <w:r w:rsidR="00903055">
        <w:t>.</w:t>
      </w:r>
      <w:r w:rsidR="00903055">
        <w:rPr>
          <w:vertAlign w:val="superscript"/>
        </w:rPr>
        <w:t>13</w:t>
      </w:r>
      <w:r w:rsidR="00903055">
        <w:t xml:space="preserve">  </w:t>
      </w:r>
      <w:r w:rsidR="00903055">
        <w:rPr>
          <w:rFonts w:ascii="宋体" w:eastAsia="宋体" w:hAnsi="宋体" w:cs="宋体" w:hint="eastAsia"/>
        </w:rPr>
        <w:t>。。</w:t>
      </w:r>
      <w:r w:rsidR="00903055">
        <w:t>U</w:t>
      </w:r>
      <w:r>
        <w:t>se of POCT in the pre-hospital setting is less well reported</w:t>
      </w:r>
      <w:r w:rsidR="00903055">
        <w:t>.</w:t>
      </w:r>
      <w:r w:rsidR="00903055">
        <w:rPr>
          <w:vertAlign w:val="superscript"/>
        </w:rPr>
        <w:t>14,15</w:t>
      </w:r>
      <w:r w:rsidR="00903055">
        <w:t xml:space="preserve">  </w:t>
      </w:r>
      <w:r w:rsidR="00903055">
        <w:rPr>
          <w:rFonts w:ascii="宋体" w:eastAsia="宋体" w:hAnsi="宋体" w:cs="宋体" w:hint="eastAsia"/>
        </w:rPr>
        <w:t>。。</w:t>
      </w:r>
      <w:r w:rsidR="00903055">
        <w:t>A</w:t>
      </w:r>
      <w:r>
        <w:t xml:space="preserve"> study of the utilisation and validation of POCT devices by community paramedics demonstrated good correlation with laboratory measurement</w:t>
      </w:r>
      <w:r w:rsidR="00903055">
        <w:t>.</w:t>
      </w:r>
      <w:r w:rsidR="00903055">
        <w:rPr>
          <w:vertAlign w:val="superscript"/>
        </w:rPr>
        <w:t>14</w:t>
      </w:r>
      <w:r w:rsidR="00903055">
        <w:t xml:space="preserve"> </w:t>
      </w:r>
      <w:r w:rsidR="00903055">
        <w:rPr>
          <w:rFonts w:ascii="宋体" w:eastAsia="宋体" w:hAnsi="宋体" w:cs="宋体" w:hint="eastAsia"/>
        </w:rPr>
        <w:t>。。</w:t>
      </w:r>
      <w:r w:rsidR="00903055">
        <w:t>T</w:t>
      </w:r>
      <w:r>
        <w:t>echnology is rapidly developing with the use of medical biosensors and Smart phone technology potentially making POCT easily accessible for</w:t>
      </w:r>
      <w:r>
        <w:rPr>
          <w:spacing w:val="-8"/>
        </w:rPr>
        <w:t xml:space="preserve"> </w:t>
      </w:r>
      <w:r>
        <w:t>patients.</w:t>
      </w:r>
      <w:r>
        <w:rPr>
          <w:vertAlign w:val="superscript"/>
        </w:rPr>
        <w:t>16</w:t>
      </w:r>
    </w:p>
    <w:p w:rsidR="008F03B5" w:rsidRDefault="008F03B5">
      <w:pPr>
        <w:pStyle w:val="a3"/>
        <w:spacing w:before="10"/>
        <w:rPr>
          <w:sz w:val="19"/>
        </w:rPr>
      </w:pPr>
    </w:p>
    <w:p w:rsidR="008F03B5" w:rsidRDefault="00586B9B">
      <w:pPr>
        <w:ind w:left="217"/>
        <w:rPr>
          <w:b/>
          <w:sz w:val="24"/>
        </w:rPr>
      </w:pPr>
      <w:r>
        <w:rPr>
          <w:b/>
          <w:color w:val="44536A"/>
          <w:sz w:val="24"/>
        </w:rPr>
        <w:t>References</w:t>
      </w:r>
    </w:p>
    <w:p w:rsidR="008F03B5" w:rsidRDefault="00586B9B" w:rsidP="00586B9B">
      <w:pPr>
        <w:pStyle w:val="a4"/>
        <w:numPr>
          <w:ilvl w:val="2"/>
          <w:numId w:val="63"/>
        </w:numPr>
        <w:tabs>
          <w:tab w:val="left" w:pos="939"/>
        </w:tabs>
        <w:spacing w:before="161" w:line="276" w:lineRule="auto"/>
        <w:ind w:right="371"/>
      </w:pPr>
      <w:r>
        <w:t>National Institute for Health and Care Excellence: Chronic kidney disease. Scenario: Management of chronic kidney disease. Last revised in May 2020.</w:t>
      </w:r>
      <w:r>
        <w:rPr>
          <w:color w:val="0562C1"/>
        </w:rPr>
        <w:t xml:space="preserve"> </w:t>
      </w:r>
      <w:hyperlink r:id="rId9">
        <w:r>
          <w:rPr>
            <w:color w:val="0562C1"/>
            <w:u w:val="single" w:color="0562C1"/>
          </w:rPr>
          <w:t>www.cks.nice.org.uk/chronic-kidney-</w:t>
        </w:r>
      </w:hyperlink>
      <w:r>
        <w:rPr>
          <w:color w:val="0562C1"/>
        </w:rPr>
        <w:t xml:space="preserve"> </w:t>
      </w:r>
      <w:r>
        <w:rPr>
          <w:color w:val="0562C1"/>
          <w:u w:val="single" w:color="0562C1"/>
        </w:rPr>
        <w:t>disease#!scenarioRecommendation:1</w:t>
      </w:r>
      <w:r>
        <w:t>.</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4" w:name="_bookmark10"/>
      <w:bookmarkEnd w:id="4"/>
      <w:r>
        <w:rPr>
          <w:color w:val="1F4E79"/>
        </w:rPr>
        <w:lastRenderedPageBreak/>
        <w:t>Management of patients receiving RAASi drugs (Guidelines 2.1-2.7)</w:t>
      </w:r>
    </w:p>
    <w:p w:rsidR="008F03B5" w:rsidRDefault="008F03B5">
      <w:pPr>
        <w:pStyle w:val="a3"/>
        <w:spacing w:before="8"/>
        <w:rPr>
          <w:b/>
          <w:sz w:val="28"/>
        </w:rPr>
      </w:pPr>
    </w:p>
    <w:p w:rsidR="008F03B5" w:rsidRDefault="00586B9B">
      <w:pPr>
        <w:pStyle w:val="3"/>
      </w:pPr>
      <w:r>
        <w:t>Guideline 2.1 – Assessment of patients prior to initiation of ACE-I or ARB.</w:t>
      </w:r>
    </w:p>
    <w:p w:rsidR="008F03B5" w:rsidRDefault="00586B9B">
      <w:pPr>
        <w:pStyle w:val="a3"/>
        <w:spacing w:before="41" w:line="276" w:lineRule="auto"/>
        <w:ind w:left="217" w:right="551"/>
      </w:pPr>
      <w:r>
        <w:t>We recommend that urea and electrolytes should be assessed prior to initiation of ACE-I or ARB and these drugs should be used with caution if the serum K+ is &gt; 5.0 mmol. (1A)</w:t>
      </w:r>
    </w:p>
    <w:p w:rsidR="008F03B5" w:rsidRDefault="008F03B5">
      <w:pPr>
        <w:pStyle w:val="a3"/>
        <w:spacing w:before="4"/>
        <w:rPr>
          <w:sz w:val="25"/>
        </w:rPr>
      </w:pPr>
    </w:p>
    <w:p w:rsidR="008F03B5" w:rsidRDefault="00586B9B">
      <w:pPr>
        <w:pStyle w:val="3"/>
        <w:spacing w:line="276" w:lineRule="auto"/>
        <w:ind w:right="942"/>
      </w:pPr>
      <w:r>
        <w:t>Guideline 2.2 – Assessment of patients prior to initiation of Mineralocorticoid Receptor Antagonists (MRA).</w:t>
      </w:r>
    </w:p>
    <w:p w:rsidR="008F03B5" w:rsidRDefault="00586B9B">
      <w:pPr>
        <w:pStyle w:val="a3"/>
        <w:spacing w:line="276" w:lineRule="auto"/>
        <w:ind w:left="217" w:right="581"/>
      </w:pPr>
      <w:r>
        <w:t>We suggest that initiation of MRAs should be avoided in patients with a baseline serum K+ &gt; 5.0mmol/l or eGFR &lt; 30 ml/min. (1B)</w:t>
      </w:r>
    </w:p>
    <w:p w:rsidR="008F03B5" w:rsidRDefault="008F03B5">
      <w:pPr>
        <w:pStyle w:val="a3"/>
        <w:spacing w:before="3"/>
        <w:rPr>
          <w:sz w:val="25"/>
        </w:rPr>
      </w:pPr>
    </w:p>
    <w:p w:rsidR="008F03B5" w:rsidRDefault="00586B9B">
      <w:pPr>
        <w:pStyle w:val="3"/>
      </w:pPr>
      <w:r>
        <w:t>Guideline 2.3 – Monitoring of patients after initiation of ACE-I and ARB.</w:t>
      </w:r>
    </w:p>
    <w:p w:rsidR="008F03B5" w:rsidRDefault="00586B9B">
      <w:pPr>
        <w:pStyle w:val="a3"/>
        <w:spacing w:before="41" w:line="276" w:lineRule="auto"/>
        <w:ind w:left="217" w:right="401"/>
      </w:pPr>
      <w:r>
        <w:t>We recommend that urea and electrolytes should be assessed at 1 – 2 weeks after initiation of ACE-I or ARB and after every dose titration. (1A)</w:t>
      </w:r>
    </w:p>
    <w:p w:rsidR="008F03B5" w:rsidRDefault="008F03B5">
      <w:pPr>
        <w:pStyle w:val="a3"/>
        <w:spacing w:before="3"/>
        <w:rPr>
          <w:sz w:val="25"/>
        </w:rPr>
      </w:pPr>
    </w:p>
    <w:p w:rsidR="008F03B5" w:rsidRDefault="00586B9B">
      <w:pPr>
        <w:pStyle w:val="3"/>
        <w:spacing w:before="1"/>
        <w:rPr>
          <w:b w:val="0"/>
        </w:rPr>
      </w:pPr>
      <w:r>
        <w:t>Guideline 2.4 – Monitoring of patients after initiation of MRAs</w:t>
      </w:r>
      <w:r>
        <w:rPr>
          <w:b w:val="0"/>
        </w:rPr>
        <w:t>.</w:t>
      </w:r>
    </w:p>
    <w:p w:rsidR="008F03B5" w:rsidRDefault="00586B9B">
      <w:pPr>
        <w:pStyle w:val="a3"/>
        <w:spacing w:before="41" w:line="273" w:lineRule="auto"/>
        <w:ind w:left="217" w:right="323"/>
      </w:pPr>
      <w:r>
        <w:t>We recommend that urea and electrolytes should be assessed at 1 week after initiation of MRA or after dose up-titration, then monthly for the first 3 months, 3-monthly for the first year and 4-monthly thereafter. (1A)</w:t>
      </w:r>
    </w:p>
    <w:p w:rsidR="008F03B5" w:rsidRDefault="008F03B5">
      <w:pPr>
        <w:pStyle w:val="a3"/>
        <w:spacing w:before="8"/>
        <w:rPr>
          <w:sz w:val="25"/>
        </w:rPr>
      </w:pPr>
    </w:p>
    <w:p w:rsidR="008F03B5" w:rsidRDefault="00586B9B">
      <w:pPr>
        <w:pStyle w:val="3"/>
        <w:spacing w:before="1"/>
        <w:rPr>
          <w:b w:val="0"/>
        </w:rPr>
      </w:pPr>
      <w:r>
        <w:t>Guideline 2.5 – Management of hyperkalaemia in patients treated with RAASi drugs</w:t>
      </w:r>
      <w:r>
        <w:rPr>
          <w:b w:val="0"/>
        </w:rPr>
        <w:t>.</w:t>
      </w:r>
    </w:p>
    <w:p w:rsidR="008F03B5" w:rsidRDefault="00586B9B">
      <w:pPr>
        <w:pStyle w:val="a3"/>
        <w:spacing w:before="38" w:line="276" w:lineRule="auto"/>
        <w:ind w:left="217" w:right="772"/>
      </w:pPr>
      <w:r>
        <w:t>We suggest increased frequency of monitoring in patients with a serum K+ between 5.5-5.9 mmol/l and consideration of dose reduction of RAASi drugs (ACE-I, ARB, MRA). (1B)</w:t>
      </w:r>
    </w:p>
    <w:p w:rsidR="008F03B5" w:rsidRDefault="008F03B5">
      <w:pPr>
        <w:pStyle w:val="a3"/>
        <w:spacing w:before="4"/>
        <w:rPr>
          <w:sz w:val="25"/>
        </w:rPr>
      </w:pPr>
    </w:p>
    <w:p w:rsidR="008F03B5" w:rsidRDefault="00586B9B">
      <w:pPr>
        <w:spacing w:line="276" w:lineRule="auto"/>
        <w:ind w:left="217" w:right="508"/>
      </w:pPr>
      <w:r>
        <w:rPr>
          <w:b/>
        </w:rPr>
        <w:t>Guideline 2.6 – Management of hyperkalaemia in patients treated with RAASi drugs during acute illness</w:t>
      </w:r>
      <w:r>
        <w:t>. We recommend that RAASi drugs be withheld during acute intercurrent illness (e.g. sepsis, hypovolaemia and/or AKI) at all severities of hyperkalaemia. (1D)</w:t>
      </w:r>
    </w:p>
    <w:p w:rsidR="008F03B5" w:rsidRDefault="008F03B5">
      <w:pPr>
        <w:pStyle w:val="a3"/>
        <w:spacing w:before="4"/>
        <w:rPr>
          <w:sz w:val="25"/>
        </w:rPr>
      </w:pPr>
    </w:p>
    <w:p w:rsidR="008F03B5" w:rsidRDefault="00586B9B">
      <w:pPr>
        <w:pStyle w:val="3"/>
      </w:pPr>
      <w:r>
        <w:t>Guideline 2.7 – Cessation of RAASi drugs in patients with moderate or severe hyperkalaemia.</w:t>
      </w:r>
    </w:p>
    <w:p w:rsidR="008F03B5" w:rsidRDefault="00586B9B">
      <w:pPr>
        <w:pStyle w:val="a3"/>
        <w:spacing w:before="42" w:line="276" w:lineRule="auto"/>
        <w:ind w:left="217" w:right="479"/>
      </w:pPr>
      <w:r>
        <w:t>We recommend cessation of RAASi drugs in patients with serum K ≥ 6 mmol/l who do not meet the criteria for treatment with patiromer or sodium zirconium cyclosilicate. (1B)</w:t>
      </w:r>
    </w:p>
    <w:p w:rsidR="008F03B5" w:rsidRDefault="008F03B5">
      <w:pPr>
        <w:pStyle w:val="a3"/>
      </w:pPr>
    </w:p>
    <w:p w:rsidR="008F03B5" w:rsidRDefault="008F03B5">
      <w:pPr>
        <w:pStyle w:val="a3"/>
        <w:spacing w:before="2"/>
        <w:rPr>
          <w:sz w:val="23"/>
        </w:rPr>
      </w:pPr>
    </w:p>
    <w:p w:rsidR="008F03B5" w:rsidRDefault="00586B9B">
      <w:pPr>
        <w:ind w:left="217"/>
        <w:rPr>
          <w:b/>
          <w:sz w:val="24"/>
        </w:rPr>
      </w:pPr>
      <w:r>
        <w:rPr>
          <w:b/>
          <w:color w:val="44536A"/>
          <w:sz w:val="24"/>
        </w:rPr>
        <w:t>Audit measure</w:t>
      </w:r>
    </w:p>
    <w:p w:rsidR="008F03B5" w:rsidRDefault="00586B9B">
      <w:pPr>
        <w:pStyle w:val="a3"/>
        <w:spacing w:before="41"/>
        <w:ind w:left="578"/>
      </w:pPr>
      <w:r>
        <w:t>1. Frequency of blood monitoring of patients receiving RAASi drugs in the community.</w:t>
      </w:r>
    </w:p>
    <w:p w:rsidR="008F03B5" w:rsidRDefault="008F03B5">
      <w:pPr>
        <w:pStyle w:val="a3"/>
      </w:pPr>
    </w:p>
    <w:p w:rsidR="008F03B5" w:rsidRDefault="008F03B5">
      <w:pPr>
        <w:pStyle w:val="a3"/>
        <w:spacing w:before="7"/>
        <w:rPr>
          <w:sz w:val="26"/>
        </w:rPr>
      </w:pPr>
    </w:p>
    <w:p w:rsidR="008F03B5" w:rsidRDefault="00586B9B">
      <w:pPr>
        <w:ind w:left="217"/>
        <w:rPr>
          <w:b/>
          <w:sz w:val="24"/>
        </w:rPr>
      </w:pPr>
      <w:r>
        <w:rPr>
          <w:b/>
          <w:color w:val="44536A"/>
          <w:sz w:val="24"/>
        </w:rPr>
        <w:t>Rationale (Guidelines Hyperkalaemia 2.1 – 2.7)</w:t>
      </w:r>
    </w:p>
    <w:p w:rsidR="008F03B5" w:rsidRDefault="00586B9B">
      <w:pPr>
        <w:pStyle w:val="a3"/>
        <w:spacing w:before="40" w:line="276" w:lineRule="auto"/>
        <w:ind w:left="217" w:right="405"/>
      </w:pPr>
      <w:r>
        <w:t>Patients with CKD, heart failure and diabetes are particularly at risk of hyperkalaemia and these conditions often co-exist. RAASi drugs have become the standard of care to slow progression of CKD and in the management of patients with diabetes and heart failure. However, hyperkalaemia frequently limits use or titration of RAASi drugs. Epstein et al conducted a large study (&gt; 7 million of electronic patient records) to determine the impact of hyperkalaemia on the optimal versus real-world treatment with RAASi</w:t>
      </w:r>
      <w:r w:rsidR="00903055">
        <w:t>.</w:t>
      </w:r>
      <w:r w:rsidR="00903055">
        <w:rPr>
          <w:vertAlign w:val="superscript"/>
        </w:rPr>
        <w:t>1</w:t>
      </w:r>
      <w:r w:rsidR="00903055">
        <w:t xml:space="preserve"> </w:t>
      </w:r>
      <w:r w:rsidR="00903055">
        <w:rPr>
          <w:rFonts w:ascii="宋体" w:eastAsia="宋体" w:hAnsi="宋体" w:cs="宋体" w:hint="eastAsia"/>
        </w:rPr>
        <w:t>。。</w:t>
      </w:r>
      <w:r w:rsidR="00903055">
        <w:t>I</w:t>
      </w:r>
      <w:r>
        <w:t>n patients for whom RAASi was recommended by treatment guidelines for cardiorenal disease, &gt;50% were prescribed lower than recommended dose and 14-16% discontinued RAASi therapy.</w:t>
      </w:r>
      <w:r>
        <w:rPr>
          <w:vertAlign w:val="superscript"/>
        </w:rPr>
        <w:t>1</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rPr>
          <w:sz w:val="20"/>
        </w:rPr>
      </w:pPr>
    </w:p>
    <w:p w:rsidR="008F03B5" w:rsidRDefault="00586B9B">
      <w:pPr>
        <w:pStyle w:val="a3"/>
        <w:spacing w:line="276" w:lineRule="auto"/>
        <w:ind w:left="217" w:right="358"/>
      </w:pPr>
      <w:r>
        <w:t>Sub-optimal treatment for patients with heart failure and renal disease also affects patient outcome. Mortality rates has been shown to be higher in patients who receive sub-maximal dosing (8%) and in those who have discontinued RAASi (11%) compared to those who received maximal dosing (4%)</w:t>
      </w:r>
      <w:r w:rsidR="00903055">
        <w:t>.</w:t>
      </w:r>
      <w:r w:rsidR="00903055">
        <w:rPr>
          <w:vertAlign w:val="superscript"/>
        </w:rPr>
        <w:t>2</w:t>
      </w:r>
      <w:r w:rsidR="00903055">
        <w:t xml:space="preserve"> </w:t>
      </w:r>
      <w:r w:rsidR="00903055">
        <w:rPr>
          <w:rFonts w:ascii="宋体" w:eastAsia="宋体" w:hAnsi="宋体" w:cs="宋体" w:hint="eastAsia"/>
        </w:rPr>
        <w:t>。。</w:t>
      </w:r>
      <w:r w:rsidR="00903055">
        <w:t>S</w:t>
      </w:r>
      <w:r>
        <w:t>imilarly, Ouwerkerk et al demonstrated increased hospitalisation and increased mortality in patients with heart failure with reduced ejection fraction (HFrEF) who receive less than half of the recommended doses of ACE-I or</w:t>
      </w:r>
      <w:r>
        <w:rPr>
          <w:spacing w:val="-2"/>
        </w:rPr>
        <w:t xml:space="preserve"> </w:t>
      </w:r>
      <w:r>
        <w:t>ARB</w:t>
      </w:r>
      <w:r>
        <w:rPr>
          <w:spacing w:val="-4"/>
        </w:rPr>
        <w:t xml:space="preserve"> </w:t>
      </w:r>
      <w:r>
        <w:t>(HR</w:t>
      </w:r>
      <w:r>
        <w:rPr>
          <w:spacing w:val="-3"/>
        </w:rPr>
        <w:t xml:space="preserve"> </w:t>
      </w:r>
      <w:r>
        <w:t>1.72)</w:t>
      </w:r>
      <w:r>
        <w:rPr>
          <w:spacing w:val="-1"/>
        </w:rPr>
        <w:t xml:space="preserve"> </w:t>
      </w:r>
      <w:r>
        <w:t>and</w:t>
      </w:r>
      <w:r>
        <w:rPr>
          <w:spacing w:val="-2"/>
        </w:rPr>
        <w:t xml:space="preserve"> </w:t>
      </w:r>
      <w:r>
        <w:t>beta</w:t>
      </w:r>
      <w:r>
        <w:rPr>
          <w:spacing w:val="-3"/>
        </w:rPr>
        <w:t xml:space="preserve"> </w:t>
      </w:r>
      <w:r>
        <w:t>blockers</w:t>
      </w:r>
      <w:r>
        <w:rPr>
          <w:spacing w:val="-1"/>
        </w:rPr>
        <w:t xml:space="preserve"> </w:t>
      </w:r>
      <w:r>
        <w:t>(HR</w:t>
      </w:r>
      <w:r>
        <w:rPr>
          <w:spacing w:val="-3"/>
        </w:rPr>
        <w:t xml:space="preserve"> </w:t>
      </w:r>
      <w:r>
        <w:t>1.70)</w:t>
      </w:r>
      <w:r>
        <w:rPr>
          <w:spacing w:val="-3"/>
        </w:rPr>
        <w:t xml:space="preserve"> </w:t>
      </w:r>
      <w:r>
        <w:t>compared</w:t>
      </w:r>
      <w:r>
        <w:rPr>
          <w:spacing w:val="-2"/>
        </w:rPr>
        <w:t xml:space="preserve"> </w:t>
      </w:r>
      <w:r>
        <w:t>to</w:t>
      </w:r>
      <w:r>
        <w:rPr>
          <w:spacing w:val="-1"/>
        </w:rPr>
        <w:t xml:space="preserve"> </w:t>
      </w:r>
      <w:r>
        <w:t>patients</w:t>
      </w:r>
      <w:r>
        <w:rPr>
          <w:spacing w:val="-1"/>
        </w:rPr>
        <w:t xml:space="preserve"> </w:t>
      </w:r>
      <w:r>
        <w:t>who reached</w:t>
      </w:r>
      <w:r>
        <w:rPr>
          <w:spacing w:val="-2"/>
        </w:rPr>
        <w:t xml:space="preserve"> </w:t>
      </w:r>
      <w:r>
        <w:t>optimal</w:t>
      </w:r>
      <w:r>
        <w:rPr>
          <w:spacing w:val="-1"/>
        </w:rPr>
        <w:t xml:space="preserve"> </w:t>
      </w:r>
      <w:r>
        <w:t>doses</w:t>
      </w:r>
      <w:r w:rsidR="00903055">
        <w:t>.</w:t>
      </w:r>
      <w:r w:rsidR="00903055">
        <w:rPr>
          <w:vertAlign w:val="superscript"/>
        </w:rPr>
        <w:t>3</w:t>
      </w:r>
      <w:r w:rsidR="00903055">
        <w:rPr>
          <w:spacing w:val="-21"/>
        </w:rPr>
        <w:t xml:space="preserve"> </w:t>
      </w:r>
      <w:r w:rsidR="00903055">
        <w:rPr>
          <w:rFonts w:ascii="宋体" w:eastAsia="宋体" w:hAnsi="宋体" w:cs="宋体" w:hint="eastAsia"/>
        </w:rPr>
        <w:t>。。</w:t>
      </w:r>
      <w:r w:rsidR="00903055">
        <w:t>T</w:t>
      </w:r>
      <w:r>
        <w:t>he</w:t>
      </w:r>
      <w:r>
        <w:rPr>
          <w:spacing w:val="-1"/>
        </w:rPr>
        <w:t xml:space="preserve"> </w:t>
      </w:r>
      <w:r>
        <w:t>balance between optimising treatment and compromising renal function poses a significant clinical</w:t>
      </w:r>
      <w:r>
        <w:rPr>
          <w:spacing w:val="-17"/>
        </w:rPr>
        <w:t xml:space="preserve"> </w:t>
      </w:r>
      <w:r>
        <w:t>dilemma.</w:t>
      </w:r>
      <w:r w:rsidR="00C07B5E">
        <w:t xml:space="preserve"> </w:t>
      </w:r>
      <w:r>
        <w:t>Monitoring of serum K+ in patients receiving RAASi drugs reduces the risk of adverse events. Raebel et al demonstrated that patients with diabetes who underwent potassium monitoring during the first year of treatment with RAASi drugs were less likely to experience hyperkalaemia-associated adverse events (hospitalisation, Emergency Department attendance or death) with an adjusted relative risk of 0.50 (0.37, 0.66) compared to those who were not monitored</w:t>
      </w:r>
      <w:r w:rsidR="00903055">
        <w:t>.</w:t>
      </w:r>
      <w:r w:rsidR="00903055">
        <w:rPr>
          <w:vertAlign w:val="superscript"/>
        </w:rPr>
        <w:t>4</w:t>
      </w:r>
      <w:r w:rsidR="00903055">
        <w:t xml:space="preserve"> </w:t>
      </w:r>
      <w:r w:rsidR="00903055">
        <w:rPr>
          <w:rFonts w:ascii="宋体" w:eastAsia="宋体" w:hAnsi="宋体" w:cs="宋体" w:hint="eastAsia"/>
        </w:rPr>
        <w:t>。。</w:t>
      </w:r>
      <w:r w:rsidR="00903055">
        <w:t>T</w:t>
      </w:r>
      <w:r>
        <w:t>he sub-set of patients with CKD had an adjusted relative risk of 0.29 (0.18, 0.46). Park et al conducted an observational study of hospitalised patients newly started on an ARB and demonstrated that the highest incidence of hyperkalaemia occurred on the first day and 52.4% of hyperkalaemic events occurred within the first week of initiation</w:t>
      </w:r>
      <w:r w:rsidR="00903055">
        <w:t>.</w:t>
      </w:r>
      <w:r w:rsidR="00903055">
        <w:rPr>
          <w:vertAlign w:val="superscript"/>
        </w:rPr>
        <w:t>5</w:t>
      </w:r>
      <w:r w:rsidR="00903055">
        <w:t xml:space="preserve"> </w:t>
      </w:r>
      <w:r w:rsidR="00903055">
        <w:rPr>
          <w:rFonts w:ascii="宋体" w:eastAsia="宋体" w:hAnsi="宋体" w:cs="宋体" w:hint="eastAsia"/>
        </w:rPr>
        <w:t>。。</w:t>
      </w:r>
      <w:r w:rsidR="00903055">
        <w:t>I</w:t>
      </w:r>
      <w:r>
        <w:t>n this study, hyperkalaemia also occurred earlier in patients with reduced GFR, higher baseline K+ level (patients with K+ &gt;5.5 mmol/l were excluded) and in patients with diabetes.</w:t>
      </w:r>
    </w:p>
    <w:p w:rsidR="008F03B5" w:rsidRDefault="008F03B5">
      <w:pPr>
        <w:pStyle w:val="a3"/>
        <w:spacing w:before="3"/>
        <w:rPr>
          <w:sz w:val="25"/>
        </w:rPr>
      </w:pPr>
    </w:p>
    <w:p w:rsidR="008F03B5" w:rsidRDefault="00586B9B">
      <w:pPr>
        <w:pStyle w:val="a3"/>
        <w:spacing w:line="276" w:lineRule="auto"/>
        <w:ind w:left="217" w:right="362"/>
      </w:pPr>
      <w:r>
        <w:t>The KDIGO Guideline (2012) recommends measuring serum K+ level within 1 week of starting RAASi drugs and after every dose increment in patients with reduced renal function</w:t>
      </w:r>
      <w:r w:rsidR="00903055">
        <w:t>.</w:t>
      </w:r>
      <w:r w:rsidR="00903055">
        <w:rPr>
          <w:vertAlign w:val="superscript"/>
        </w:rPr>
        <w:t>6</w:t>
      </w:r>
      <w:r w:rsidR="00903055">
        <w:t xml:space="preserve"> </w:t>
      </w:r>
      <w:r w:rsidR="00903055">
        <w:rPr>
          <w:rFonts w:ascii="宋体" w:eastAsia="宋体" w:hAnsi="宋体" w:cs="宋体" w:hint="eastAsia"/>
        </w:rPr>
        <w:t>。。</w:t>
      </w:r>
      <w:r w:rsidR="00903055">
        <w:t>T</w:t>
      </w:r>
      <w:r>
        <w:t>he NICE Guideline for CKD (2014) recommends measuring serum K+ level before starting, within 1 to 2 weeks of initiation of RAASi therapy and after every dose increment.</w:t>
      </w:r>
      <w:r>
        <w:rPr>
          <w:vertAlign w:val="superscript"/>
        </w:rPr>
        <w:t>7</w:t>
      </w:r>
    </w:p>
    <w:p w:rsidR="008F03B5" w:rsidRDefault="009A3CBD">
      <w:pPr>
        <w:pStyle w:val="a3"/>
        <w:spacing w:before="8"/>
        <w:rPr>
          <w:sz w:val="21"/>
        </w:rPr>
      </w:pPr>
      <w:r>
        <w:pict>
          <v:shape id="_x0000_s1077" type="#_x0000_t202" style="position:absolute;margin-left:53.85pt;margin-top:15.6pt;width:451.3pt;height:85.95pt;z-index:-15726080;mso-wrap-distance-left:0;mso-wrap-distance-right:0;mso-position-horizontal-relative:page" fillcolor="#deebf7">
            <v:textbox inset="0,0,0,0">
              <w:txbxContent>
                <w:p w:rsidR="008F03B5" w:rsidRDefault="008F03B5">
                  <w:pPr>
                    <w:pStyle w:val="a3"/>
                    <w:spacing w:before="6"/>
                    <w:rPr>
                      <w:sz w:val="25"/>
                    </w:rPr>
                  </w:pPr>
                </w:p>
                <w:p w:rsidR="008F03B5" w:rsidRDefault="00586B9B">
                  <w:pPr>
                    <w:ind w:left="144"/>
                    <w:rPr>
                      <w:b/>
                      <w:sz w:val="24"/>
                    </w:rPr>
                  </w:pPr>
                  <w:r>
                    <w:rPr>
                      <w:b/>
                      <w:sz w:val="24"/>
                    </w:rPr>
                    <w:t>Assess urea &amp; electrolytes prior to initiation of RAASi drugs.</w:t>
                  </w:r>
                </w:p>
                <w:p w:rsidR="008F03B5" w:rsidRDefault="008F03B5">
                  <w:pPr>
                    <w:pStyle w:val="a3"/>
                    <w:spacing w:before="5"/>
                    <w:rPr>
                      <w:b/>
                      <w:sz w:val="31"/>
                    </w:rPr>
                  </w:pPr>
                </w:p>
                <w:p w:rsidR="008F03B5" w:rsidRDefault="00586B9B">
                  <w:pPr>
                    <w:ind w:left="144"/>
                    <w:rPr>
                      <w:b/>
                      <w:sz w:val="24"/>
                    </w:rPr>
                  </w:pPr>
                  <w:r>
                    <w:rPr>
                      <w:b/>
                      <w:sz w:val="24"/>
                    </w:rPr>
                    <w:t>Monitor urea &amp; electrolytes at 1 week after initiation and after each dose titration.</w:t>
                  </w:r>
                </w:p>
              </w:txbxContent>
            </v:textbox>
            <w10:wrap type="topAndBottom" anchorx="page"/>
          </v:shape>
        </w:pict>
      </w:r>
    </w:p>
    <w:p w:rsidR="008F03B5" w:rsidRDefault="008F03B5">
      <w:pPr>
        <w:pStyle w:val="a3"/>
        <w:spacing w:before="1"/>
        <w:rPr>
          <w:sz w:val="27"/>
        </w:rPr>
      </w:pPr>
    </w:p>
    <w:p w:rsidR="008F03B5" w:rsidRDefault="00586B9B">
      <w:pPr>
        <w:pStyle w:val="a3"/>
        <w:spacing w:line="276" w:lineRule="auto"/>
        <w:ind w:left="217" w:right="546"/>
      </w:pPr>
      <w:r>
        <w:t>The NICE CKD Guideline (2014) also recommends that RAASi drugs should be withdrawn if the serum K+ is ≥ 6 mmol/l</w:t>
      </w:r>
      <w:r w:rsidR="00903055">
        <w:t>.</w:t>
      </w:r>
      <w:r w:rsidR="00903055">
        <w:rPr>
          <w:vertAlign w:val="superscript"/>
        </w:rPr>
        <w:t>7</w:t>
      </w:r>
      <w:r w:rsidR="00903055">
        <w:t xml:space="preserve"> </w:t>
      </w:r>
      <w:r w:rsidR="00903055">
        <w:rPr>
          <w:rFonts w:ascii="宋体" w:eastAsia="宋体" w:hAnsi="宋体" w:cs="宋体" w:hint="eastAsia"/>
        </w:rPr>
        <w:t>。。</w:t>
      </w:r>
      <w:r w:rsidR="00903055">
        <w:t>H</w:t>
      </w:r>
      <w:r>
        <w:t>owever, NICE has recently approved the use of potassium binders (patiromer and sodium zirconium cyclosilicate) in selected patients with CKD 3b-5 (not on dialysis) or heart failure who have</w:t>
      </w:r>
      <w:r w:rsidR="00C07B5E">
        <w:t xml:space="preserve"> </w:t>
      </w:r>
      <w:r>
        <w:t>confirmed persistent hyperkalaemia with a serum K+ ≥ 6 mmol/l and are not receiving an optimal dose of RAASi.[8][9] RAASi should be withdrawn in all patients with serum K+ is ≥ 6 mmol/l who do not meet the criteria for these novel potassium binders.</w:t>
      </w:r>
    </w:p>
    <w:p w:rsidR="008F03B5" w:rsidRDefault="008F03B5">
      <w:pPr>
        <w:pStyle w:val="a3"/>
        <w:spacing w:before="4"/>
        <w:rPr>
          <w:sz w:val="25"/>
        </w:rPr>
      </w:pPr>
    </w:p>
    <w:p w:rsidR="008F03B5" w:rsidRDefault="00586B9B">
      <w:pPr>
        <w:spacing w:line="276" w:lineRule="auto"/>
        <w:sectPr w:rsidR="008F03B5">
          <w:pgSz w:w="11910" w:h="16840"/>
          <w:pgMar w:top="1540" w:right="780" w:bottom="1100" w:left="860" w:header="425" w:footer="912" w:gutter="0"/>
          <w:cols w:space="720"/>
        </w:sectPr>
      </w:pPr>
      <w:r>
        <w:t>The Renal Association and the British Society for Heart Failure (2019) have recently collaborated to provide consensus recommendation for the use of RAASi in patients with heart failure with reduced left ventricular ejection fraction (HFrEF)</w:t>
      </w:r>
      <w:r w:rsidR="00903055">
        <w:t>.</w:t>
      </w:r>
      <w:r w:rsidR="00903055">
        <w:rPr>
          <w:vertAlign w:val="superscript"/>
        </w:rPr>
        <w:t>10</w:t>
      </w:r>
      <w:r w:rsidR="00903055">
        <w:t xml:space="preserve"> </w:t>
      </w:r>
      <w:r w:rsidR="00903055">
        <w:rPr>
          <w:rFonts w:ascii="宋体" w:eastAsia="宋体" w:hAnsi="宋体" w:cs="宋体" w:hint="eastAsia"/>
        </w:rPr>
        <w:t>。。</w:t>
      </w:r>
      <w:r w:rsidR="00903055">
        <w:t>M</w:t>
      </w:r>
      <w:r>
        <w:t>onitoring of renal function is mandatory during initiation and titration of RAASi treatment. In the context of acute illness (sepsis, hypovolaemia and/or AKI), withdrawal of RAASi was advised at all severities of hyperkalaemia. However, in the context of decompensated heart failure, the continuation/ reduction of RAASi therapy was permitted in patients with mild or moderate hyperkalaemia,</w:t>
      </w:r>
      <w:r w:rsidR="00C07B5E">
        <w:t xml:space="preserve"> </w:t>
      </w:r>
    </w:p>
    <w:p w:rsidR="008F03B5" w:rsidRDefault="00586B9B">
      <w:pPr>
        <w:pStyle w:val="a3"/>
        <w:spacing w:before="5"/>
        <w:ind w:left="217"/>
      </w:pPr>
      <w:r>
        <w:lastRenderedPageBreak/>
        <w:t>but withdrawn if serum K+ ≥ 6.5 mmol/l. RAASi re-introduction was recommended after recovery and when K+ was &lt; 5.5 mmol/l. Patients receiving multiple RAASi drugs and/or MRA should re-start one drug at a time. Mineralocorticoid receptor antagonists (MRAs) have significantly improved heart failure management, but their use alone or in combination with RAASi, may exacerbate hyperkalaemia. The European Society of Cardiology</w:t>
      </w:r>
      <w:r>
        <w:rPr>
          <w:vertAlign w:val="superscript"/>
        </w:rPr>
        <w:t>11</w:t>
      </w:r>
      <w:r>
        <w:t xml:space="preserve"> and American Heart Association (AHA)/ American College of Cardiology (ACC)</w:t>
      </w:r>
      <w:r>
        <w:rPr>
          <w:vertAlign w:val="superscript"/>
        </w:rPr>
        <w:t>12</w:t>
      </w:r>
      <w:r>
        <w:t xml:space="preserve"> guidelines provide guidance on initiation, monitoring and response to treating hyperkalaemia in patients receiving MRAs. The parameters for initiation of MRA are a serum K+ &lt; 5.0 mmol/l and an eGFR &gt; 30ml/min. Close monitoring of urea and electrolytes (U&amp;Es) is required following initiation at 1, 4, 8 and 12 weeks.</w:t>
      </w:r>
      <w:r w:rsidR="00C07B5E">
        <w:t xml:space="preserve"> </w:t>
      </w:r>
      <w:r>
        <w:t>Thereafter, monitoring is required every 3 months during first year, then every 3-4 months from second year onwards. The approach to managing hyperkalaemia in patients with heart failure on MRA is shown in the</w:t>
      </w:r>
      <w:r w:rsidR="00C07B5E">
        <w:t xml:space="preserve"> </w:t>
      </w:r>
      <w:r>
        <w:t>text box below. In patients without heart failure, drug cessation is recommended if serum K+ ≥ 6.0 mmol/l.</w:t>
      </w:r>
    </w:p>
    <w:p w:rsidR="008F03B5" w:rsidRDefault="009A3CBD">
      <w:pPr>
        <w:pStyle w:val="a3"/>
        <w:spacing w:before="10"/>
        <w:rPr>
          <w:sz w:val="24"/>
        </w:rPr>
      </w:pPr>
      <w:r>
        <w:pict>
          <v:shape id="_x0000_s1076" type="#_x0000_t202" style="position:absolute;margin-left:53.85pt;margin-top:17.55pt;width:461.5pt;height:87.9pt;z-index:-15725568;mso-wrap-distance-left:0;mso-wrap-distance-right:0;mso-position-horizontal-relative:page" fillcolor="#deebf7">
            <v:textbox inset="0,0,0,0">
              <w:txbxContent>
                <w:p w:rsidR="008F03B5" w:rsidRDefault="00586B9B">
                  <w:pPr>
                    <w:spacing w:before="71"/>
                    <w:ind w:left="144"/>
                    <w:rPr>
                      <w:b/>
                      <w:sz w:val="24"/>
                    </w:rPr>
                  </w:pPr>
                  <w:r>
                    <w:rPr>
                      <w:b/>
                      <w:sz w:val="24"/>
                    </w:rPr>
                    <w:t>Strategies for Managing Hyperkalaemia in patients with Heart failure on MRA</w:t>
                  </w:r>
                </w:p>
                <w:p w:rsidR="008F03B5" w:rsidRDefault="008F03B5">
                  <w:pPr>
                    <w:pStyle w:val="a3"/>
                    <w:spacing w:before="7"/>
                    <w:rPr>
                      <w:b/>
                      <w:sz w:val="19"/>
                    </w:rPr>
                  </w:pPr>
                </w:p>
                <w:p w:rsidR="008F03B5" w:rsidRDefault="00586B9B" w:rsidP="00586B9B">
                  <w:pPr>
                    <w:numPr>
                      <w:ilvl w:val="0"/>
                      <w:numId w:val="62"/>
                    </w:numPr>
                    <w:tabs>
                      <w:tab w:val="left" w:pos="864"/>
                      <w:tab w:val="left" w:pos="865"/>
                    </w:tabs>
                    <w:ind w:hanging="361"/>
                    <w:rPr>
                      <w:sz w:val="24"/>
                    </w:rPr>
                  </w:pPr>
                  <w:r>
                    <w:rPr>
                      <w:sz w:val="24"/>
                    </w:rPr>
                    <w:t>K</w:t>
                  </w:r>
                  <w:r>
                    <w:rPr>
                      <w:sz w:val="24"/>
                      <w:vertAlign w:val="superscript"/>
                    </w:rPr>
                    <w:t>+</w:t>
                  </w:r>
                  <w:r>
                    <w:rPr>
                      <w:sz w:val="24"/>
                    </w:rPr>
                    <w:t xml:space="preserve"> 5.5-5.9 mmol/l: Reduce dose by half and monitor</w:t>
                  </w:r>
                  <w:r>
                    <w:rPr>
                      <w:spacing w:val="-6"/>
                      <w:sz w:val="24"/>
                    </w:rPr>
                    <w:t xml:space="preserve"> </w:t>
                  </w:r>
                  <w:r>
                    <w:rPr>
                      <w:sz w:val="24"/>
                    </w:rPr>
                    <w:t>U&amp;Es</w:t>
                  </w:r>
                </w:p>
                <w:p w:rsidR="008F03B5" w:rsidRDefault="00586B9B" w:rsidP="00586B9B">
                  <w:pPr>
                    <w:numPr>
                      <w:ilvl w:val="0"/>
                      <w:numId w:val="62"/>
                    </w:numPr>
                    <w:tabs>
                      <w:tab w:val="left" w:pos="864"/>
                      <w:tab w:val="left" w:pos="865"/>
                    </w:tabs>
                    <w:spacing w:before="148"/>
                    <w:ind w:hanging="361"/>
                    <w:rPr>
                      <w:sz w:val="24"/>
                    </w:rPr>
                  </w:pPr>
                  <w:r>
                    <w:rPr>
                      <w:sz w:val="24"/>
                    </w:rPr>
                    <w:t>K</w:t>
                  </w:r>
                  <w:r>
                    <w:rPr>
                      <w:sz w:val="24"/>
                      <w:vertAlign w:val="superscript"/>
                    </w:rPr>
                    <w:t>+</w:t>
                  </w:r>
                  <w:r>
                    <w:rPr>
                      <w:sz w:val="24"/>
                    </w:rPr>
                    <w:t xml:space="preserve"> &gt; 6.0 mmol/l: Start potassium binder (Patiromer or SZC) and monitor</w:t>
                  </w:r>
                  <w:r>
                    <w:rPr>
                      <w:spacing w:val="-18"/>
                      <w:sz w:val="24"/>
                    </w:rPr>
                    <w:t xml:space="preserve"> </w:t>
                  </w:r>
                  <w:r>
                    <w:rPr>
                      <w:sz w:val="24"/>
                    </w:rPr>
                    <w:t>U&amp;Es</w:t>
                  </w:r>
                </w:p>
              </w:txbxContent>
            </v:textbox>
            <w10:wrap type="topAndBottom" anchorx="page"/>
          </v:shape>
        </w:pict>
      </w:r>
    </w:p>
    <w:p w:rsidR="008F03B5" w:rsidRDefault="008F03B5">
      <w:pPr>
        <w:pStyle w:val="a3"/>
        <w:spacing w:before="10"/>
        <w:rPr>
          <w:sz w:val="28"/>
        </w:rPr>
      </w:pPr>
    </w:p>
    <w:p w:rsidR="008F03B5" w:rsidRDefault="00586B9B">
      <w:pPr>
        <w:pStyle w:val="a3"/>
        <w:spacing w:before="1" w:line="276" w:lineRule="auto"/>
        <w:ind w:left="217" w:right="294" w:firstLine="50"/>
      </w:pPr>
      <w:r>
        <w:t>Adherence to guideline recommendations appears to be poor. In a large population-based study of new users of RAASi drugs, &lt; 33% of patients had a K+ measurement within 30 days of drug initiation and only 76% had at least one measurement within the first year of treatment</w:t>
      </w:r>
      <w:r w:rsidR="00903055">
        <w:t>.</w:t>
      </w:r>
      <w:r w:rsidR="00903055">
        <w:rPr>
          <w:vertAlign w:val="superscript"/>
        </w:rPr>
        <w:t>13</w:t>
      </w:r>
      <w:r w:rsidR="00903055">
        <w:t xml:space="preserve"> </w:t>
      </w:r>
      <w:r w:rsidR="00903055">
        <w:rPr>
          <w:rFonts w:ascii="宋体" w:eastAsia="宋体" w:hAnsi="宋体" w:cs="宋体" w:hint="eastAsia"/>
        </w:rPr>
        <w:t>。。</w:t>
      </w:r>
      <w:r w:rsidR="00903055">
        <w:t>I</w:t>
      </w:r>
      <w:r>
        <w:t>n another study, Chang et al reported that 20% of patients had no serum K+ monitoring within 3 years of initiation of antihypertensive medication that affect potassium levels</w:t>
      </w:r>
      <w:r w:rsidR="00903055">
        <w:t>.</w:t>
      </w:r>
      <w:r w:rsidR="00903055">
        <w:rPr>
          <w:vertAlign w:val="superscript"/>
        </w:rPr>
        <w:t>14</w:t>
      </w:r>
      <w:r w:rsidR="00903055">
        <w:t xml:space="preserve"> </w:t>
      </w:r>
      <w:r w:rsidR="00903055">
        <w:rPr>
          <w:rFonts w:ascii="宋体" w:eastAsia="宋体" w:hAnsi="宋体" w:cs="宋体" w:hint="eastAsia"/>
        </w:rPr>
        <w:t>。。</w:t>
      </w:r>
      <w:r w:rsidR="00903055">
        <w:t>C</w:t>
      </w:r>
      <w:r>
        <w:t>ombined treatment of RAASi and an aldosterone antagonist increase the risk of hyperkalaemia, but Sinnott et al reported &lt;33% of patients taking a RAASi had biochemical monitoring within two weeks of initiation of an aldosterone antagonist</w:t>
      </w:r>
      <w:r w:rsidR="00903055">
        <w:t>.</w:t>
      </w:r>
      <w:r w:rsidR="00903055">
        <w:rPr>
          <w:vertAlign w:val="superscript"/>
        </w:rPr>
        <w:t>15</w:t>
      </w:r>
      <w:r w:rsidR="00903055">
        <w:t xml:space="preserve"> </w:t>
      </w:r>
      <w:r w:rsidR="00903055">
        <w:rPr>
          <w:rFonts w:ascii="宋体" w:eastAsia="宋体" w:hAnsi="宋体" w:cs="宋体" w:hint="eastAsia"/>
        </w:rPr>
        <w:t>。。</w:t>
      </w:r>
      <w:r w:rsidR="00903055">
        <w:t>T</w:t>
      </w:r>
      <w:r>
        <w:t>his highlights the gap in knowledge and clinical practice.</w:t>
      </w:r>
    </w:p>
    <w:p w:rsidR="008F03B5" w:rsidRDefault="008F03B5">
      <w:pPr>
        <w:pStyle w:val="a3"/>
      </w:pPr>
    </w:p>
    <w:p w:rsidR="008F03B5" w:rsidRDefault="008F03B5">
      <w:pPr>
        <w:pStyle w:val="a3"/>
        <w:spacing w:before="2"/>
        <w:rPr>
          <w:sz w:val="23"/>
        </w:rPr>
      </w:pPr>
    </w:p>
    <w:p w:rsidR="008F03B5" w:rsidRDefault="00586B9B">
      <w:pPr>
        <w:ind w:left="217"/>
        <w:rPr>
          <w:b/>
          <w:sz w:val="24"/>
        </w:rPr>
      </w:pPr>
      <w:r>
        <w:rPr>
          <w:b/>
          <w:color w:val="44536A"/>
          <w:sz w:val="24"/>
        </w:rPr>
        <w:t>References</w:t>
      </w:r>
    </w:p>
    <w:p w:rsidR="008F03B5" w:rsidRDefault="00586B9B" w:rsidP="00586B9B">
      <w:pPr>
        <w:pStyle w:val="a4"/>
        <w:numPr>
          <w:ilvl w:val="0"/>
          <w:numId w:val="61"/>
        </w:numPr>
        <w:tabs>
          <w:tab w:val="left" w:pos="939"/>
        </w:tabs>
        <w:spacing w:before="40" w:line="276" w:lineRule="auto"/>
        <w:ind w:right="493"/>
      </w:pPr>
      <w:r>
        <w:t xml:space="preserve">Epstein, M., </w:t>
      </w:r>
      <w:r>
        <w:rPr>
          <w:i/>
        </w:rPr>
        <w:t>Hyperkalemia constitutes a constraint for implementing renin-angiotensin-aldosterone inhibition: the widening gap between mandated treatment guidelines and the real-world clinical arena</w:t>
      </w:r>
      <w:r>
        <w:t xml:space="preserve">. Kidney Int Suppl (2011), 2016. </w:t>
      </w:r>
      <w:r>
        <w:rPr>
          <w:b/>
        </w:rPr>
        <w:t>6</w:t>
      </w:r>
      <w:r>
        <w:t>(1): p.</w:t>
      </w:r>
      <w:r>
        <w:rPr>
          <w:spacing w:val="-9"/>
        </w:rPr>
        <w:t xml:space="preserve"> </w:t>
      </w:r>
      <w:r>
        <w:t>20-28.</w:t>
      </w:r>
    </w:p>
    <w:p w:rsidR="008F03B5" w:rsidRPr="00C07B5E" w:rsidRDefault="008F03B5">
      <w:pPr>
        <w:pStyle w:val="a3"/>
        <w:rPr>
          <w:rFonts w:eastAsiaTheme="minorEastAsia"/>
          <w:lang w:eastAsia="zh-CN"/>
        </w:rPr>
      </w:pPr>
    </w:p>
    <w:p w:rsidR="008F03B5" w:rsidRDefault="008F03B5">
      <w:pPr>
        <w:pStyle w:val="a3"/>
        <w:spacing w:before="11"/>
        <w:rPr>
          <w:sz w:val="19"/>
        </w:rPr>
      </w:pPr>
    </w:p>
    <w:p w:rsidR="008F03B5" w:rsidRDefault="00586B9B">
      <w:pPr>
        <w:pStyle w:val="2"/>
      </w:pPr>
      <w:bookmarkStart w:id="5" w:name="_bookmark11"/>
      <w:bookmarkEnd w:id="5"/>
      <w:r>
        <w:rPr>
          <w:color w:val="1F4E79"/>
        </w:rPr>
        <w:t>Threshold for treatment of hyperkalaemia (Guideline 3.1)</w:t>
      </w:r>
    </w:p>
    <w:p w:rsidR="008F03B5" w:rsidRDefault="008F03B5">
      <w:pPr>
        <w:pStyle w:val="a3"/>
        <w:rPr>
          <w:b/>
          <w:sz w:val="24"/>
        </w:rPr>
      </w:pPr>
    </w:p>
    <w:p w:rsidR="008F03B5" w:rsidRDefault="008F03B5">
      <w:pPr>
        <w:pStyle w:val="a3"/>
        <w:spacing w:before="2"/>
        <w:rPr>
          <w:b/>
          <w:sz w:val="21"/>
        </w:rPr>
      </w:pPr>
    </w:p>
    <w:p w:rsidR="008F03B5" w:rsidRDefault="00586B9B">
      <w:pPr>
        <w:pStyle w:val="3"/>
        <w:spacing w:before="1"/>
      </w:pPr>
      <w:r>
        <w:t>Guideline 3.1 – Threshold for treating Hyperkalaemia in the community.</w:t>
      </w:r>
    </w:p>
    <w:p w:rsidR="008F03B5" w:rsidRDefault="008F03B5">
      <w:pPr>
        <w:pStyle w:val="a3"/>
        <w:spacing w:before="6"/>
        <w:rPr>
          <w:b/>
          <w:sz w:val="19"/>
        </w:rPr>
      </w:pPr>
    </w:p>
    <w:p w:rsidR="008F03B5" w:rsidRDefault="00586B9B">
      <w:pPr>
        <w:pStyle w:val="a3"/>
        <w:spacing w:line="278" w:lineRule="auto"/>
        <w:ind w:left="217" w:right="383"/>
      </w:pPr>
      <w:r>
        <w:t>We recommend that interventions to lower serum potassium be instituted in patients with a serum K+ ≥ 5.5 mmol/l. (1B)</w:t>
      </w:r>
    </w:p>
    <w:p w:rsidR="008F03B5" w:rsidRDefault="008F03B5">
      <w:pPr>
        <w:pStyle w:val="a3"/>
        <w:spacing w:before="7"/>
        <w:rPr>
          <w:sz w:val="19"/>
        </w:rPr>
      </w:pPr>
    </w:p>
    <w:p w:rsidR="008F03B5" w:rsidRDefault="00586B9B">
      <w:pPr>
        <w:ind w:left="217"/>
        <w:rPr>
          <w:b/>
          <w:sz w:val="24"/>
        </w:rPr>
      </w:pPr>
      <w:r>
        <w:rPr>
          <w:b/>
          <w:color w:val="44536A"/>
          <w:sz w:val="24"/>
        </w:rPr>
        <w:t>Rationale (Guideline 3.1)</w:t>
      </w:r>
    </w:p>
    <w:p w:rsidR="008F03B5" w:rsidRDefault="00586B9B">
      <w:pPr>
        <w:pStyle w:val="a3"/>
        <w:spacing w:before="40" w:line="276" w:lineRule="auto"/>
        <w:ind w:left="217" w:right="323"/>
      </w:pPr>
      <w:r>
        <w:t>The detection of hyperkalaemia in the community is frequently the result of blood monitoring in relation to the prescription of RAASi medication. Outwith this context, most observational studies have based diagnosis of hyperkalaemia on a single blood test. Pseudo-hyperkalaemia may occur in the community after long transit time to the laboratory, therefore unexpected results should be repeated.</w:t>
      </w:r>
    </w:p>
    <w:p w:rsidR="008F03B5" w:rsidRDefault="008F03B5">
      <w:pPr>
        <w:pStyle w:val="a3"/>
        <w:spacing w:before="5"/>
        <w:rPr>
          <w:sz w:val="16"/>
        </w:rPr>
      </w:pPr>
    </w:p>
    <w:p w:rsidR="008F03B5" w:rsidRDefault="00586B9B" w:rsidP="00C07B5E">
      <w:pPr>
        <w:pStyle w:val="a3"/>
        <w:spacing w:line="276" w:lineRule="auto"/>
        <w:ind w:left="217" w:right="283"/>
      </w:pPr>
      <w:r>
        <w:t>Existing National guidelines recommend initiation of strategies to manage hyperkalaemia when the serum K+ rises to ≥ 5.5 mmol/l</w:t>
      </w:r>
      <w:r w:rsidR="00903055">
        <w:t>.</w:t>
      </w:r>
      <w:r w:rsidR="00903055">
        <w:rPr>
          <w:vertAlign w:val="superscript"/>
        </w:rPr>
        <w:t>1,2</w:t>
      </w:r>
      <w:r w:rsidR="00903055">
        <w:t xml:space="preserve"> </w:t>
      </w:r>
      <w:r w:rsidR="00903055">
        <w:rPr>
          <w:rFonts w:ascii="宋体" w:eastAsia="宋体" w:hAnsi="宋体" w:cs="宋体" w:hint="eastAsia"/>
        </w:rPr>
        <w:t>。。</w:t>
      </w:r>
      <w:r w:rsidR="00903055">
        <w:t>D</w:t>
      </w:r>
      <w:r>
        <w:t>ata from several studies performed in the general population and in patients with CKD show an increased mortality risk in patients with a serum K+ ≥ 5.5 mmol/l</w:t>
      </w:r>
      <w:r w:rsidR="00903055">
        <w:t>.</w:t>
      </w:r>
      <w:r w:rsidR="00903055">
        <w:rPr>
          <w:vertAlign w:val="superscript"/>
        </w:rPr>
        <w:t>3-9</w:t>
      </w:r>
      <w:r w:rsidR="00903055">
        <w:t xml:space="preserve"> </w:t>
      </w:r>
      <w:r w:rsidR="00903055">
        <w:rPr>
          <w:rFonts w:ascii="宋体" w:eastAsia="宋体" w:hAnsi="宋体" w:cs="宋体" w:hint="eastAsia"/>
        </w:rPr>
        <w:t>。。</w:t>
      </w:r>
      <w:r w:rsidR="00903055">
        <w:t>M</w:t>
      </w:r>
      <w:r>
        <w:t>ortality risk increases</w:t>
      </w:r>
      <w:r w:rsidR="00C07B5E">
        <w:t xml:space="preserve"> </w:t>
      </w:r>
      <w:r>
        <w:t>further when the serum K+ exceeds 6 mmol/l, therefore measures should be taken to avoid a further rise in serum K+ level.</w:t>
      </w:r>
    </w:p>
    <w:p w:rsidR="008F03B5" w:rsidRDefault="00586B9B">
      <w:pPr>
        <w:pStyle w:val="a3"/>
        <w:spacing w:before="196" w:line="276" w:lineRule="auto"/>
        <w:ind w:left="217" w:right="362"/>
      </w:pPr>
      <w:r>
        <w:t>Drugs are frequently implicated in the development of hyperkalaemia in the community. Serum K+ levels increase by 0.4 – 0.6 mmol/l during RAASi treatment in patients with diabetic and non-diabetic kidney disease and approximately 1 – 1.7% of patients develop hyperkalaemia</w:t>
      </w:r>
      <w:r w:rsidR="00903055">
        <w:t>.</w:t>
      </w:r>
      <w:r w:rsidR="00903055">
        <w:rPr>
          <w:vertAlign w:val="superscript"/>
        </w:rPr>
        <w:t>1</w:t>
      </w:r>
      <w:r w:rsidR="00903055">
        <w:t xml:space="preserve"> </w:t>
      </w:r>
      <w:r w:rsidR="00903055">
        <w:rPr>
          <w:rFonts w:ascii="宋体" w:eastAsia="宋体" w:hAnsi="宋体" w:cs="宋体" w:hint="eastAsia"/>
        </w:rPr>
        <w:t>。。</w:t>
      </w:r>
      <w:r w:rsidR="00903055">
        <w:t>A</w:t>
      </w:r>
      <w:r>
        <w:t>lthough RAASi and non-selective beta-blockers can increase K+ levels, consider the degree of hyperkalaemia and the indication for use before reducing or withholding the drug.</w:t>
      </w:r>
    </w:p>
    <w:p w:rsidR="008F03B5" w:rsidRDefault="008F03B5">
      <w:pPr>
        <w:pStyle w:val="a3"/>
        <w:spacing w:before="5"/>
        <w:rPr>
          <w:sz w:val="16"/>
        </w:rPr>
      </w:pPr>
    </w:p>
    <w:p w:rsidR="008F03B5" w:rsidRDefault="00586B9B">
      <w:pPr>
        <w:pStyle w:val="a3"/>
        <w:spacing w:line="276" w:lineRule="auto"/>
        <w:ind w:left="217" w:right="339"/>
      </w:pPr>
      <w:r>
        <w:t>Stop other medications known to exacerbate hyperkalaemia (e.g. oral potassium supplements, NSAIDs, trimethoprim). Other strategies for lowering serum K+ in the community include dietary interventions (Guideline 5.1), treating metabolic acidosis (Guideline 6.1) and controlling hyperglycaemia. Re-introduction of medications that influence K+ levels requires slow titration and close monitoring.</w:t>
      </w:r>
    </w:p>
    <w:p w:rsidR="008F03B5" w:rsidRDefault="008F03B5">
      <w:pPr>
        <w:pStyle w:val="a3"/>
        <w:spacing w:before="12"/>
        <w:rPr>
          <w:sz w:val="19"/>
        </w:rPr>
      </w:pPr>
    </w:p>
    <w:p w:rsidR="008F03B5" w:rsidRDefault="00586B9B">
      <w:pPr>
        <w:ind w:left="217"/>
        <w:rPr>
          <w:b/>
          <w:sz w:val="24"/>
        </w:rPr>
      </w:pPr>
      <w:r>
        <w:rPr>
          <w:b/>
          <w:color w:val="44536A"/>
          <w:sz w:val="24"/>
        </w:rPr>
        <w:t>References</w:t>
      </w:r>
    </w:p>
    <w:p w:rsidR="008F03B5" w:rsidRDefault="00586B9B" w:rsidP="00586B9B">
      <w:pPr>
        <w:pStyle w:val="a4"/>
        <w:numPr>
          <w:ilvl w:val="0"/>
          <w:numId w:val="60"/>
        </w:numPr>
        <w:tabs>
          <w:tab w:val="left" w:pos="939"/>
        </w:tabs>
        <w:spacing w:before="40" w:line="273" w:lineRule="auto"/>
        <w:ind w:right="314"/>
      </w:pPr>
      <w:r>
        <w:t>National Institute for Health and Care Excellence: Chronic Kidney Diseases in adults - assessment and management. Clinical Guideline 182; July 2014.</w:t>
      </w:r>
      <w:r>
        <w:rPr>
          <w:color w:val="0562C1"/>
          <w:spacing w:val="32"/>
        </w:rPr>
        <w:t xml:space="preserve"> </w:t>
      </w:r>
      <w:hyperlink r:id="rId10">
        <w:r>
          <w:rPr>
            <w:color w:val="0562C1"/>
            <w:u w:val="single" w:color="0562C1"/>
          </w:rPr>
          <w:t>www.nice.org.uk/guideline/cg182/</w:t>
        </w:r>
      </w:hyperlink>
    </w:p>
    <w:p w:rsidR="008F03B5" w:rsidRDefault="008F03B5">
      <w:pPr>
        <w:spacing w:line="278" w:lineRule="auto"/>
        <w:jc w:val="both"/>
        <w:sectPr w:rsidR="008F03B5">
          <w:pgSz w:w="11910" w:h="16840"/>
          <w:pgMar w:top="1540" w:right="780" w:bottom="1100" w:left="860" w:header="425" w:footer="912" w:gutter="0"/>
          <w:cols w:space="720"/>
        </w:sectPr>
      </w:pPr>
    </w:p>
    <w:p w:rsidR="008F03B5" w:rsidRDefault="00586B9B">
      <w:pPr>
        <w:pStyle w:val="2"/>
        <w:spacing w:before="119"/>
      </w:pPr>
      <w:bookmarkStart w:id="6" w:name="_bookmark12"/>
      <w:bookmarkEnd w:id="6"/>
      <w:r>
        <w:rPr>
          <w:color w:val="1F4E79"/>
        </w:rPr>
        <w:lastRenderedPageBreak/>
        <w:t>Indications for hospital assessment (Guidelines 4.1 - 4.2)</w:t>
      </w:r>
    </w:p>
    <w:p w:rsidR="008F03B5" w:rsidRDefault="008F03B5">
      <w:pPr>
        <w:pStyle w:val="a3"/>
        <w:rPr>
          <w:b/>
          <w:sz w:val="24"/>
        </w:rPr>
      </w:pPr>
    </w:p>
    <w:p w:rsidR="008F03B5" w:rsidRDefault="008F03B5">
      <w:pPr>
        <w:pStyle w:val="a3"/>
        <w:rPr>
          <w:b/>
          <w:sz w:val="21"/>
        </w:rPr>
      </w:pPr>
    </w:p>
    <w:p w:rsidR="008F03B5" w:rsidRDefault="00586B9B">
      <w:pPr>
        <w:pStyle w:val="3"/>
        <w:spacing w:line="278" w:lineRule="auto"/>
        <w:ind w:right="549"/>
      </w:pPr>
      <w:r>
        <w:t>Guideline 4.1 – Indication for assessment in hospital for patients with severe hyperkalaemia detected in the community.</w:t>
      </w:r>
    </w:p>
    <w:p w:rsidR="008F03B5" w:rsidRDefault="00586B9B">
      <w:pPr>
        <w:pStyle w:val="a3"/>
        <w:spacing w:before="195" w:line="278" w:lineRule="auto"/>
        <w:ind w:left="217" w:right="857"/>
      </w:pPr>
      <w:r>
        <w:t>We recommend urgent hospital assessment for all patients with severe hyperkalaemia (serum K+ ≥ 6.5 mmol/l) detected in the community. (1A)</w:t>
      </w:r>
    </w:p>
    <w:p w:rsidR="008F03B5" w:rsidRDefault="00586B9B">
      <w:pPr>
        <w:pStyle w:val="3"/>
        <w:spacing w:before="196" w:line="278" w:lineRule="auto"/>
        <w:ind w:right="864"/>
      </w:pPr>
      <w:r>
        <w:t>Guideline 4.2 – Indication for assessment in hospital for patients with mild-moderate hyperkalaemia detected in the community.</w:t>
      </w:r>
    </w:p>
    <w:p w:rsidR="008F03B5" w:rsidRDefault="00586B9B">
      <w:pPr>
        <w:pStyle w:val="a3"/>
        <w:spacing w:before="196" w:line="276" w:lineRule="auto"/>
        <w:ind w:left="217" w:right="430"/>
      </w:pPr>
      <w:r>
        <w:t>We suggest hospital assessment for acutely unwell patients with mild (serum K+ 5.5 – 5.9 mmol/l) or moderate hyperkalaemia (serum K+ 6.0 - 6.4 mmol/l), particularly in the presence of an acute kidney injury. (1B)</w:t>
      </w:r>
    </w:p>
    <w:p w:rsidR="008F03B5" w:rsidRDefault="008F03B5">
      <w:pPr>
        <w:pStyle w:val="a3"/>
        <w:spacing w:before="10"/>
        <w:rPr>
          <w:sz w:val="19"/>
        </w:rPr>
      </w:pPr>
    </w:p>
    <w:p w:rsidR="008F03B5" w:rsidRDefault="00586B9B">
      <w:pPr>
        <w:ind w:left="217"/>
        <w:rPr>
          <w:b/>
          <w:sz w:val="24"/>
        </w:rPr>
      </w:pPr>
      <w:r>
        <w:rPr>
          <w:b/>
          <w:color w:val="44536A"/>
          <w:sz w:val="24"/>
        </w:rPr>
        <w:t>Audit Measures</w:t>
      </w:r>
    </w:p>
    <w:p w:rsidR="008F03B5" w:rsidRDefault="00586B9B">
      <w:pPr>
        <w:pStyle w:val="a3"/>
        <w:spacing w:before="40" w:line="278" w:lineRule="auto"/>
        <w:ind w:left="217" w:right="804"/>
      </w:pPr>
      <w:r>
        <w:t>Proportion of patients admitted to hospital with severe hyperkalaemia detected in the community who subsequently did not warrant emergency treatment on repeat testing.</w:t>
      </w:r>
    </w:p>
    <w:p w:rsidR="008F03B5" w:rsidRDefault="008F03B5">
      <w:pPr>
        <w:pStyle w:val="a3"/>
        <w:spacing w:before="7"/>
        <w:rPr>
          <w:sz w:val="19"/>
        </w:rPr>
      </w:pPr>
    </w:p>
    <w:p w:rsidR="008F03B5" w:rsidRDefault="00586B9B">
      <w:pPr>
        <w:ind w:left="217"/>
        <w:rPr>
          <w:b/>
          <w:sz w:val="24"/>
        </w:rPr>
      </w:pPr>
      <w:r>
        <w:rPr>
          <w:b/>
          <w:color w:val="44536A"/>
          <w:sz w:val="24"/>
        </w:rPr>
        <w:t>Rationale (Guidelines Hyperkalaemia 4.1 – 4.2)</w:t>
      </w:r>
    </w:p>
    <w:p w:rsidR="008F03B5" w:rsidRDefault="00586B9B">
      <w:pPr>
        <w:pStyle w:val="a3"/>
        <w:spacing w:before="41" w:line="276" w:lineRule="auto"/>
        <w:ind w:left="217" w:right="369"/>
        <w:rPr>
          <w:b/>
        </w:rPr>
      </w:pPr>
      <w:r>
        <w:t>There is substantial variability in clinical practice related to referral for hospital assessment for hyperkalaemia, which may be partly explained by incidental findings in clinically well patients. The detection of hyperkalaemia in the community is rising with the increasing use of RAASi drugs for multiple clinical indications and the necessity for regular biochemical surveillance. Drug up-titration or co-administration of another drug that affects K+ level, as shown in Table 5, can precipitate severe hyperkalaemia</w:t>
      </w:r>
      <w:r w:rsidR="00903055">
        <w:t>.</w:t>
      </w:r>
      <w:r w:rsidR="00903055">
        <w:rPr>
          <w:vertAlign w:val="superscript"/>
        </w:rPr>
        <w:t>1</w:t>
      </w:r>
      <w:r w:rsidR="00903055">
        <w:t xml:space="preserve"> </w:t>
      </w:r>
      <w:r w:rsidR="00903055">
        <w:rPr>
          <w:rFonts w:ascii="宋体" w:eastAsia="宋体" w:hAnsi="宋体" w:cs="宋体" w:hint="eastAsia"/>
        </w:rPr>
        <w:t>。。</w:t>
      </w:r>
      <w:r w:rsidR="00903055">
        <w:t>A</w:t>
      </w:r>
      <w:r>
        <w:t>cute illness is another common antecedent to acute kidney injury and hyperkalaemia</w:t>
      </w:r>
      <w:r>
        <w:rPr>
          <w:b/>
        </w:rPr>
        <w:t>.</w:t>
      </w:r>
    </w:p>
    <w:p w:rsidR="008F03B5" w:rsidRDefault="009A3CBD">
      <w:pPr>
        <w:pStyle w:val="a3"/>
        <w:spacing w:before="12"/>
        <w:rPr>
          <w:b/>
          <w:sz w:val="26"/>
        </w:rPr>
      </w:pPr>
      <w:r>
        <w:pict>
          <v:shape id="_x0000_s1075" type="#_x0000_t202" style="position:absolute;margin-left:153.85pt;margin-top:18.8pt;width:300.5pt;height:168.6pt;z-index:-15725056;mso-wrap-distance-left:0;mso-wrap-distance-right:0;mso-position-horizontal-relative:page" fillcolor="#bcd6ed">
            <v:textbox inset="0,0,0,0">
              <w:txbxContent>
                <w:p w:rsidR="008F03B5" w:rsidRDefault="00586B9B">
                  <w:pPr>
                    <w:spacing w:before="72" w:line="276" w:lineRule="auto"/>
                    <w:ind w:left="143" w:right="360"/>
                    <w:rPr>
                      <w:b/>
                      <w:sz w:val="24"/>
                    </w:rPr>
                  </w:pPr>
                  <w:r>
                    <w:rPr>
                      <w:b/>
                      <w:sz w:val="24"/>
                    </w:rPr>
                    <w:t>Drugs that potentiate risk of hyperkalaemia in patients receiving RAASi and/or MRAs</w:t>
                  </w:r>
                </w:p>
                <w:p w:rsidR="008F03B5" w:rsidRDefault="00586B9B" w:rsidP="00586B9B">
                  <w:pPr>
                    <w:numPr>
                      <w:ilvl w:val="0"/>
                      <w:numId w:val="59"/>
                    </w:numPr>
                    <w:tabs>
                      <w:tab w:val="left" w:pos="864"/>
                      <w:tab w:val="left" w:pos="865"/>
                    </w:tabs>
                    <w:spacing w:before="199"/>
                    <w:ind w:hanging="362"/>
                    <w:rPr>
                      <w:sz w:val="24"/>
                    </w:rPr>
                  </w:pPr>
                  <w:r>
                    <w:rPr>
                      <w:sz w:val="24"/>
                    </w:rPr>
                    <w:t>Trimethoprim/co-trimoxazole</w:t>
                  </w:r>
                </w:p>
                <w:p w:rsidR="008F03B5" w:rsidRDefault="00586B9B" w:rsidP="00586B9B">
                  <w:pPr>
                    <w:numPr>
                      <w:ilvl w:val="0"/>
                      <w:numId w:val="59"/>
                    </w:numPr>
                    <w:tabs>
                      <w:tab w:val="left" w:pos="864"/>
                      <w:tab w:val="left" w:pos="865"/>
                    </w:tabs>
                    <w:spacing w:before="2" w:line="305" w:lineRule="exact"/>
                    <w:ind w:hanging="362"/>
                    <w:rPr>
                      <w:sz w:val="24"/>
                    </w:rPr>
                  </w:pPr>
                  <w:r>
                    <w:rPr>
                      <w:sz w:val="24"/>
                    </w:rPr>
                    <w:t>Potassium supplements</w:t>
                  </w:r>
                </w:p>
                <w:p w:rsidR="008F03B5" w:rsidRDefault="00586B9B" w:rsidP="00586B9B">
                  <w:pPr>
                    <w:numPr>
                      <w:ilvl w:val="0"/>
                      <w:numId w:val="59"/>
                    </w:numPr>
                    <w:tabs>
                      <w:tab w:val="left" w:pos="864"/>
                      <w:tab w:val="left" w:pos="865"/>
                    </w:tabs>
                    <w:spacing w:line="305" w:lineRule="exact"/>
                    <w:ind w:hanging="362"/>
                    <w:rPr>
                      <w:sz w:val="24"/>
                    </w:rPr>
                  </w:pPr>
                  <w:r>
                    <w:rPr>
                      <w:sz w:val="24"/>
                    </w:rPr>
                    <w:t>Potassium sparing</w:t>
                  </w:r>
                  <w:r>
                    <w:rPr>
                      <w:spacing w:val="-2"/>
                      <w:sz w:val="24"/>
                    </w:rPr>
                    <w:t xml:space="preserve"> </w:t>
                  </w:r>
                  <w:r>
                    <w:rPr>
                      <w:sz w:val="24"/>
                    </w:rPr>
                    <w:t>diuretics</w:t>
                  </w:r>
                </w:p>
                <w:p w:rsidR="008F03B5" w:rsidRDefault="00586B9B" w:rsidP="00586B9B">
                  <w:pPr>
                    <w:numPr>
                      <w:ilvl w:val="0"/>
                      <w:numId w:val="59"/>
                    </w:numPr>
                    <w:tabs>
                      <w:tab w:val="left" w:pos="864"/>
                      <w:tab w:val="left" w:pos="865"/>
                    </w:tabs>
                    <w:spacing w:line="305" w:lineRule="exact"/>
                    <w:ind w:hanging="362"/>
                    <w:rPr>
                      <w:sz w:val="24"/>
                    </w:rPr>
                  </w:pPr>
                  <w:r>
                    <w:rPr>
                      <w:sz w:val="24"/>
                    </w:rPr>
                    <w:t>Salt substitutes</w:t>
                  </w:r>
                  <w:r>
                    <w:rPr>
                      <w:spacing w:val="2"/>
                      <w:sz w:val="24"/>
                    </w:rPr>
                    <w:t xml:space="preserve"> </w:t>
                  </w:r>
                  <w:r>
                    <w:rPr>
                      <w:sz w:val="24"/>
                    </w:rPr>
                    <w:t>(lo-salt)</w:t>
                  </w:r>
                </w:p>
                <w:p w:rsidR="008F03B5" w:rsidRDefault="00586B9B" w:rsidP="00586B9B">
                  <w:pPr>
                    <w:numPr>
                      <w:ilvl w:val="0"/>
                      <w:numId w:val="59"/>
                    </w:numPr>
                    <w:tabs>
                      <w:tab w:val="left" w:pos="864"/>
                      <w:tab w:val="left" w:pos="865"/>
                    </w:tabs>
                    <w:spacing w:before="2" w:line="305" w:lineRule="exact"/>
                    <w:ind w:hanging="362"/>
                    <w:rPr>
                      <w:sz w:val="24"/>
                    </w:rPr>
                  </w:pPr>
                  <w:r>
                    <w:rPr>
                      <w:sz w:val="24"/>
                    </w:rPr>
                    <w:t>NSAID</w:t>
                  </w:r>
                </w:p>
                <w:p w:rsidR="008F03B5" w:rsidRDefault="00586B9B" w:rsidP="00586B9B">
                  <w:pPr>
                    <w:numPr>
                      <w:ilvl w:val="0"/>
                      <w:numId w:val="59"/>
                    </w:numPr>
                    <w:tabs>
                      <w:tab w:val="left" w:pos="864"/>
                      <w:tab w:val="left" w:pos="865"/>
                    </w:tabs>
                    <w:spacing w:line="305" w:lineRule="exact"/>
                    <w:ind w:hanging="362"/>
                    <w:rPr>
                      <w:sz w:val="24"/>
                    </w:rPr>
                  </w:pPr>
                  <w:r>
                    <w:rPr>
                      <w:sz w:val="24"/>
                    </w:rPr>
                    <w:t>Non-selective</w:t>
                  </w:r>
                  <w:r>
                    <w:rPr>
                      <w:spacing w:val="-3"/>
                      <w:sz w:val="24"/>
                    </w:rPr>
                    <w:t xml:space="preserve"> </w:t>
                  </w:r>
                  <w:r>
                    <w:rPr>
                      <w:sz w:val="24"/>
                    </w:rPr>
                    <w:t>beta-blockers</w:t>
                  </w:r>
                </w:p>
                <w:p w:rsidR="008F03B5" w:rsidRDefault="00586B9B" w:rsidP="00586B9B">
                  <w:pPr>
                    <w:numPr>
                      <w:ilvl w:val="0"/>
                      <w:numId w:val="59"/>
                    </w:numPr>
                    <w:tabs>
                      <w:tab w:val="left" w:pos="864"/>
                      <w:tab w:val="left" w:pos="865"/>
                    </w:tabs>
                    <w:spacing w:before="1"/>
                    <w:ind w:hanging="362"/>
                    <w:rPr>
                      <w:sz w:val="24"/>
                    </w:rPr>
                  </w:pPr>
                  <w:r>
                    <w:rPr>
                      <w:sz w:val="24"/>
                    </w:rPr>
                    <w:t>Digoxin</w:t>
                  </w:r>
                  <w:r>
                    <w:rPr>
                      <w:spacing w:val="-2"/>
                      <w:sz w:val="24"/>
                    </w:rPr>
                    <w:t xml:space="preserve"> </w:t>
                  </w:r>
                  <w:r>
                    <w:rPr>
                      <w:sz w:val="24"/>
                    </w:rPr>
                    <w:t>toxicity</w:t>
                  </w:r>
                </w:p>
              </w:txbxContent>
            </v:textbox>
            <w10:wrap type="topAndBottom" anchorx="page"/>
          </v:shape>
        </w:pict>
      </w:r>
    </w:p>
    <w:p w:rsidR="008F03B5" w:rsidRDefault="008F03B5">
      <w:pPr>
        <w:pStyle w:val="a3"/>
        <w:rPr>
          <w:b/>
        </w:rPr>
      </w:pPr>
    </w:p>
    <w:p w:rsidR="008F03B5" w:rsidRDefault="008F03B5">
      <w:pPr>
        <w:pStyle w:val="a3"/>
        <w:spacing w:before="8"/>
        <w:rPr>
          <w:b/>
          <w:sz w:val="17"/>
        </w:rPr>
      </w:pPr>
    </w:p>
    <w:p w:rsidR="008F03B5" w:rsidRDefault="00586B9B">
      <w:pPr>
        <w:pStyle w:val="3"/>
        <w:spacing w:before="1" w:line="278" w:lineRule="auto"/>
        <w:ind w:right="546"/>
      </w:pPr>
      <w:r>
        <w:t>Table 5: Drugs that pose an additive effect on risk of hyperkalaemia in patients receiving RAASi and MRAs.</w:t>
      </w:r>
    </w:p>
    <w:p w:rsidR="008F03B5" w:rsidRDefault="00586B9B">
      <w:pPr>
        <w:spacing w:line="276" w:lineRule="auto"/>
        <w:sectPr w:rsidR="008F03B5">
          <w:pgSz w:w="11910" w:h="16840"/>
          <w:pgMar w:top="1540" w:right="780" w:bottom="1100" w:left="860" w:header="425" w:footer="912" w:gutter="0"/>
          <w:cols w:space="720"/>
        </w:sectPr>
      </w:pPr>
      <w:r>
        <w:t>The risk of adverse events increases with worsening hyperkalaemia. Severe hyperkalaemia is an independent predictor of all-cause and in-hospital mortality as well as hospitalisation</w:t>
      </w:r>
      <w:r w:rsidR="00903055">
        <w:t>.</w:t>
      </w:r>
      <w:r w:rsidR="00903055">
        <w:rPr>
          <w:vertAlign w:val="superscript"/>
        </w:rPr>
        <w:t>2</w:t>
      </w:r>
      <w:r w:rsidR="00903055">
        <w:t xml:space="preserve"> </w:t>
      </w:r>
      <w:r w:rsidR="00903055">
        <w:rPr>
          <w:rFonts w:ascii="宋体" w:eastAsia="宋体" w:hAnsi="宋体" w:cs="宋体" w:hint="eastAsia"/>
        </w:rPr>
        <w:t>。。</w:t>
      </w:r>
      <w:r w:rsidR="00903055">
        <w:t>T</w:t>
      </w:r>
      <w:r>
        <w:t>herefore, defined</w:t>
      </w:r>
      <w:r w:rsidR="00C07B5E">
        <w:t xml:space="preserve"> </w:t>
      </w:r>
    </w:p>
    <w:p w:rsidR="008F03B5" w:rsidRDefault="00586B9B">
      <w:pPr>
        <w:pStyle w:val="a3"/>
        <w:spacing w:before="116" w:line="278" w:lineRule="auto"/>
        <w:ind w:left="217" w:right="333"/>
      </w:pPr>
      <w:r>
        <w:lastRenderedPageBreak/>
        <w:t>thresholds for triggering intervention in the community and for prompting referral to hospital could improve patient outcome.</w:t>
      </w:r>
    </w:p>
    <w:p w:rsidR="008F03B5" w:rsidRDefault="00586B9B">
      <w:pPr>
        <w:pStyle w:val="a3"/>
        <w:spacing w:before="196" w:line="276" w:lineRule="auto"/>
        <w:ind w:left="217" w:right="314"/>
      </w:pPr>
      <w:r>
        <w:t>There is little evidence for a specific threshold for hospital admission for management of hyperkalaemia. Charytan et al undertook a small study (n=23) to assess the practice relating to hospitalisation of patients for hyperkalaemia</w:t>
      </w:r>
      <w:r w:rsidR="00903055">
        <w:t>.</w:t>
      </w:r>
      <w:r w:rsidR="00903055">
        <w:rPr>
          <w:vertAlign w:val="superscript"/>
        </w:rPr>
        <w:t>3</w:t>
      </w:r>
      <w:r w:rsidR="00903055">
        <w:t xml:space="preserve"> </w:t>
      </w:r>
      <w:r w:rsidR="00903055">
        <w:rPr>
          <w:rFonts w:ascii="宋体" w:eastAsia="宋体" w:hAnsi="宋体" w:cs="宋体" w:hint="eastAsia"/>
        </w:rPr>
        <w:t>。。</w:t>
      </w:r>
      <w:r w:rsidR="00903055">
        <w:t>I</w:t>
      </w:r>
      <w:r>
        <w:t>n this study, 11 patients with hyperkalaemia at hospital admission were compared with 12 hyperkalaemic patients managed as an outpatient. The study lacked power to determine the relative safety of location of treatment. Horne et al demonstrated the impact of hyperkalaemia on mortality and healthcare utilisation, including hospital admission, in the UK general population, but did not provide a distinct threshold warranting hospital admission</w:t>
      </w:r>
      <w:r w:rsidR="00903055">
        <w:t>.</w:t>
      </w:r>
      <w:r w:rsidR="00903055">
        <w:rPr>
          <w:vertAlign w:val="superscript"/>
        </w:rPr>
        <w:t>4</w:t>
      </w:r>
      <w:r w:rsidR="00903055">
        <w:t xml:space="preserve"> </w:t>
      </w:r>
      <w:r w:rsidR="00903055">
        <w:rPr>
          <w:rFonts w:ascii="宋体" w:eastAsia="宋体" w:hAnsi="宋体" w:cs="宋体" w:hint="eastAsia"/>
        </w:rPr>
        <w:t>。。</w:t>
      </w:r>
      <w:r w:rsidR="00903055">
        <w:t>H</w:t>
      </w:r>
      <w:r>
        <w:t>owever, this study noted a significantly higher incidence rate of all-cause hospitalisation for patients with a serum K+ &gt; 6.0 mmol/l of 28.93/ 100 person-years compared with patients with a serum K+ 5.0-5.5 mmol/l of 13.86/ 100</w:t>
      </w:r>
      <w:r>
        <w:rPr>
          <w:spacing w:val="-14"/>
        </w:rPr>
        <w:t xml:space="preserve"> </w:t>
      </w:r>
      <w:r>
        <w:t>person-years.</w:t>
      </w:r>
    </w:p>
    <w:p w:rsidR="008F03B5" w:rsidRDefault="008F03B5">
      <w:pPr>
        <w:pStyle w:val="a3"/>
        <w:spacing w:before="4"/>
        <w:rPr>
          <w:sz w:val="16"/>
        </w:rPr>
      </w:pPr>
    </w:p>
    <w:p w:rsidR="008F03B5" w:rsidRDefault="00586B9B">
      <w:pPr>
        <w:pStyle w:val="a3"/>
        <w:spacing w:line="276" w:lineRule="auto"/>
        <w:ind w:left="217" w:right="483"/>
      </w:pPr>
      <w:r>
        <w:t>The position statement for ‘Think Kidneys’, a collaboration of The Renal Association and British Society for Heart Failure, recommend hospital admission in all patients with severe hyperkalaemia (K+ ≥ 6.5 mmol/l) and in patients with moderate hyperkalaemia (K+ 6.0-6.4 mmol/l) who are acutely unwell or have an AKI</w:t>
      </w:r>
      <w:r w:rsidR="00903055">
        <w:t>.</w:t>
      </w:r>
      <w:r w:rsidR="00903055">
        <w:rPr>
          <w:vertAlign w:val="superscript"/>
        </w:rPr>
        <w:t>6</w:t>
      </w:r>
      <w:r w:rsidR="00903055">
        <w:t xml:space="preserve"> </w:t>
      </w:r>
      <w:r w:rsidR="00903055">
        <w:rPr>
          <w:rFonts w:ascii="宋体" w:eastAsia="宋体" w:hAnsi="宋体" w:cs="宋体" w:hint="eastAsia"/>
        </w:rPr>
        <w:t>。。</w:t>
      </w:r>
      <w:r w:rsidR="00903055">
        <w:t>H</w:t>
      </w:r>
      <w:r>
        <w:t>ospital admission should be considered in patients with mild hyperkalaemia (K+ 5.5-5.9 mmol/l) if acutely unwell or have an AKI.</w:t>
      </w:r>
    </w:p>
    <w:p w:rsidR="008F03B5" w:rsidRDefault="008F03B5">
      <w:pPr>
        <w:pStyle w:val="a3"/>
        <w:spacing w:before="5"/>
        <w:rPr>
          <w:sz w:val="16"/>
        </w:rPr>
      </w:pPr>
    </w:p>
    <w:p w:rsidR="008F03B5" w:rsidRDefault="00586B9B">
      <w:pPr>
        <w:pStyle w:val="a3"/>
        <w:spacing w:line="276" w:lineRule="auto"/>
        <w:ind w:left="217" w:right="392"/>
      </w:pPr>
      <w:r>
        <w:t>An important consideration in the management of an episode of hyperkalaemia is the balance between the immediate risk versus the impact of cessation of RAASi drugs in patients for whom these drugs are crucial in controlling symptoms and improving survival. Minimising the duration of cessation of treatment and clear communication after hospital discharge is essential. Involvement of specialist services, renal and heart failure teams, may facilitate safer re-introduction of treatment.</w:t>
      </w:r>
    </w:p>
    <w:p w:rsidR="008F03B5" w:rsidRDefault="008F03B5">
      <w:pPr>
        <w:pStyle w:val="a3"/>
        <w:rPr>
          <w:sz w:val="20"/>
        </w:rPr>
      </w:pPr>
    </w:p>
    <w:p w:rsidR="008F03B5" w:rsidRDefault="00586B9B">
      <w:pPr>
        <w:ind w:left="217"/>
        <w:rPr>
          <w:b/>
          <w:sz w:val="24"/>
        </w:rPr>
      </w:pPr>
      <w:r>
        <w:rPr>
          <w:b/>
          <w:color w:val="44536A"/>
          <w:sz w:val="24"/>
        </w:rPr>
        <w:t>References</w:t>
      </w:r>
    </w:p>
    <w:p w:rsidR="008F03B5" w:rsidRDefault="00586B9B" w:rsidP="00586B9B">
      <w:pPr>
        <w:pStyle w:val="a4"/>
        <w:numPr>
          <w:ilvl w:val="0"/>
          <w:numId w:val="58"/>
        </w:numPr>
        <w:tabs>
          <w:tab w:val="left" w:pos="939"/>
        </w:tabs>
        <w:spacing w:before="41"/>
        <w:ind w:hanging="361"/>
      </w:pPr>
      <w:r>
        <w:t xml:space="preserve">Ben Salem, C., et al., </w:t>
      </w:r>
      <w:r>
        <w:rPr>
          <w:i/>
        </w:rPr>
        <w:t>Drug-induced hyperkalemia</w:t>
      </w:r>
      <w:r>
        <w:t xml:space="preserve">. Drug Saf, 2014. </w:t>
      </w:r>
      <w:r>
        <w:rPr>
          <w:b/>
        </w:rPr>
        <w:t>37</w:t>
      </w:r>
      <w:r>
        <w:t>(9): p.</w:t>
      </w:r>
      <w:r>
        <w:rPr>
          <w:spacing w:val="-17"/>
        </w:rPr>
        <w:t xml:space="preserve"> </w:t>
      </w:r>
      <w:r>
        <w:t>677-92.</w:t>
      </w:r>
    </w:p>
    <w:p w:rsidR="008F03B5" w:rsidRDefault="008F03B5">
      <w:pPr>
        <w:spacing w:line="278" w:lineRule="auto"/>
        <w:sectPr w:rsidR="008F03B5">
          <w:pgSz w:w="11910" w:h="16840"/>
          <w:pgMar w:top="1540" w:right="780" w:bottom="1100" w:left="860" w:header="425" w:footer="912" w:gutter="0"/>
          <w:cols w:space="720"/>
        </w:sectPr>
      </w:pPr>
    </w:p>
    <w:p w:rsidR="008F03B5" w:rsidRDefault="00586B9B">
      <w:pPr>
        <w:pStyle w:val="2"/>
        <w:spacing w:before="119"/>
      </w:pPr>
      <w:bookmarkStart w:id="7" w:name="_bookmark13"/>
      <w:bookmarkEnd w:id="7"/>
      <w:r>
        <w:rPr>
          <w:color w:val="1F4E79"/>
        </w:rPr>
        <w:lastRenderedPageBreak/>
        <w:t>Treatment: Dietary interventions (Guideline 5.1)</w:t>
      </w:r>
    </w:p>
    <w:p w:rsidR="008F03B5" w:rsidRDefault="008F03B5">
      <w:pPr>
        <w:pStyle w:val="a3"/>
        <w:rPr>
          <w:b/>
          <w:sz w:val="24"/>
        </w:rPr>
      </w:pPr>
    </w:p>
    <w:p w:rsidR="008F03B5" w:rsidRDefault="008F03B5">
      <w:pPr>
        <w:pStyle w:val="a3"/>
        <w:spacing w:before="2"/>
        <w:rPr>
          <w:b/>
          <w:sz w:val="21"/>
        </w:rPr>
      </w:pPr>
    </w:p>
    <w:p w:rsidR="008F03B5" w:rsidRDefault="00586B9B">
      <w:pPr>
        <w:pStyle w:val="3"/>
      </w:pPr>
      <w:r>
        <w:t>Guideline 5.1 – Dietary Intervention for managing Hyperkalaemia in the community.</w:t>
      </w:r>
    </w:p>
    <w:p w:rsidR="008F03B5" w:rsidRDefault="008F03B5">
      <w:pPr>
        <w:pStyle w:val="a3"/>
        <w:spacing w:before="6"/>
        <w:rPr>
          <w:b/>
          <w:sz w:val="19"/>
        </w:rPr>
      </w:pPr>
    </w:p>
    <w:p w:rsidR="008F03B5" w:rsidRDefault="00586B9B">
      <w:pPr>
        <w:pStyle w:val="a3"/>
        <w:spacing w:line="278" w:lineRule="auto"/>
        <w:ind w:left="217" w:right="717"/>
      </w:pPr>
      <w:r>
        <w:t>We recommend that a low potassium diet is instituted for patients with persistent hyperkalaemia with a serum K+ &gt; 5.5 mmol/l. (1B)</w:t>
      </w:r>
    </w:p>
    <w:p w:rsidR="008F03B5" w:rsidRDefault="008F03B5">
      <w:pPr>
        <w:pStyle w:val="a3"/>
        <w:spacing w:before="7"/>
        <w:rPr>
          <w:sz w:val="19"/>
        </w:rPr>
      </w:pPr>
    </w:p>
    <w:p w:rsidR="008F03B5" w:rsidRDefault="00586B9B">
      <w:pPr>
        <w:ind w:left="217"/>
        <w:rPr>
          <w:b/>
          <w:sz w:val="24"/>
        </w:rPr>
      </w:pPr>
      <w:r>
        <w:rPr>
          <w:b/>
          <w:color w:val="44536A"/>
          <w:sz w:val="24"/>
        </w:rPr>
        <w:t>Audit measures</w:t>
      </w:r>
    </w:p>
    <w:p w:rsidR="008F03B5" w:rsidRDefault="00586B9B">
      <w:pPr>
        <w:pStyle w:val="a3"/>
        <w:spacing w:before="40" w:line="278" w:lineRule="auto"/>
        <w:ind w:left="938" w:right="339" w:hanging="360"/>
      </w:pPr>
      <w:r>
        <w:t>1. Proportion of patients with moderate hyperkalaemia who have received dietary potassium advice in the renal out-patient setting.</w:t>
      </w:r>
    </w:p>
    <w:p w:rsidR="008F03B5" w:rsidRDefault="008F03B5">
      <w:pPr>
        <w:pStyle w:val="a3"/>
        <w:spacing w:before="8"/>
        <w:rPr>
          <w:sz w:val="19"/>
        </w:rPr>
      </w:pPr>
    </w:p>
    <w:p w:rsidR="008F03B5" w:rsidRDefault="00586B9B">
      <w:pPr>
        <w:ind w:left="217"/>
        <w:rPr>
          <w:b/>
          <w:sz w:val="24"/>
        </w:rPr>
      </w:pPr>
      <w:r>
        <w:rPr>
          <w:b/>
          <w:color w:val="44536A"/>
          <w:sz w:val="24"/>
        </w:rPr>
        <w:t>Rationale (Guideline 5.1)</w:t>
      </w:r>
    </w:p>
    <w:p w:rsidR="008F03B5" w:rsidRDefault="00586B9B">
      <w:pPr>
        <w:pStyle w:val="a3"/>
        <w:spacing w:before="40" w:line="276" w:lineRule="auto"/>
        <w:ind w:left="217" w:right="440"/>
      </w:pPr>
      <w:r>
        <w:t>Dietary potassium comes from a wide range of foods including fruit and vegetables, meat and meat products, cereals, drinks, milk and milk products. Fruit and vegetables accounts for approximately 33% dietary potassium intake</w:t>
      </w:r>
      <w:r w:rsidR="00903055">
        <w:t>.</w:t>
      </w:r>
      <w:r w:rsidR="00903055">
        <w:rPr>
          <w:vertAlign w:val="superscript"/>
        </w:rPr>
        <w:t>1</w:t>
      </w:r>
      <w:r w:rsidR="00903055">
        <w:t xml:space="preserve"> </w:t>
      </w:r>
      <w:r w:rsidR="00903055">
        <w:rPr>
          <w:rFonts w:ascii="宋体" w:eastAsia="宋体" w:hAnsi="宋体" w:cs="宋体" w:hint="eastAsia"/>
        </w:rPr>
        <w:t>。。</w:t>
      </w:r>
      <w:r w:rsidR="00903055">
        <w:t>I</w:t>
      </w:r>
      <w:r>
        <w:t>n adults without kidney disease, the WHO recommends an average dietary K+ intake of approximately 3.9g/ day (100mmol)</w:t>
      </w:r>
      <w:r w:rsidR="00903055">
        <w:t>.</w:t>
      </w:r>
      <w:r w:rsidR="00903055">
        <w:rPr>
          <w:vertAlign w:val="superscript"/>
        </w:rPr>
        <w:t>2</w:t>
      </w:r>
      <w:r w:rsidR="00903055">
        <w:t xml:space="preserve"> </w:t>
      </w:r>
      <w:r w:rsidR="00903055">
        <w:rPr>
          <w:rFonts w:ascii="宋体" w:eastAsia="宋体" w:hAnsi="宋体" w:cs="宋体" w:hint="eastAsia"/>
        </w:rPr>
        <w:t>。。</w:t>
      </w:r>
      <w:r w:rsidR="00903055">
        <w:t>I</w:t>
      </w:r>
      <w:r>
        <w:t>n the USA, the Institute of Medicine, Food and Nutrition Board recommend a higher daily K+ intake of 4.7g/ day (120mmol/l).[3] In patients with kidney disease, the National Kidney Foundation (NKF) suggests an unrestricted potassium intake in patients with CKD 1-5 (non- dialysis) unless the serum K+ is elevated</w:t>
      </w:r>
      <w:r w:rsidR="00903055">
        <w:t>.</w:t>
      </w:r>
      <w:r w:rsidR="00903055">
        <w:rPr>
          <w:vertAlign w:val="superscript"/>
        </w:rPr>
        <w:t>4</w:t>
      </w:r>
      <w:r w:rsidR="00903055">
        <w:t xml:space="preserve"> </w:t>
      </w:r>
      <w:r w:rsidR="00903055">
        <w:rPr>
          <w:rFonts w:ascii="宋体" w:eastAsia="宋体" w:hAnsi="宋体" w:cs="宋体" w:hint="eastAsia"/>
        </w:rPr>
        <w:t>。。</w:t>
      </w:r>
      <w:r w:rsidR="00903055">
        <w:t>I</w:t>
      </w:r>
      <w:r>
        <w:t>n advanced CKD and in ESRD, hyperkalaemia may result if the dietary input of potassium exceeds the output, therefore prevention of hyperkalaemia requires management of dietary K+ load.</w:t>
      </w:r>
      <w:r>
        <w:rPr>
          <w:vertAlign w:val="superscript"/>
        </w:rPr>
        <w:t>5</w:t>
      </w:r>
    </w:p>
    <w:p w:rsidR="008F03B5" w:rsidRDefault="00586B9B">
      <w:pPr>
        <w:pStyle w:val="a3"/>
        <w:spacing w:before="200" w:line="276" w:lineRule="auto"/>
        <w:ind w:left="217" w:right="382"/>
      </w:pPr>
      <w:r>
        <w:t>A low K+ diet is defined as a dietary intake of 2-3g/day (51-77 mmol/day)</w:t>
      </w:r>
      <w:r>
        <w:rPr>
          <w:vertAlign w:val="superscript"/>
        </w:rPr>
        <w:t>5</w:t>
      </w:r>
      <w:r>
        <w:t xml:space="preserve">. In patients with CKD with persistent hyperkalaemia (serum K+ ≥ 5.5mmol/l), a dietary K+ restriction of &lt; 3g/ day (&lt; 77 mmol/l) </w:t>
      </w:r>
      <w:r>
        <w:rPr>
          <w:vertAlign w:val="superscript"/>
        </w:rPr>
        <w:t>6</w:t>
      </w:r>
      <w:r>
        <w:t xml:space="preserve"> or 1 mmol/kg/IBW </w:t>
      </w:r>
      <w:r>
        <w:rPr>
          <w:vertAlign w:val="superscript"/>
        </w:rPr>
        <w:t>7</w:t>
      </w:r>
      <w:r>
        <w:t xml:space="preserve"> is recommended. In reality, a step-wise reduction in potassium intake is usually undertaken. Excessive dietary restrictions can result in a poorer diet which may risk development of cardiovascular disease </w:t>
      </w:r>
      <w:r>
        <w:rPr>
          <w:vertAlign w:val="superscript"/>
        </w:rPr>
        <w:t>8</w:t>
      </w:r>
      <w:r>
        <w:t xml:space="preserve"> and contribute to malnutrition, particularly in advanced CKD. The development of constipation is also counterproductive as this will reduce K+ excretion by the gut. Therefore, a balanced intake of fresh fruit, vegetables and fibre is the ultimate goal.</w:t>
      </w:r>
    </w:p>
    <w:p w:rsidR="008F03B5" w:rsidRDefault="008F03B5">
      <w:pPr>
        <w:pStyle w:val="a3"/>
        <w:spacing w:before="6"/>
        <w:rPr>
          <w:sz w:val="16"/>
        </w:rPr>
      </w:pPr>
    </w:p>
    <w:p w:rsidR="008F03B5" w:rsidRDefault="00586B9B">
      <w:pPr>
        <w:pStyle w:val="a3"/>
        <w:spacing w:line="276" w:lineRule="auto"/>
        <w:ind w:left="217" w:right="316"/>
      </w:pPr>
      <w:r>
        <w:t>A renal dietitian is skilled to provide individualised advice to patients with Stage 4-5 CKD managed by specialist renal services taking into account other factors including diabetic status, cultural needs and patient preferences. Assessment of biochemical trends would ensure that the need for ongoing dietary restrictions is reviewed. The Renal Association Guideline on Undernutrition in Chronic Kidney Disease also suggests assessment by a specialist renal dietitian when patients begin education about RRT and within one month of dialysis</w:t>
      </w:r>
      <w:r>
        <w:rPr>
          <w:spacing w:val="-1"/>
        </w:rPr>
        <w:t xml:space="preserve"> </w:t>
      </w:r>
      <w:r>
        <w:t>initiation.</w:t>
      </w:r>
      <w:r>
        <w:rPr>
          <w:vertAlign w:val="superscript"/>
        </w:rPr>
        <w:t>9</w:t>
      </w:r>
    </w:p>
    <w:p w:rsidR="00C07B5E" w:rsidRDefault="00586B9B" w:rsidP="00C07B5E">
      <w:pPr>
        <w:pStyle w:val="a3"/>
        <w:spacing w:before="200" w:line="276" w:lineRule="auto"/>
        <w:ind w:left="217" w:right="452"/>
        <w:rPr>
          <w:vertAlign w:val="superscript"/>
        </w:rPr>
      </w:pPr>
      <w:r>
        <w:t>Although dietary intervention has become standard practice, this has not been demonstrated in a randomised controlled trial and would potentially be technically difficult to achieve. Three studies reported on dietary intervention for managing hyperkalaemia.</w:t>
      </w:r>
      <w:r>
        <w:rPr>
          <w:vertAlign w:val="superscript"/>
        </w:rPr>
        <w:t>10,11,12</w:t>
      </w:r>
    </w:p>
    <w:p w:rsidR="008F03B5" w:rsidRDefault="00586B9B" w:rsidP="00C07B5E">
      <w:pPr>
        <w:pStyle w:val="a3"/>
        <w:spacing w:before="200" w:line="276" w:lineRule="auto"/>
        <w:ind w:left="217" w:right="452"/>
      </w:pPr>
      <w:r>
        <w:t>Ahuja et al reported a retrospective analysis of patients attending a renal clinic (n=119) to determine the predictors for development of hyperkalaemia in patients on ACE-I</w:t>
      </w:r>
      <w:r w:rsidR="00903055">
        <w:t>.</w:t>
      </w:r>
      <w:r w:rsidR="00903055">
        <w:rPr>
          <w:vertAlign w:val="superscript"/>
        </w:rPr>
        <w:t>6</w:t>
      </w:r>
      <w:r w:rsidR="00903055">
        <w:t xml:space="preserve"> </w:t>
      </w:r>
      <w:r w:rsidR="00903055">
        <w:rPr>
          <w:rFonts w:ascii="宋体" w:eastAsia="宋体" w:hAnsi="宋体" w:cs="宋体" w:hint="eastAsia"/>
        </w:rPr>
        <w:t>。。</w:t>
      </w:r>
      <w:r w:rsidR="00903055">
        <w:t>O</w:t>
      </w:r>
      <w:r>
        <w:t>verall, 46/119 patients (38.6%) of patients developed hyperkalaemia (mean serum K+ 5.68 mmol/l). Hyperkalaemia resolved in 20/46 patients (43%) with a low K+ diet alone (&lt;2g/day; 51 mmol/l) and in 11/46 patients (24%) with dietary advice and</w:t>
      </w:r>
      <w:r w:rsidR="00C07B5E">
        <w:t xml:space="preserve"> </w:t>
      </w:r>
      <w:r>
        <w:t xml:space="preserve">dose reduction of ACE-I. Hyperkalaemia persisted in the remaining 15/46 patients (33%) despite </w:t>
      </w:r>
      <w:r>
        <w:lastRenderedPageBreak/>
        <w:t>dietary advice and reduction of ACE-I necessitating discontinuation of ACE-I.</w:t>
      </w:r>
    </w:p>
    <w:p w:rsidR="008F03B5" w:rsidRDefault="00586B9B">
      <w:pPr>
        <w:pStyle w:val="a3"/>
        <w:spacing w:before="196" w:line="276" w:lineRule="auto"/>
        <w:ind w:left="217" w:right="292"/>
      </w:pPr>
      <w:r>
        <w:t>Bushinsky et al studied the difference in serum K+ in hyperkalaemic patients (K+ 5.5-6.2 mmol/l) with CKD 2- 4 on a random diet versus controlled K+ diet during the 72-hour run-in phase of a treatment trial (n=25)</w:t>
      </w:r>
      <w:r w:rsidR="00903055">
        <w:t>.</w:t>
      </w:r>
      <w:r w:rsidR="00903055">
        <w:rPr>
          <w:vertAlign w:val="superscript"/>
        </w:rPr>
        <w:t>7</w:t>
      </w:r>
      <w:r w:rsidR="00903055">
        <w:t xml:space="preserve"> </w:t>
      </w:r>
      <w:r w:rsidR="00903055">
        <w:rPr>
          <w:rFonts w:ascii="宋体" w:eastAsia="宋体" w:hAnsi="宋体" w:cs="宋体" w:hint="eastAsia"/>
        </w:rPr>
        <w:t>。。</w:t>
      </w:r>
      <w:r w:rsidR="00903055">
        <w:t>P</w:t>
      </w:r>
      <w:r>
        <w:t>atients received stable doses of RAASi medication. The study demonstrated a wide inter-individual variation in serum K+ on a random diet. Variation decreased significantly after 24 hours on a low K+ diet (2.4g or 60 mmol/ day). The study concluded that this observation may have implications for the interpretation of clinical trials assessing directional change of serum K+ with a pharmaceutical</w:t>
      </w:r>
      <w:r>
        <w:rPr>
          <w:spacing w:val="-14"/>
        </w:rPr>
        <w:t xml:space="preserve"> </w:t>
      </w:r>
      <w:r>
        <w:t>intervention.</w:t>
      </w:r>
    </w:p>
    <w:p w:rsidR="008F03B5" w:rsidRDefault="008F03B5">
      <w:pPr>
        <w:pStyle w:val="a3"/>
        <w:spacing w:before="3"/>
        <w:rPr>
          <w:sz w:val="16"/>
        </w:rPr>
      </w:pPr>
    </w:p>
    <w:p w:rsidR="008F03B5" w:rsidRDefault="00586B9B">
      <w:pPr>
        <w:pStyle w:val="a3"/>
        <w:spacing w:line="276" w:lineRule="auto"/>
        <w:ind w:left="217" w:right="304"/>
      </w:pPr>
      <w:r>
        <w:t>Maclaughlin et al prospectively investigated the prevalence of hyperkalaemia in a population of CKD patients (n=356) attending low clearance clinics who underwent regular nutritional assessment and dietary education</w:t>
      </w:r>
      <w:r w:rsidR="00903055">
        <w:t>.</w:t>
      </w:r>
      <w:r w:rsidR="00903055">
        <w:rPr>
          <w:vertAlign w:val="superscript"/>
        </w:rPr>
        <w:t>8</w:t>
      </w:r>
      <w:r w:rsidR="00903055">
        <w:t xml:space="preserve"> </w:t>
      </w:r>
      <w:r w:rsidR="00903055">
        <w:rPr>
          <w:rFonts w:ascii="宋体" w:eastAsia="宋体" w:hAnsi="宋体" w:cs="宋体" w:hint="eastAsia"/>
        </w:rPr>
        <w:t>。。</w:t>
      </w:r>
      <w:r w:rsidR="00903055">
        <w:t>A</w:t>
      </w:r>
      <w:r>
        <w:t>ll patients were pre-dialysis with an eGFR ranging from 8 – 20 ml/min. The prevalence of hyperkalaemia (serum K+ &gt; 5.5 mmol/l) was 26.5% before the dietetic program in 2011 and 10.5% after it was instituted in 2014. The prevalence of hyperkalaemia also reduced in patients with K+ &gt; 6.0 mmol/l from 8.4% to 2.5% during the same intervals. A dietary education program delivered by specialist renal dietitians can be very effective in reducing the prevalence of hyperkalaemia.</w:t>
      </w:r>
    </w:p>
    <w:p w:rsidR="008F03B5" w:rsidRDefault="008F03B5">
      <w:pPr>
        <w:pStyle w:val="a3"/>
        <w:spacing w:before="5"/>
        <w:rPr>
          <w:sz w:val="16"/>
        </w:rPr>
      </w:pPr>
    </w:p>
    <w:p w:rsidR="008F03B5" w:rsidRDefault="00586B9B">
      <w:pPr>
        <w:pStyle w:val="a3"/>
        <w:spacing w:line="278" w:lineRule="auto"/>
        <w:ind w:left="217" w:right="512"/>
      </w:pPr>
      <w:r>
        <w:t>In patients receiving renal replacement therapy, the KDOQI guidelines suggest a potassium intake of approximately 2.7-3.1 g/day (69-79 mmol/day) in haemodialysis patients and 3-4g/day (77-102 mmol/day) in peritoneal dialysis patients</w:t>
      </w:r>
      <w:r w:rsidR="00903055">
        <w:t>.</w:t>
      </w:r>
      <w:r w:rsidR="00903055">
        <w:rPr>
          <w:vertAlign w:val="superscript"/>
        </w:rPr>
        <w:t>3</w:t>
      </w:r>
      <w:r w:rsidR="00903055">
        <w:t xml:space="preserve"> </w:t>
      </w:r>
      <w:r w:rsidR="00903055">
        <w:rPr>
          <w:rFonts w:ascii="宋体" w:eastAsia="宋体" w:hAnsi="宋体" w:cs="宋体" w:hint="eastAsia"/>
        </w:rPr>
        <w:t>。。</w:t>
      </w:r>
      <w:r w:rsidR="00903055">
        <w:t>I</w:t>
      </w:r>
      <w:r>
        <w:t>ndividualised adjustments are guided by the serum K+ level.</w:t>
      </w:r>
    </w:p>
    <w:p w:rsidR="008F03B5" w:rsidRDefault="008F03B5">
      <w:pPr>
        <w:pStyle w:val="a3"/>
        <w:spacing w:before="5"/>
        <w:rPr>
          <w:sz w:val="19"/>
        </w:rPr>
      </w:pPr>
    </w:p>
    <w:p w:rsidR="008F03B5" w:rsidRDefault="00586B9B">
      <w:pPr>
        <w:spacing w:before="1"/>
        <w:ind w:left="217"/>
        <w:rPr>
          <w:b/>
          <w:sz w:val="24"/>
        </w:rPr>
      </w:pPr>
      <w:r>
        <w:rPr>
          <w:b/>
          <w:color w:val="44536A"/>
          <w:sz w:val="24"/>
        </w:rPr>
        <w:t>References</w:t>
      </w:r>
    </w:p>
    <w:p w:rsidR="008F03B5" w:rsidRDefault="00586B9B" w:rsidP="00586B9B">
      <w:pPr>
        <w:pStyle w:val="a4"/>
        <w:numPr>
          <w:ilvl w:val="0"/>
          <w:numId w:val="57"/>
        </w:numPr>
        <w:tabs>
          <w:tab w:val="left" w:pos="939"/>
        </w:tabs>
        <w:spacing w:before="40" w:line="276" w:lineRule="auto"/>
        <w:ind w:right="354"/>
      </w:pPr>
      <w:r>
        <w:t>National Diet and Nutirtion Survey (NDNS) rolling program for 2014 to 2015 and 2015 to 2016 (results from Years 7 and 8 combined).</w:t>
      </w:r>
      <w:r>
        <w:rPr>
          <w:color w:val="0562C1"/>
        </w:rPr>
        <w:t xml:space="preserve"> </w:t>
      </w:r>
      <w:hyperlink r:id="rId11">
        <w:r>
          <w:rPr>
            <w:color w:val="0562C1"/>
            <w:u w:val="single" w:color="0562C1"/>
          </w:rPr>
          <w:t>www.gov.uk/government/statistics/ndns-results-from-years-</w:t>
        </w:r>
      </w:hyperlink>
      <w:r>
        <w:rPr>
          <w:color w:val="0562C1"/>
        </w:rPr>
        <w:t xml:space="preserve"> </w:t>
      </w:r>
      <w:r>
        <w:rPr>
          <w:color w:val="0562C1"/>
          <w:u w:val="single" w:color="0562C1"/>
        </w:rPr>
        <w:t>7-and-8-combined</w:t>
      </w:r>
      <w:r>
        <w:t>.</w:t>
      </w:r>
    </w:p>
    <w:p w:rsidR="008F03B5" w:rsidRDefault="008F03B5">
      <w:pPr>
        <w:pStyle w:val="a3"/>
      </w:pPr>
    </w:p>
    <w:p w:rsidR="008F03B5" w:rsidRDefault="00586B9B">
      <w:pPr>
        <w:pStyle w:val="2"/>
        <w:spacing w:before="174"/>
      </w:pPr>
      <w:bookmarkStart w:id="8" w:name="_bookmark14"/>
      <w:bookmarkEnd w:id="8"/>
      <w:r>
        <w:rPr>
          <w:color w:val="1F4E79"/>
        </w:rPr>
        <w:t>Treatment: Sodium bicarbonate (Guideline 6.1)</w:t>
      </w:r>
    </w:p>
    <w:p w:rsidR="008F03B5" w:rsidRDefault="00586B9B">
      <w:pPr>
        <w:pStyle w:val="3"/>
        <w:spacing w:before="165"/>
      </w:pPr>
      <w:r>
        <w:t>Guideline 6.1 – Sodium bicarbonate for management of Hyperkalaemia in the community</w:t>
      </w:r>
    </w:p>
    <w:p w:rsidR="008F03B5" w:rsidRDefault="008F03B5">
      <w:pPr>
        <w:pStyle w:val="a3"/>
        <w:spacing w:before="6"/>
        <w:rPr>
          <w:b/>
          <w:sz w:val="19"/>
        </w:rPr>
      </w:pPr>
    </w:p>
    <w:p w:rsidR="008F03B5" w:rsidRDefault="00586B9B">
      <w:pPr>
        <w:pStyle w:val="a3"/>
        <w:spacing w:line="278" w:lineRule="auto"/>
        <w:ind w:left="217" w:right="315"/>
      </w:pPr>
      <w:r>
        <w:t>We recommend that sodium bicarbonate is used in CKD patients with a serum bicarbonate level &lt; 22 mmol/l with or without hyperkalaemia. (1B)</w:t>
      </w:r>
    </w:p>
    <w:p w:rsidR="008F03B5" w:rsidRDefault="008F03B5">
      <w:pPr>
        <w:pStyle w:val="a3"/>
        <w:spacing w:before="7"/>
        <w:rPr>
          <w:sz w:val="19"/>
        </w:rPr>
      </w:pPr>
    </w:p>
    <w:p w:rsidR="008F03B5" w:rsidRDefault="00586B9B">
      <w:pPr>
        <w:ind w:left="217"/>
        <w:rPr>
          <w:b/>
          <w:sz w:val="24"/>
        </w:rPr>
      </w:pPr>
      <w:r>
        <w:rPr>
          <w:b/>
          <w:color w:val="44536A"/>
          <w:sz w:val="24"/>
        </w:rPr>
        <w:t>Rationale (Guideline 6.1)</w:t>
      </w:r>
    </w:p>
    <w:p w:rsidR="008F03B5" w:rsidRDefault="00586B9B">
      <w:pPr>
        <w:pStyle w:val="a3"/>
        <w:spacing w:before="161" w:line="276" w:lineRule="auto"/>
        <w:ind w:left="217" w:right="330"/>
      </w:pPr>
      <w:r>
        <w:t>Epidemiological studies show a prevalence of metabolic acidosis of 15-19% in patients with CKD stages 3-5</w:t>
      </w:r>
      <w:r w:rsidR="00903055">
        <w:t>.</w:t>
      </w:r>
      <w:r w:rsidR="00903055">
        <w:rPr>
          <w:vertAlign w:val="superscript"/>
        </w:rPr>
        <w:t>1</w:t>
      </w:r>
      <w:r w:rsidR="00903055">
        <w:t xml:space="preserve"> </w:t>
      </w:r>
      <w:r w:rsidR="00903055">
        <w:rPr>
          <w:rFonts w:ascii="宋体" w:eastAsia="宋体" w:hAnsi="宋体" w:cs="宋体" w:hint="eastAsia"/>
        </w:rPr>
        <w:t>。。</w:t>
      </w:r>
      <w:r w:rsidR="00903055">
        <w:t>T</w:t>
      </w:r>
      <w:r>
        <w:t>he prevalence increases with severity of kidney disease with metabolic acidosis found in 30-50% of patients with eGFR &lt; 30 ml/min</w:t>
      </w:r>
      <w:r w:rsidR="00903055">
        <w:t>.</w:t>
      </w:r>
      <w:r w:rsidR="00903055">
        <w:rPr>
          <w:vertAlign w:val="superscript"/>
        </w:rPr>
        <w:t>2,3</w:t>
      </w:r>
      <w:r w:rsidR="00903055">
        <w:t xml:space="preserve"> </w:t>
      </w:r>
      <w:r w:rsidR="00903055">
        <w:rPr>
          <w:rFonts w:ascii="宋体" w:eastAsia="宋体" w:hAnsi="宋体" w:cs="宋体" w:hint="eastAsia"/>
        </w:rPr>
        <w:t>。。</w:t>
      </w:r>
      <w:r w:rsidR="00903055">
        <w:t>F</w:t>
      </w:r>
      <w:r>
        <w:t>urthermore, serum bicarbonate levels steadily decrease with age &gt; 60 years</w:t>
      </w:r>
      <w:r w:rsidR="00903055">
        <w:t>.</w:t>
      </w:r>
      <w:r w:rsidR="00903055">
        <w:rPr>
          <w:vertAlign w:val="superscript"/>
        </w:rPr>
        <w:t>4</w:t>
      </w:r>
      <w:r w:rsidR="00903055">
        <w:t xml:space="preserve"> </w:t>
      </w:r>
      <w:r w:rsidR="00903055">
        <w:rPr>
          <w:rFonts w:ascii="宋体" w:eastAsia="宋体" w:hAnsi="宋体" w:cs="宋体" w:hint="eastAsia"/>
        </w:rPr>
        <w:t>。。</w:t>
      </w:r>
      <w:r w:rsidR="00903055">
        <w:t>D</w:t>
      </w:r>
      <w:r>
        <w:t>espite its prevalence, there is variability in clinical practice for treatment of mild acidosis in patients with CKD attending renal services and it is not routinely assessed or treated in primary care.</w:t>
      </w:r>
    </w:p>
    <w:p w:rsidR="008F03B5" w:rsidRDefault="008F03B5">
      <w:pPr>
        <w:pStyle w:val="a3"/>
        <w:spacing w:before="2"/>
        <w:rPr>
          <w:sz w:val="16"/>
        </w:rPr>
      </w:pPr>
    </w:p>
    <w:p w:rsidR="008F03B5" w:rsidRDefault="00586B9B">
      <w:pPr>
        <w:pStyle w:val="a3"/>
        <w:spacing w:before="1" w:line="276" w:lineRule="auto"/>
        <w:ind w:left="217" w:right="339"/>
      </w:pPr>
      <w:r>
        <w:t>The benefit of treating chronic acidosis goes beyond the management of hyperkalaemia. Metabolic acidosis is also associated with muscle wasting, bone disease and increased mortality in patients with CKD</w:t>
      </w:r>
      <w:r w:rsidR="00903055">
        <w:t>.</w:t>
      </w:r>
      <w:r w:rsidR="00903055">
        <w:rPr>
          <w:vertAlign w:val="superscript"/>
        </w:rPr>
        <w:t>5</w:t>
      </w:r>
      <w:r w:rsidR="00903055">
        <w:t xml:space="preserve"> </w:t>
      </w:r>
      <w:r w:rsidR="00903055">
        <w:rPr>
          <w:rFonts w:ascii="宋体" w:eastAsia="宋体" w:hAnsi="宋体" w:cs="宋体" w:hint="eastAsia"/>
        </w:rPr>
        <w:t>。。</w:t>
      </w:r>
      <w:r w:rsidR="00903055">
        <w:t>A</w:t>
      </w:r>
      <w:r>
        <w:t>dditionally, there is growing evidence that metabolic acidosis contributes to the progression of CKD</w:t>
      </w:r>
      <w:r w:rsidR="00903055">
        <w:t>.</w:t>
      </w:r>
      <w:r w:rsidR="00903055">
        <w:rPr>
          <w:vertAlign w:val="superscript"/>
        </w:rPr>
        <w:t>1,6,7</w:t>
      </w:r>
      <w:r w:rsidR="00903055">
        <w:t xml:space="preserve"> </w:t>
      </w:r>
      <w:r w:rsidR="00903055">
        <w:rPr>
          <w:rFonts w:ascii="宋体" w:eastAsia="宋体" w:hAnsi="宋体" w:cs="宋体" w:hint="eastAsia"/>
        </w:rPr>
        <w:t>。。</w:t>
      </w:r>
      <w:r w:rsidR="00903055">
        <w:t>G</w:t>
      </w:r>
      <w:r>
        <w:t>oraya et al demonstrated that an increase in serum bicarbonate by 4 - 6.8 mmol/l was associated with a reduction in decline in eGFR by 4 ml/min over 6 to 24 months compared with control patients.</w:t>
      </w:r>
      <w:r>
        <w:rPr>
          <w:vertAlign w:val="superscript"/>
        </w:rPr>
        <w:t>1</w:t>
      </w:r>
    </w:p>
    <w:p w:rsidR="008F03B5" w:rsidRDefault="00586B9B">
      <w:pPr>
        <w:pStyle w:val="a3"/>
        <w:spacing w:before="201" w:line="276" w:lineRule="auto"/>
        <w:ind w:left="217" w:right="339"/>
      </w:pPr>
      <w:r>
        <w:t xml:space="preserve">The mechanism for potassium lowering is the transcellular shift of K+ into cells following alkalinisation of the </w:t>
      </w:r>
      <w:r>
        <w:lastRenderedPageBreak/>
        <w:t>serum. Despite this theoretical benefit, few studies have shown any benefit of sodium bicarbonate in the treatment of acute or chronic hyperkalaemia. In two long-term studies (i.e. &gt; 2 months), alkali therapy has been shown to be associated with a significant net decrease in the serum K+ by approximately 0.7 mmol/l, but no significant change was shown in short term studies (≤ 7 days).</w:t>
      </w:r>
      <w:r>
        <w:rPr>
          <w:vertAlign w:val="superscript"/>
        </w:rPr>
        <w:t>6,8</w:t>
      </w:r>
    </w:p>
    <w:p w:rsidR="008F03B5" w:rsidRDefault="00586B9B">
      <w:pPr>
        <w:pStyle w:val="a3"/>
        <w:spacing w:before="200" w:line="276" w:lineRule="auto"/>
        <w:ind w:left="217" w:right="410"/>
      </w:pPr>
      <w:r>
        <w:t>The BiCARB Trial evaluated the benefits and adverse effects of sodium bicarbonate in older patients with CKD for a period of up to 2 years. This was a double-blind placebo-controlled RCT which includes 380 community-based patients in the UK aged ≥ 60 years with an eGFR &lt; 30 ml/min and serum bicarbonate &lt; 22 mmol/l</w:t>
      </w:r>
      <w:r w:rsidR="00903055">
        <w:t>.</w:t>
      </w:r>
      <w:r w:rsidR="00903055">
        <w:rPr>
          <w:vertAlign w:val="superscript"/>
        </w:rPr>
        <w:t>9</w:t>
      </w:r>
      <w:r w:rsidR="00903055">
        <w:t xml:space="preserve"> </w:t>
      </w:r>
      <w:r w:rsidR="00903055">
        <w:rPr>
          <w:rFonts w:ascii="宋体" w:eastAsia="宋体" w:hAnsi="宋体" w:cs="宋体" w:hint="eastAsia"/>
        </w:rPr>
        <w:t>。。</w:t>
      </w:r>
      <w:r w:rsidR="00903055">
        <w:t>I</w:t>
      </w:r>
      <w:r>
        <w:t>n contrast to other longterm studies, this study found no significant reduction in serum K+ level. The BiCARB trial also reported no improvement in physical function or renal function and a higher rate of adverse events compared with placebo.</w:t>
      </w:r>
    </w:p>
    <w:p w:rsidR="008F03B5" w:rsidRDefault="008F03B5">
      <w:pPr>
        <w:pStyle w:val="a3"/>
        <w:spacing w:before="4"/>
        <w:rPr>
          <w:sz w:val="16"/>
        </w:rPr>
      </w:pPr>
    </w:p>
    <w:p w:rsidR="00C07B5E" w:rsidRDefault="00586B9B" w:rsidP="00C07B5E">
      <w:pPr>
        <w:pStyle w:val="a3"/>
        <w:spacing w:before="2" w:line="276" w:lineRule="auto"/>
        <w:ind w:left="217" w:right="383"/>
        <w:rPr>
          <w:vertAlign w:val="superscript"/>
        </w:rPr>
      </w:pPr>
      <w:r>
        <w:t>In the pre-dialysis setting, Sarafidis et al performed a prospective study to examine the factors influencing K+ metabolism in patients attending a low clearance clinic (mean eGFR 14.5 ± 4.8 mmol/l)</w:t>
      </w:r>
      <w:r w:rsidR="00903055">
        <w:t>.</w:t>
      </w:r>
      <w:r w:rsidR="00903055">
        <w:rPr>
          <w:vertAlign w:val="superscript"/>
        </w:rPr>
        <w:t>10</w:t>
      </w:r>
      <w:r w:rsidR="00903055">
        <w:t xml:space="preserve"> </w:t>
      </w:r>
      <w:r w:rsidR="00903055">
        <w:rPr>
          <w:rFonts w:ascii="宋体" w:eastAsia="宋体" w:hAnsi="宋体" w:cs="宋体" w:hint="eastAsia"/>
        </w:rPr>
        <w:t>。。</w:t>
      </w:r>
      <w:r w:rsidR="00903055">
        <w:t>T</w:t>
      </w:r>
      <w:r>
        <w:t>his study</w:t>
      </w:r>
      <w:r w:rsidR="00C07B5E">
        <w:t xml:space="preserve"> </w:t>
      </w:r>
      <w:r>
        <w:t>demonstrated that patients with K+ ≥ 5.5 mmol/l had significantly higher urea, lower eGFR and lower serum bicarbonate levels. This sub-group also had a higher usage of sodium bicarbonate than in patients without hyperkalaemia (65.3% versus 45.4%, p=0.008).</w:t>
      </w:r>
      <w:r>
        <w:rPr>
          <w:vertAlign w:val="superscript"/>
        </w:rPr>
        <w:t>10</w:t>
      </w:r>
    </w:p>
    <w:p w:rsidR="00C07B5E" w:rsidRDefault="00C07B5E" w:rsidP="00C07B5E">
      <w:pPr>
        <w:pStyle w:val="a3"/>
        <w:spacing w:before="2" w:line="276" w:lineRule="auto"/>
        <w:ind w:left="217" w:right="383"/>
      </w:pPr>
    </w:p>
    <w:p w:rsidR="008F03B5" w:rsidRDefault="00586B9B" w:rsidP="00C07B5E">
      <w:pPr>
        <w:pStyle w:val="a3"/>
        <w:spacing w:before="2" w:line="276" w:lineRule="auto"/>
        <w:ind w:left="217" w:right="383"/>
      </w:pPr>
      <w:r>
        <w:t>The potential detrimental effect of sodium load with sodium bicarbonate replacement is an important consideration, particularly in patients at risk of fluid overload. Dubey et al showed that patients with CKD 3</w:t>
      </w:r>
      <w:r w:rsidR="00C07B5E">
        <w:t xml:space="preserve"> </w:t>
      </w:r>
      <w:r>
        <w:t>and 4 with co-existing diabetes, hypertension and coronary artery disease had a trend towards worsening hypertension and oedema necessitating a greater use of diuretics</w:t>
      </w:r>
      <w:r w:rsidR="00903055">
        <w:t>.</w:t>
      </w:r>
      <w:r w:rsidR="00903055" w:rsidRPr="00C07B5E">
        <w:t>7</w:t>
      </w:r>
      <w:r w:rsidR="00903055">
        <w:t xml:space="preserve"> </w:t>
      </w:r>
      <w:r w:rsidR="00903055">
        <w:rPr>
          <w:rFonts w:ascii="宋体" w:eastAsia="宋体" w:hAnsi="宋体" w:cs="宋体" w:hint="eastAsia"/>
        </w:rPr>
        <w:t>。。</w:t>
      </w:r>
      <w:r w:rsidR="00903055">
        <w:t>S</w:t>
      </w:r>
      <w:r>
        <w:t>imilar findings have been reported in other studies with alkali replacement in CKD patients necessitating discontinuation of sodium bicarbonate due to hypertension and oedema although these studies did not focus on management of hyperkalaemia.</w:t>
      </w:r>
      <w:r>
        <w:rPr>
          <w:vertAlign w:val="superscript"/>
        </w:rPr>
        <w:t>8,</w:t>
      </w:r>
    </w:p>
    <w:p w:rsidR="008F03B5" w:rsidRDefault="00586B9B">
      <w:pPr>
        <w:spacing w:line="149" w:lineRule="exact"/>
        <w:ind w:left="217"/>
        <w:rPr>
          <w:sz w:val="14"/>
        </w:rPr>
      </w:pPr>
      <w:r>
        <w:rPr>
          <w:sz w:val="14"/>
        </w:rPr>
        <w:t>11,12</w:t>
      </w:r>
    </w:p>
    <w:p w:rsidR="008F03B5" w:rsidRDefault="008F03B5">
      <w:pPr>
        <w:pStyle w:val="a3"/>
        <w:rPr>
          <w:sz w:val="14"/>
        </w:rPr>
      </w:pPr>
    </w:p>
    <w:p w:rsidR="008F03B5" w:rsidRDefault="008F03B5">
      <w:pPr>
        <w:pStyle w:val="a3"/>
        <w:spacing w:before="6"/>
        <w:rPr>
          <w:sz w:val="15"/>
        </w:rPr>
      </w:pPr>
    </w:p>
    <w:p w:rsidR="008F03B5" w:rsidRDefault="00586B9B">
      <w:pPr>
        <w:pStyle w:val="a3"/>
        <w:spacing w:line="276" w:lineRule="auto"/>
        <w:ind w:left="217" w:right="412"/>
      </w:pPr>
      <w:r>
        <w:t>A meta-analysis of all published RCTs investigating the effect of oral bicarbonate therapy in adults with CKD showed a slightly higher eGFR and serum bicarbonate levels in patients treated with oral replacement compared with placebo and this positive effect was attenuated in studies reporting outcomes at one year</w:t>
      </w:r>
      <w:r w:rsidR="00903055">
        <w:t>.</w:t>
      </w:r>
      <w:r w:rsidR="00903055">
        <w:rPr>
          <w:vertAlign w:val="superscript"/>
        </w:rPr>
        <w:t>13</w:t>
      </w:r>
      <w:r w:rsidR="00903055">
        <w:t xml:space="preserve"> </w:t>
      </w:r>
      <w:r w:rsidR="00903055">
        <w:rPr>
          <w:rFonts w:ascii="宋体" w:eastAsia="宋体" w:hAnsi="宋体" w:cs="宋体" w:hint="eastAsia"/>
        </w:rPr>
        <w:t>。。</w:t>
      </w:r>
      <w:r w:rsidR="00903055">
        <w:t>T</w:t>
      </w:r>
      <w:r>
        <w:t>his study did not assess potassium levels.</w:t>
      </w:r>
    </w:p>
    <w:p w:rsidR="008F03B5" w:rsidRDefault="008F03B5">
      <w:pPr>
        <w:pStyle w:val="a3"/>
        <w:spacing w:before="5"/>
        <w:rPr>
          <w:sz w:val="16"/>
        </w:rPr>
      </w:pPr>
    </w:p>
    <w:p w:rsidR="008F03B5" w:rsidRDefault="00586B9B">
      <w:pPr>
        <w:pStyle w:val="a3"/>
        <w:spacing w:before="1" w:line="276" w:lineRule="auto"/>
        <w:ind w:left="217" w:right="401"/>
      </w:pPr>
      <w:r>
        <w:t>There remains a paucity of evidence from clinical trials on the efficacy and safety of bicarbonate therapy, therefore many existing guidelines are based on the sparse evidence and expert consensus opinion. KDOQI guidelines recommend the maintenance of serum bicarbonate level ≥ 22 mmol/l to reduce metabolic complications</w:t>
      </w:r>
      <w:r w:rsidR="00903055">
        <w:t>.</w:t>
      </w:r>
      <w:r w:rsidR="00903055">
        <w:rPr>
          <w:vertAlign w:val="superscript"/>
        </w:rPr>
        <w:t>14</w:t>
      </w:r>
      <w:r w:rsidR="00903055">
        <w:t xml:space="preserve"> </w:t>
      </w:r>
      <w:r w:rsidR="00903055">
        <w:rPr>
          <w:rFonts w:ascii="宋体" w:eastAsia="宋体" w:hAnsi="宋体" w:cs="宋体" w:hint="eastAsia"/>
        </w:rPr>
        <w:t>。。</w:t>
      </w:r>
      <w:r w:rsidR="00903055">
        <w:t>T</w:t>
      </w:r>
      <w:r>
        <w:t>he 2007 Cochrane Review of alkali therapy in CKD found insufficient evidence of benefit</w:t>
      </w:r>
      <w:r w:rsidR="00903055">
        <w:t>.</w:t>
      </w:r>
      <w:r w:rsidR="00903055">
        <w:rPr>
          <w:vertAlign w:val="superscript"/>
        </w:rPr>
        <w:t>15</w:t>
      </w:r>
      <w:r w:rsidR="00903055">
        <w:t xml:space="preserve"> </w:t>
      </w:r>
      <w:r w:rsidR="00903055">
        <w:rPr>
          <w:rFonts w:ascii="宋体" w:eastAsia="宋体" w:hAnsi="宋体" w:cs="宋体" w:hint="eastAsia"/>
        </w:rPr>
        <w:t>。。</w:t>
      </w:r>
      <w:r w:rsidR="00903055">
        <w:t>T</w:t>
      </w:r>
      <w:r>
        <w:t>he NICE CKD Guideline 2014 suggests that oral sodium bicarbonate should be considered in patients with CKD 4 or 5 with a serum bicarbonate &lt; 20 mmol/l</w:t>
      </w:r>
      <w:r w:rsidR="00903055">
        <w:t>.</w:t>
      </w:r>
      <w:r w:rsidR="00903055">
        <w:rPr>
          <w:vertAlign w:val="superscript"/>
        </w:rPr>
        <w:t>16</w:t>
      </w:r>
      <w:r w:rsidR="00903055">
        <w:t xml:space="preserve"> </w:t>
      </w:r>
      <w:r w:rsidR="00903055">
        <w:rPr>
          <w:rFonts w:ascii="宋体" w:eastAsia="宋体" w:hAnsi="宋体" w:cs="宋体" w:hint="eastAsia"/>
        </w:rPr>
        <w:t>。。</w:t>
      </w:r>
      <w:r w:rsidR="00903055">
        <w:t>T</w:t>
      </w:r>
      <w:r>
        <w:t>he National Kidney Foundation ‘Best Practices In Managing Hyperkalaemia in CKD’ suggests the use of oral sodium bicarbonate for chronic hyperkalaemia.</w:t>
      </w:r>
      <w:r>
        <w:rPr>
          <w:vertAlign w:val="superscript"/>
        </w:rPr>
        <w:t>17</w:t>
      </w:r>
    </w:p>
    <w:p w:rsidR="008F03B5" w:rsidRDefault="008F03B5">
      <w:pPr>
        <w:pStyle w:val="a3"/>
        <w:spacing w:before="11"/>
        <w:rPr>
          <w:sz w:val="19"/>
        </w:rPr>
      </w:pPr>
    </w:p>
    <w:p w:rsidR="008F03B5" w:rsidRDefault="00586B9B">
      <w:pPr>
        <w:ind w:left="217"/>
        <w:rPr>
          <w:b/>
          <w:sz w:val="24"/>
        </w:rPr>
      </w:pPr>
      <w:r>
        <w:rPr>
          <w:b/>
          <w:color w:val="44536A"/>
          <w:sz w:val="24"/>
        </w:rPr>
        <w:t>References</w:t>
      </w:r>
    </w:p>
    <w:p w:rsidR="008F03B5" w:rsidRDefault="00586B9B" w:rsidP="00586B9B">
      <w:pPr>
        <w:pStyle w:val="a4"/>
        <w:numPr>
          <w:ilvl w:val="0"/>
          <w:numId w:val="56"/>
        </w:numPr>
        <w:tabs>
          <w:tab w:val="left" w:pos="939"/>
        </w:tabs>
        <w:spacing w:before="160" w:line="276" w:lineRule="auto"/>
        <w:ind w:right="1051"/>
      </w:pPr>
      <w:r>
        <w:t xml:space="preserve">Goraya, N. and D.E. Wesson, </w:t>
      </w:r>
      <w:r>
        <w:rPr>
          <w:i/>
        </w:rPr>
        <w:t>Clinical evidence that treatment of metabolic acidosis slows the progression of chronic kidney disease</w:t>
      </w:r>
      <w:r>
        <w:t xml:space="preserve">. Curr Opin Nephrol Hypertens, 2019. </w:t>
      </w:r>
      <w:r>
        <w:rPr>
          <w:b/>
        </w:rPr>
        <w:t>28</w:t>
      </w:r>
      <w:r>
        <w:t>(3):</w:t>
      </w:r>
      <w:r>
        <w:rPr>
          <w:spacing w:val="-37"/>
        </w:rPr>
        <w:t xml:space="preserve"> </w:t>
      </w:r>
      <w:r>
        <w:t>p. 267-277.</w:t>
      </w:r>
    </w:p>
    <w:p w:rsidR="008F03B5" w:rsidRDefault="008F03B5">
      <w:pPr>
        <w:pStyle w:val="a3"/>
      </w:pPr>
    </w:p>
    <w:p w:rsidR="008F03B5" w:rsidRDefault="00586B9B">
      <w:pPr>
        <w:pStyle w:val="2"/>
        <w:spacing w:before="170"/>
      </w:pPr>
      <w:bookmarkStart w:id="9" w:name="_bookmark15"/>
      <w:bookmarkEnd w:id="9"/>
      <w:r>
        <w:rPr>
          <w:color w:val="1F4E79"/>
        </w:rPr>
        <w:t>Treatment: Diuretics (Guideline 7.1)</w:t>
      </w:r>
    </w:p>
    <w:p w:rsidR="008F03B5" w:rsidRDefault="008F03B5">
      <w:pPr>
        <w:pStyle w:val="a3"/>
        <w:spacing w:before="8"/>
        <w:rPr>
          <w:b/>
          <w:sz w:val="28"/>
        </w:rPr>
      </w:pPr>
    </w:p>
    <w:p w:rsidR="008F03B5" w:rsidRDefault="00586B9B">
      <w:pPr>
        <w:pStyle w:val="3"/>
      </w:pPr>
      <w:r>
        <w:t>Guideline 7.1 – Use of diuretics for managing Hyperkalaemia in the community</w:t>
      </w:r>
    </w:p>
    <w:p w:rsidR="008F03B5" w:rsidRDefault="00586B9B">
      <w:pPr>
        <w:pStyle w:val="a3"/>
        <w:spacing w:before="39" w:line="276" w:lineRule="auto"/>
        <w:ind w:left="217" w:right="988"/>
      </w:pPr>
      <w:r>
        <w:t>We suggest that loop diuretics may be a useful adjunct for the treatment of chronic hyperkalaemia in patients who are non-oliguric and volume replete. (2C)</w:t>
      </w:r>
    </w:p>
    <w:p w:rsidR="008F03B5" w:rsidRDefault="008F03B5">
      <w:pPr>
        <w:pStyle w:val="a3"/>
      </w:pPr>
    </w:p>
    <w:p w:rsidR="008F03B5" w:rsidRDefault="008F03B5">
      <w:pPr>
        <w:pStyle w:val="a3"/>
        <w:spacing w:before="2"/>
        <w:rPr>
          <w:sz w:val="23"/>
        </w:rPr>
      </w:pPr>
    </w:p>
    <w:p w:rsidR="008F03B5" w:rsidRDefault="00586B9B">
      <w:pPr>
        <w:ind w:left="217"/>
        <w:rPr>
          <w:b/>
          <w:sz w:val="24"/>
        </w:rPr>
      </w:pPr>
      <w:r>
        <w:rPr>
          <w:b/>
          <w:color w:val="44536A"/>
          <w:sz w:val="24"/>
        </w:rPr>
        <w:t>Rationale (Guideline 7.1)</w:t>
      </w:r>
    </w:p>
    <w:p w:rsidR="008F03B5" w:rsidRDefault="00586B9B">
      <w:pPr>
        <w:pStyle w:val="a3"/>
        <w:spacing w:before="43" w:line="276" w:lineRule="auto"/>
        <w:ind w:left="217" w:right="364"/>
      </w:pPr>
      <w:r>
        <w:t>In patients with preserved renal function, the kidneys are the primary route of potassium elimination. Loop and thiazide diuretics enhance K+ excretion by increasing flow and delivery of sodium to the collecting ducts and may be useful in treating mild to moderate hyperkalaemia in patients with adequate renal function</w:t>
      </w:r>
      <w:r w:rsidR="00903055">
        <w:t>.</w:t>
      </w:r>
      <w:r w:rsidR="00903055">
        <w:rPr>
          <w:vertAlign w:val="superscript"/>
        </w:rPr>
        <w:t>1,</w:t>
      </w:r>
      <w:r w:rsidR="00903055">
        <w:t xml:space="preserve"> </w:t>
      </w:r>
      <w:r w:rsidR="00903055">
        <w:rPr>
          <w:vertAlign w:val="superscript"/>
        </w:rPr>
        <w:t>2</w:t>
      </w:r>
      <w:r w:rsidR="00903055">
        <w:t xml:space="preserve"> </w:t>
      </w:r>
      <w:r w:rsidR="00903055">
        <w:rPr>
          <w:rFonts w:ascii="宋体" w:eastAsia="宋体" w:hAnsi="宋体" w:cs="宋体" w:hint="eastAsia"/>
        </w:rPr>
        <w:t>。。</w:t>
      </w:r>
      <w:r w:rsidR="00903055">
        <w:t>L</w:t>
      </w:r>
      <w:r>
        <w:t>oop diuretics (e.g. furosemide, bumetanide) are the most effective class that promote urinary K+ excretion and remain effective in patients with moderate renal impairment</w:t>
      </w:r>
      <w:r w:rsidR="00903055">
        <w:t>.</w:t>
      </w:r>
      <w:r w:rsidR="00903055">
        <w:rPr>
          <w:vertAlign w:val="superscript"/>
        </w:rPr>
        <w:t>1,3</w:t>
      </w:r>
      <w:r w:rsidR="00903055">
        <w:t xml:space="preserve"> </w:t>
      </w:r>
      <w:r w:rsidR="00903055">
        <w:rPr>
          <w:rFonts w:ascii="宋体" w:eastAsia="宋体" w:hAnsi="宋体" w:cs="宋体" w:hint="eastAsia"/>
        </w:rPr>
        <w:t>。。</w:t>
      </w:r>
      <w:r w:rsidR="00903055">
        <w:t>O</w:t>
      </w:r>
      <w:r>
        <w:t>n the other hand, thiazide diuretics are effective in patients with an eGFR &gt; 30ml/min</w:t>
      </w:r>
      <w:r w:rsidR="00903055">
        <w:t>.</w:t>
      </w:r>
      <w:r w:rsidR="00903055">
        <w:rPr>
          <w:vertAlign w:val="superscript"/>
        </w:rPr>
        <w:t>1</w:t>
      </w:r>
      <w:r w:rsidR="00903055">
        <w:t xml:space="preserve"> </w:t>
      </w:r>
      <w:r w:rsidR="00903055">
        <w:rPr>
          <w:rFonts w:ascii="宋体" w:eastAsia="宋体" w:hAnsi="宋体" w:cs="宋体" w:hint="eastAsia"/>
        </w:rPr>
        <w:t>。。</w:t>
      </w:r>
      <w:r w:rsidR="00903055">
        <w:t>D</w:t>
      </w:r>
      <w:r>
        <w:t>iuretics should be avoided in patients who are hypovolaemic or oliguric.</w:t>
      </w:r>
    </w:p>
    <w:p w:rsidR="008F03B5" w:rsidRDefault="008F03B5">
      <w:pPr>
        <w:pStyle w:val="a3"/>
        <w:spacing w:before="3"/>
        <w:rPr>
          <w:sz w:val="25"/>
        </w:rPr>
      </w:pPr>
    </w:p>
    <w:p w:rsidR="008F03B5" w:rsidRDefault="00586B9B">
      <w:pPr>
        <w:pStyle w:val="a3"/>
        <w:spacing w:line="276" w:lineRule="auto"/>
        <w:ind w:left="217" w:right="362"/>
      </w:pPr>
      <w:r>
        <w:t>Patients with heart failure are susceptible to both hyperkalaemia and volume overload. RAASi therapy is frequently used in this setting and loop diuretics are a useful adjunct in controlling chronic hyperkalaemia whilst treating congestion</w:t>
      </w:r>
      <w:r w:rsidR="00903055">
        <w:t>.</w:t>
      </w:r>
      <w:r w:rsidR="00903055">
        <w:rPr>
          <w:vertAlign w:val="superscript"/>
        </w:rPr>
        <w:t>4,5</w:t>
      </w:r>
      <w:r w:rsidR="00903055">
        <w:t xml:space="preserve"> </w:t>
      </w:r>
      <w:r w:rsidR="00903055">
        <w:rPr>
          <w:rFonts w:ascii="宋体" w:eastAsia="宋体" w:hAnsi="宋体" w:cs="宋体" w:hint="eastAsia"/>
        </w:rPr>
        <w:t>。。</w:t>
      </w:r>
      <w:r w:rsidR="00903055">
        <w:t>D</w:t>
      </w:r>
      <w:r>
        <w:t>ecompensated heart failure in the presence of mild-moderate hyperkalaemia often necessitates a reduction or cessation of cardioprotective medication which may worsen heart failure. The joint guideline from the Renal Association and British Society of Heart Failure (2019) recommends consideration of combination therapy with a loop and thiazide diuretic in patients with decompensated heart failure (HFrEF) and mild-moderate hyperkalaemia</w:t>
      </w:r>
      <w:r w:rsidR="00903055">
        <w:t>.</w:t>
      </w:r>
      <w:r w:rsidR="00903055">
        <w:rPr>
          <w:vertAlign w:val="superscript"/>
        </w:rPr>
        <w:t>4</w:t>
      </w:r>
      <w:r w:rsidR="00903055">
        <w:t xml:space="preserve"> </w:t>
      </w:r>
      <w:r w:rsidR="00903055">
        <w:rPr>
          <w:rFonts w:ascii="宋体" w:eastAsia="宋体" w:hAnsi="宋体" w:cs="宋体" w:hint="eastAsia"/>
        </w:rPr>
        <w:t>。。</w:t>
      </w:r>
      <w:r w:rsidR="00903055">
        <w:t>T</w:t>
      </w:r>
      <w:r>
        <w:t>his combination potentiates diuresis and should theoretically enhance K+ excretion.</w:t>
      </w:r>
    </w:p>
    <w:p w:rsidR="008F03B5" w:rsidRDefault="00586B9B" w:rsidP="00C07B5E">
      <w:pPr>
        <w:pStyle w:val="a3"/>
        <w:spacing w:before="1" w:line="276" w:lineRule="auto"/>
        <w:ind w:left="217" w:right="546"/>
      </w:pPr>
      <w:r>
        <w:t>Diuretic therapy has a place in the management of chronic hyperkalaemia in patients who are normovolaemic or hypervolaemic. There is little evidence to support its use in acute hyperkalaemia</w:t>
      </w:r>
      <w:r w:rsidR="00903055">
        <w:t>.</w:t>
      </w:r>
      <w:r w:rsidR="00903055">
        <w:rPr>
          <w:vertAlign w:val="superscript"/>
        </w:rPr>
        <w:t>6</w:t>
      </w:r>
      <w:r w:rsidR="00903055">
        <w:t xml:space="preserve"> </w:t>
      </w:r>
      <w:r w:rsidR="00903055">
        <w:rPr>
          <w:rFonts w:ascii="宋体" w:eastAsia="宋体" w:hAnsi="宋体" w:cs="宋体" w:hint="eastAsia"/>
        </w:rPr>
        <w:t>。。</w:t>
      </w:r>
      <w:r w:rsidR="00903055">
        <w:t>A</w:t>
      </w:r>
      <w:r w:rsidR="00C07B5E">
        <w:t xml:space="preserve"> </w:t>
      </w:r>
      <w:r>
        <w:t>multi-modal approach including diuretics, treatment of metabolic acidosis and dietary potassium restriction may allow the continuation of cardioprotective medications in patients with mild hyperkalaemia.</w:t>
      </w:r>
    </w:p>
    <w:p w:rsidR="008F03B5" w:rsidRDefault="008F03B5">
      <w:pPr>
        <w:pStyle w:val="a3"/>
      </w:pPr>
    </w:p>
    <w:p w:rsidR="008F03B5" w:rsidRDefault="008F03B5">
      <w:pPr>
        <w:pStyle w:val="a3"/>
        <w:spacing w:before="2"/>
        <w:rPr>
          <w:sz w:val="23"/>
        </w:rPr>
      </w:pPr>
    </w:p>
    <w:p w:rsidR="008F03B5" w:rsidRDefault="00586B9B">
      <w:pPr>
        <w:ind w:left="217"/>
        <w:rPr>
          <w:b/>
          <w:sz w:val="24"/>
        </w:rPr>
      </w:pPr>
      <w:r>
        <w:rPr>
          <w:b/>
          <w:color w:val="44536A"/>
          <w:sz w:val="24"/>
        </w:rPr>
        <w:t>References</w:t>
      </w:r>
    </w:p>
    <w:p w:rsidR="008F03B5" w:rsidRDefault="00586B9B" w:rsidP="00586B9B">
      <w:pPr>
        <w:pStyle w:val="a4"/>
        <w:numPr>
          <w:ilvl w:val="0"/>
          <w:numId w:val="55"/>
        </w:numPr>
        <w:tabs>
          <w:tab w:val="left" w:pos="939"/>
        </w:tabs>
        <w:spacing w:before="43" w:line="273" w:lineRule="auto"/>
        <w:ind w:right="314"/>
      </w:pPr>
      <w:r>
        <w:t xml:space="preserve">Palmer, B.F. and D.J. Clegg, </w:t>
      </w:r>
      <w:r>
        <w:rPr>
          <w:i/>
        </w:rPr>
        <w:t>Diagnosis and treatment of hyperkalemia</w:t>
      </w:r>
      <w:r>
        <w:t xml:space="preserve">. Cleve Clin J Med, 2017. </w:t>
      </w:r>
      <w:r>
        <w:rPr>
          <w:b/>
        </w:rPr>
        <w:t>84</w:t>
      </w:r>
      <w:r>
        <w:t>(12): p. 934-942.</w:t>
      </w:r>
    </w:p>
    <w:p w:rsidR="008F03B5" w:rsidRDefault="008F03B5">
      <w:pPr>
        <w:pStyle w:val="a3"/>
      </w:pPr>
    </w:p>
    <w:p w:rsidR="008F03B5" w:rsidRDefault="008F03B5">
      <w:pPr>
        <w:pStyle w:val="a3"/>
        <w:spacing w:before="1"/>
        <w:rPr>
          <w:sz w:val="30"/>
        </w:rPr>
      </w:pPr>
    </w:p>
    <w:p w:rsidR="008F03B5" w:rsidRDefault="00586B9B">
      <w:pPr>
        <w:pStyle w:val="2"/>
      </w:pPr>
      <w:bookmarkStart w:id="10" w:name="_bookmark16"/>
      <w:bookmarkEnd w:id="10"/>
      <w:r>
        <w:rPr>
          <w:color w:val="1F4E79"/>
        </w:rPr>
        <w:t>Treatment: Calcium resonium (Guideline 8.1)</w:t>
      </w:r>
    </w:p>
    <w:p w:rsidR="008F03B5" w:rsidRDefault="008F03B5">
      <w:pPr>
        <w:pStyle w:val="a3"/>
        <w:rPr>
          <w:b/>
          <w:sz w:val="24"/>
        </w:rPr>
      </w:pPr>
    </w:p>
    <w:p w:rsidR="008F03B5" w:rsidRDefault="008F03B5">
      <w:pPr>
        <w:pStyle w:val="a3"/>
        <w:spacing w:before="4"/>
        <w:rPr>
          <w:b/>
          <w:sz w:val="21"/>
        </w:rPr>
      </w:pPr>
    </w:p>
    <w:p w:rsidR="008F03B5" w:rsidRDefault="00586B9B">
      <w:pPr>
        <w:pStyle w:val="3"/>
      </w:pPr>
      <w:r>
        <w:t>Guideline 8.1 – Calcium resonium for the management of Hyperkalaemia in the community.</w:t>
      </w:r>
    </w:p>
    <w:p w:rsidR="008F03B5" w:rsidRDefault="008F03B5">
      <w:pPr>
        <w:pStyle w:val="a3"/>
        <w:spacing w:before="6"/>
        <w:rPr>
          <w:b/>
          <w:sz w:val="19"/>
        </w:rPr>
      </w:pPr>
    </w:p>
    <w:p w:rsidR="008F03B5" w:rsidRDefault="00586B9B">
      <w:pPr>
        <w:pStyle w:val="a3"/>
        <w:spacing w:line="276" w:lineRule="auto"/>
        <w:ind w:left="217" w:right="745"/>
      </w:pPr>
      <w:r>
        <w:t>We suggest that calcium resonium may be used as a short-term measure to lower serum potassium to a level of ≤ 5 mmol/l in patients with mild to moderate hyperkalaemia. (2C)</w:t>
      </w:r>
    </w:p>
    <w:p w:rsidR="008F03B5" w:rsidRDefault="008F03B5">
      <w:pPr>
        <w:pStyle w:val="a3"/>
      </w:pPr>
    </w:p>
    <w:p w:rsidR="008F03B5" w:rsidRDefault="008F03B5">
      <w:pPr>
        <w:pStyle w:val="a3"/>
      </w:pPr>
    </w:p>
    <w:p w:rsidR="008F03B5" w:rsidRDefault="008F03B5">
      <w:pPr>
        <w:pStyle w:val="a3"/>
        <w:spacing w:before="6"/>
        <w:rPr>
          <w:sz w:val="17"/>
        </w:rPr>
      </w:pPr>
    </w:p>
    <w:p w:rsidR="008F03B5" w:rsidRDefault="00586B9B">
      <w:pPr>
        <w:ind w:left="217"/>
        <w:rPr>
          <w:b/>
          <w:sz w:val="24"/>
        </w:rPr>
      </w:pPr>
      <w:r>
        <w:rPr>
          <w:b/>
          <w:color w:val="44536A"/>
          <w:sz w:val="24"/>
        </w:rPr>
        <w:t>Rationale (Guideline 8.1)</w:t>
      </w:r>
    </w:p>
    <w:p w:rsidR="008F03B5" w:rsidRDefault="00586B9B">
      <w:pPr>
        <w:pStyle w:val="a3"/>
        <w:spacing w:before="41" w:line="276" w:lineRule="auto"/>
        <w:ind w:left="217" w:right="287"/>
      </w:pPr>
      <w:r>
        <w:lastRenderedPageBreak/>
        <w:t>Calcium polystyrene sulphonate (CPS, Calcium resonium) and sodium polystyrene sulphonate (SPS, Kayexalate) are cation exchange resins that work in the lower GI tract to enhance the elimination of K+ in the faeces. Each gram of resin has a theoretical in vitro exchange capacity of approximately 1.3 – 2 mmol of K+, but in vivo, it will be less</w:t>
      </w:r>
      <w:r w:rsidR="00903055">
        <w:t>.</w:t>
      </w:r>
      <w:r w:rsidR="00903055">
        <w:rPr>
          <w:vertAlign w:val="superscript"/>
        </w:rPr>
        <w:t>1</w:t>
      </w:r>
      <w:r w:rsidR="00903055">
        <w:t xml:space="preserve"> </w:t>
      </w:r>
      <w:r w:rsidR="00903055">
        <w:rPr>
          <w:rFonts w:ascii="宋体" w:eastAsia="宋体" w:hAnsi="宋体" w:cs="宋体" w:hint="eastAsia"/>
        </w:rPr>
        <w:t>。。</w:t>
      </w:r>
      <w:r w:rsidR="00903055">
        <w:t>R</w:t>
      </w:r>
      <w:r>
        <w:t>esins cause constipation, therefore laxatives are given to accelerate resin transit and to increase K+ excretion in stools</w:t>
      </w:r>
      <w:r w:rsidR="00903055">
        <w:t>.</w:t>
      </w:r>
      <w:r w:rsidR="00903055">
        <w:rPr>
          <w:vertAlign w:val="superscript"/>
        </w:rPr>
        <w:t>2</w:t>
      </w:r>
      <w:r w:rsidR="00903055">
        <w:t xml:space="preserve"> </w:t>
      </w:r>
      <w:r w:rsidR="00903055">
        <w:rPr>
          <w:rFonts w:ascii="宋体" w:eastAsia="宋体" w:hAnsi="宋体" w:cs="宋体" w:hint="eastAsia"/>
        </w:rPr>
        <w:t>。。</w:t>
      </w:r>
      <w:r w:rsidR="00903055">
        <w:t>L</w:t>
      </w:r>
      <w:r>
        <w:t>actulose is an osmotic laxative and is commonly used in the UK. Macrogol 3350 (Laxido®, Movicol®) should be avoided as it contains potassium (46.6mg or 5.4mmol/l per sachet).</w:t>
      </w:r>
    </w:p>
    <w:p w:rsidR="008F03B5" w:rsidRDefault="008F03B5">
      <w:pPr>
        <w:pStyle w:val="a3"/>
        <w:spacing w:before="5"/>
        <w:rPr>
          <w:sz w:val="16"/>
        </w:rPr>
      </w:pPr>
    </w:p>
    <w:p w:rsidR="008F03B5" w:rsidRDefault="00586B9B" w:rsidP="00C07B5E">
      <w:pPr>
        <w:spacing w:line="276" w:lineRule="auto"/>
      </w:pPr>
      <w:r>
        <w:t>CPS is approved for use in Europe and SPS approved for use in the USA. SPS was approved by the Food and Drug Administration (FDA) in 1958 on the basis of two small uncontrolled case series undertaken in the</w:t>
      </w:r>
      <w:r w:rsidR="00C07B5E">
        <w:t xml:space="preserve"> </w:t>
      </w:r>
      <w:r>
        <w:t>1950’s</w:t>
      </w:r>
      <w:r w:rsidR="00903055">
        <w:t>.</w:t>
      </w:r>
      <w:r w:rsidR="00903055">
        <w:rPr>
          <w:vertAlign w:val="superscript"/>
        </w:rPr>
        <w:t>3</w:t>
      </w:r>
      <w:r w:rsidR="00903055">
        <w:t xml:space="preserve"> </w:t>
      </w:r>
      <w:r w:rsidR="00903055">
        <w:rPr>
          <w:rFonts w:ascii="宋体" w:eastAsia="宋体" w:hAnsi="宋体" w:cs="宋体" w:hint="eastAsia"/>
        </w:rPr>
        <w:t>。。</w:t>
      </w:r>
      <w:r w:rsidR="00903055">
        <w:t>T</w:t>
      </w:r>
      <w:r>
        <w:t>his approval preceded the Kefauver-Harris Drug Amendment (1962) and the European Union EC/65/65 directive (1965) requiring drug manufacturers to prove the effectiveness and safety of their drug</w:t>
      </w:r>
      <w:r w:rsidR="00903055">
        <w:t>.</w:t>
      </w:r>
      <w:r w:rsidR="00903055">
        <w:rPr>
          <w:vertAlign w:val="superscript"/>
        </w:rPr>
        <w:t>4</w:t>
      </w:r>
      <w:r w:rsidR="00903055">
        <w:t xml:space="preserve"> </w:t>
      </w:r>
      <w:r w:rsidR="00903055">
        <w:rPr>
          <w:rFonts w:ascii="宋体" w:eastAsia="宋体" w:hAnsi="宋体" w:cs="宋体" w:hint="eastAsia"/>
        </w:rPr>
        <w:t>。。</w:t>
      </w:r>
      <w:r w:rsidR="00903055">
        <w:t>F</w:t>
      </w:r>
      <w:r>
        <w:t>ollowing multiple reports of colonic necrosis and other serious gastrointestinal adverse events (perforation,</w:t>
      </w:r>
      <w:r w:rsidR="00C07B5E">
        <w:t xml:space="preserve"> </w:t>
      </w:r>
      <w:r>
        <w:t>bleeding), the FDA applied safety recommendations in 2009. The FDA also advised against the concomitant administration of sorbitol, but serious complications have also been reported without the use of sorbitol.</w:t>
      </w:r>
      <w:r>
        <w:rPr>
          <w:vertAlign w:val="superscript"/>
        </w:rPr>
        <w:t>5</w:t>
      </w:r>
    </w:p>
    <w:p w:rsidR="008F03B5" w:rsidRDefault="00586B9B">
      <w:pPr>
        <w:pStyle w:val="a3"/>
        <w:spacing w:before="196" w:line="276" w:lineRule="auto"/>
        <w:ind w:left="217" w:right="362"/>
      </w:pPr>
      <w:r>
        <w:t>There are 3 RCTs including SPS as an intervention. Gruy-Kapral (1998) reported a placebo-controlled randomised study of SPS in normokalaemic patients with ESRD on HD (n=6) and failed to show any significant reduction in serum K+</w:t>
      </w:r>
      <w:r w:rsidR="00903055">
        <w:t>.</w:t>
      </w:r>
      <w:r w:rsidR="00903055">
        <w:rPr>
          <w:vertAlign w:val="superscript"/>
        </w:rPr>
        <w:t>6</w:t>
      </w:r>
      <w:r w:rsidR="00903055">
        <w:t xml:space="preserve"> </w:t>
      </w:r>
      <w:r w:rsidR="00903055">
        <w:rPr>
          <w:rFonts w:ascii="宋体" w:eastAsia="宋体" w:hAnsi="宋体" w:cs="宋体" w:hint="eastAsia"/>
        </w:rPr>
        <w:t>。。</w:t>
      </w:r>
      <w:r w:rsidR="00903055">
        <w:t>T</w:t>
      </w:r>
      <w:r>
        <w:t>he size, design and insufficient baseline data renders this study weak. Nasir et al (2014) performed a RCT to compare the efficacy and safety of CPS and SPS in CKD patients (n=97) with hyperkalaemia</w:t>
      </w:r>
      <w:r w:rsidR="00903055">
        <w:t>.</w:t>
      </w:r>
      <w:r w:rsidR="00903055">
        <w:rPr>
          <w:vertAlign w:val="superscript"/>
        </w:rPr>
        <w:t>7</w:t>
      </w:r>
      <w:r w:rsidR="00903055">
        <w:t xml:space="preserve"> </w:t>
      </w:r>
      <w:r w:rsidR="00903055">
        <w:rPr>
          <w:rFonts w:ascii="宋体" w:eastAsia="宋体" w:hAnsi="宋体" w:cs="宋体" w:hint="eastAsia"/>
        </w:rPr>
        <w:t>。。</w:t>
      </w:r>
      <w:r w:rsidR="00903055">
        <w:t>A</w:t>
      </w:r>
      <w:r>
        <w:t>lthough both drugs lowered serum K+, the study lacked adequate statistical analysis to substantiate the claim of equal efficacy and there was no control arm (i.e. placebo group). Of note, fewer side effects were reported with CPS than SPS. Lepage et al (2015) conducted a single centre double-blind RCT (n=33) in outpatients with CKD and mild hyperkalaemia (K+ 5.0-5.9 mmol/l) comparing efficacy of SPS 30g daily to placebo for 7 days</w:t>
      </w:r>
      <w:r w:rsidR="00903055">
        <w:t>.</w:t>
      </w:r>
      <w:r w:rsidR="00903055">
        <w:rPr>
          <w:vertAlign w:val="superscript"/>
        </w:rPr>
        <w:t>4</w:t>
      </w:r>
      <w:r w:rsidR="00903055">
        <w:t xml:space="preserve"> </w:t>
      </w:r>
      <w:r w:rsidR="00903055">
        <w:rPr>
          <w:rFonts w:ascii="宋体" w:eastAsia="宋体" w:hAnsi="宋体" w:cs="宋体" w:hint="eastAsia"/>
        </w:rPr>
        <w:t>。。</w:t>
      </w:r>
      <w:r w:rsidR="00903055">
        <w:t>T</w:t>
      </w:r>
      <w:r>
        <w:t>his study reported an absolute reduction of serum K+ level of 1.25 mmol/l (p&lt;0.001), but the proportion of patients who achieved normokalaemia did not reach statistical significance (p=0.07). This trial lacked intermediate efficacy time points. None of these studies met the inclusion criteria for the Cochrane Review (2015).</w:t>
      </w:r>
      <w:r>
        <w:rPr>
          <w:vertAlign w:val="superscript"/>
        </w:rPr>
        <w:t>8</w:t>
      </w:r>
    </w:p>
    <w:p w:rsidR="008F03B5" w:rsidRDefault="00586B9B">
      <w:pPr>
        <w:pStyle w:val="a3"/>
        <w:spacing w:before="199" w:line="276" w:lineRule="auto"/>
        <w:ind w:left="217" w:right="326"/>
      </w:pPr>
      <w:r>
        <w:t>The evidence for use of SPS is otherwise sparse. Chernin et al (2012) conducted a retrospective study (n=14) to assess the efficacy of SPS in CKD patients receiving RAASi medication, and observed a reduction in serum K+ from 6.4 ± 0.3 mmol/l to 4.6 ± 0.6 mmol/l ( p&lt; 0.01) over a median follow up of 14.5 months. The size, lack of a control group and other confounding factors rendered this study difficult to interpret. Fordjour et al (2014) conducted a prospective chart review of treatment of hyperkalaemia in hospitalised patients and found that SPS was included in 95% of treatment regimens with K+ reduction ranging from 0.7 – 1.1 mmol/l. Effectiveness was deemed to be similar among patients with CKD and those receiving dialysis. Combination regimens yielded the greatest K+ reduction. Batterink et al (2015) conducted a retrospective study (n=138) and reported that SPS reduces serum K+ by 0.14 mmol/l more than control, but concluded that this level of treatment effect may not be clinically important.</w:t>
      </w:r>
      <w:r>
        <w:rPr>
          <w:vertAlign w:val="superscript"/>
        </w:rPr>
        <w:t>9</w:t>
      </w:r>
    </w:p>
    <w:p w:rsidR="008F03B5" w:rsidRDefault="00586B9B" w:rsidP="00C07B5E">
      <w:pPr>
        <w:pStyle w:val="a3"/>
        <w:spacing w:before="2"/>
        <w:ind w:left="217"/>
      </w:pPr>
      <w:r>
        <w:t>The evidence for use of CPS is equally sparse. Chaaban et al (2013) conducted a retrospective study (n=70) to assess the effectiveness of calcium resonium in controlling hyperkalaemia in HD patients</w:t>
      </w:r>
      <w:r w:rsidR="00903055">
        <w:t>.</w:t>
      </w:r>
      <w:r w:rsidR="00903055">
        <w:rPr>
          <w:vertAlign w:val="superscript"/>
        </w:rPr>
        <w:t>1</w:t>
      </w:r>
      <w:r w:rsidR="00903055">
        <w:t xml:space="preserve">  </w:t>
      </w:r>
      <w:r w:rsidR="00903055">
        <w:rPr>
          <w:rFonts w:ascii="宋体" w:eastAsia="宋体" w:hAnsi="宋体" w:cs="宋体" w:hint="eastAsia"/>
        </w:rPr>
        <w:t>。。</w:t>
      </w:r>
      <w:r w:rsidR="00903055">
        <w:t>T</w:t>
      </w:r>
      <w:r>
        <w:t>his study showed poor efficacy attributed to lack of adherence to the drug and dietary restrictions as well as poor tolerability. Yu et al (2017) reported a retrospective analysis of 247 CKD patients in an out-patient setting treated with low dose CPS (8.0 ± 3.6 g/day) over a variable duration from &gt; 3 months to beyond 1</w:t>
      </w:r>
      <w:r>
        <w:rPr>
          <w:spacing w:val="-31"/>
        </w:rPr>
        <w:t xml:space="preserve"> </w:t>
      </w:r>
      <w:r>
        <w:t>year</w:t>
      </w:r>
      <w:r w:rsidR="00903055">
        <w:t>.</w:t>
      </w:r>
      <w:r w:rsidR="00903055">
        <w:rPr>
          <w:vertAlign w:val="superscript"/>
        </w:rPr>
        <w:t>10</w:t>
      </w:r>
      <w:r w:rsidR="00903055">
        <w:t xml:space="preserve"> </w:t>
      </w:r>
      <w:r w:rsidR="00903055">
        <w:rPr>
          <w:rFonts w:ascii="宋体" w:eastAsia="宋体" w:hAnsi="宋体" w:cs="宋体" w:hint="eastAsia"/>
        </w:rPr>
        <w:t>。。</w:t>
      </w:r>
      <w:r w:rsidR="00903055">
        <w:t>B</w:t>
      </w:r>
      <w:r>
        <w:t>aseline eGFR was 30 ± 15 ml/min and serum K+ was ≥ 5.0 mmol/l. Serum K+ decreased significantly from</w:t>
      </w:r>
      <w:r w:rsidR="00C07B5E">
        <w:t xml:space="preserve"> 5.8 </w:t>
      </w:r>
      <w:r>
        <w:t>± 0.3 mmol/l to 4.9 ± 0.7 mmol/l (p&lt;0.001) with CPS treatment without any serious adverse effects over a long</w:t>
      </w:r>
      <w:r w:rsidRPr="00C07B5E">
        <w:rPr>
          <w:spacing w:val="-2"/>
        </w:rPr>
        <w:t xml:space="preserve"> </w:t>
      </w:r>
      <w:r>
        <w:t>period.</w:t>
      </w:r>
    </w:p>
    <w:p w:rsidR="008F03B5" w:rsidRDefault="008F03B5">
      <w:pPr>
        <w:pStyle w:val="a3"/>
        <w:spacing w:before="3"/>
        <w:rPr>
          <w:sz w:val="16"/>
        </w:rPr>
      </w:pPr>
    </w:p>
    <w:p w:rsidR="008F03B5" w:rsidRDefault="00586B9B">
      <w:pPr>
        <w:pStyle w:val="a3"/>
        <w:spacing w:line="276" w:lineRule="auto"/>
        <w:ind w:left="217" w:right="281"/>
      </w:pPr>
      <w:r>
        <w:t>CPS and SPS have been used widely for decades for the non-emergency treatment of hyperkalaemia despite the lack of robust randomised clinical trials to document efficacy or safety. Tolerability and the risk of severe gastrointestinal adverse effects limit their longterm use. The availability of novel potassium binders (patiromer and sodium zirconium cyclosilicate) with a stronger evidence base for efficacy and more favourable side-effect profiles may replace CPS and SPS in clinical practice in the future. However at present, UK guidance from NICE restricts their use to specific circumstances and the Scottish Medicines Consortium (SMC) have not approved either drug. Therefore these alternatives to calcium resonium are not currently available to many patients.</w:t>
      </w:r>
    </w:p>
    <w:p w:rsidR="008F03B5" w:rsidRDefault="00586B9B">
      <w:pPr>
        <w:spacing w:before="119"/>
        <w:ind w:left="217"/>
        <w:rPr>
          <w:b/>
          <w:sz w:val="24"/>
        </w:rPr>
      </w:pPr>
      <w:r>
        <w:rPr>
          <w:b/>
          <w:color w:val="44536A"/>
          <w:sz w:val="24"/>
        </w:rPr>
        <w:t>References</w:t>
      </w:r>
    </w:p>
    <w:p w:rsidR="008F03B5" w:rsidRDefault="00586B9B" w:rsidP="00586B9B">
      <w:pPr>
        <w:pStyle w:val="a4"/>
        <w:numPr>
          <w:ilvl w:val="2"/>
          <w:numId w:val="54"/>
        </w:numPr>
        <w:tabs>
          <w:tab w:val="left" w:pos="939"/>
        </w:tabs>
        <w:spacing w:before="40" w:line="276" w:lineRule="auto"/>
        <w:ind w:right="378"/>
      </w:pPr>
      <w:r>
        <w:t xml:space="preserve">Chaaban, A., et al., </w:t>
      </w:r>
      <w:r>
        <w:rPr>
          <w:i/>
        </w:rPr>
        <w:t xml:space="preserve">Potassium binders in hemodialysis patients: a friend or foe? </w:t>
      </w:r>
      <w:r>
        <w:t xml:space="preserve">Ren Fail, 2013. </w:t>
      </w:r>
      <w:r>
        <w:rPr>
          <w:b/>
        </w:rPr>
        <w:t>35</w:t>
      </w:r>
      <w:r>
        <w:t>(2): p.</w:t>
      </w:r>
      <w:r>
        <w:rPr>
          <w:spacing w:val="-1"/>
        </w:rPr>
        <w:t xml:space="preserve"> </w:t>
      </w:r>
      <w:r>
        <w:t>185-8.</w:t>
      </w:r>
    </w:p>
    <w:p w:rsidR="008F03B5" w:rsidRPr="00C07B5E" w:rsidRDefault="008F03B5">
      <w:pPr>
        <w:pStyle w:val="a3"/>
        <w:rPr>
          <w:rFonts w:eastAsiaTheme="minorEastAsia"/>
          <w:lang w:eastAsia="zh-CN"/>
        </w:rPr>
      </w:pPr>
    </w:p>
    <w:p w:rsidR="008F03B5" w:rsidRDefault="00586B9B">
      <w:pPr>
        <w:pStyle w:val="2"/>
        <w:spacing w:before="173"/>
      </w:pPr>
      <w:bookmarkStart w:id="11" w:name="_bookmark17"/>
      <w:bookmarkEnd w:id="11"/>
      <w:r>
        <w:rPr>
          <w:color w:val="1F4E79"/>
        </w:rPr>
        <w:t>Treatment: Patiromer (Guidelines 9.1-9.3)</w:t>
      </w:r>
    </w:p>
    <w:p w:rsidR="008F03B5" w:rsidRDefault="008F03B5">
      <w:pPr>
        <w:pStyle w:val="a3"/>
        <w:rPr>
          <w:b/>
          <w:sz w:val="24"/>
        </w:rPr>
      </w:pPr>
    </w:p>
    <w:p w:rsidR="008F03B5" w:rsidRDefault="008F03B5">
      <w:pPr>
        <w:pStyle w:val="a3"/>
        <w:spacing w:before="2"/>
        <w:rPr>
          <w:b/>
          <w:sz w:val="21"/>
        </w:rPr>
      </w:pPr>
    </w:p>
    <w:p w:rsidR="008F03B5" w:rsidRDefault="00586B9B">
      <w:pPr>
        <w:pStyle w:val="3"/>
        <w:spacing w:before="1"/>
      </w:pPr>
      <w:r>
        <w:t>Guideline 9.1 – Patiromer for the management of Hyperkalaemia in the community</w:t>
      </w:r>
    </w:p>
    <w:p w:rsidR="008F03B5" w:rsidRDefault="008F03B5">
      <w:pPr>
        <w:pStyle w:val="a3"/>
        <w:spacing w:before="3"/>
        <w:rPr>
          <w:b/>
          <w:sz w:val="16"/>
        </w:rPr>
      </w:pPr>
    </w:p>
    <w:p w:rsidR="008F03B5" w:rsidRDefault="00586B9B">
      <w:pPr>
        <w:pStyle w:val="a3"/>
        <w:spacing w:before="41" w:line="276" w:lineRule="auto"/>
        <w:ind w:left="217" w:right="943"/>
      </w:pPr>
      <w:r>
        <w:t>We recommend that Patiromer is an option in the management of persistent hyperkalaemia with a</w:t>
      </w:r>
      <w:r w:rsidR="00C07B5E">
        <w:t xml:space="preserve"> </w:t>
      </w:r>
      <w:r>
        <w:t>confirmed serum K+ ≥ 6.0 mmol/l in out-patients with CKD Stage 3b-5 (not on dialysis) or heart failure receiving a sub-optimal dose or not receiving RAASi therapy due to hyperkalaemia. (1A)</w:t>
      </w:r>
    </w:p>
    <w:p w:rsidR="008F03B5" w:rsidRDefault="00586B9B">
      <w:pPr>
        <w:pStyle w:val="3"/>
        <w:spacing w:before="160"/>
      </w:pPr>
      <w:r>
        <w:t>Guideline 9.2 – Patiromer for the management of Hyperkalaemia</w:t>
      </w:r>
    </w:p>
    <w:p w:rsidR="008F03B5" w:rsidRDefault="008F03B5">
      <w:pPr>
        <w:pStyle w:val="a3"/>
        <w:spacing w:before="4"/>
        <w:rPr>
          <w:b/>
          <w:sz w:val="16"/>
        </w:rPr>
      </w:pPr>
    </w:p>
    <w:p w:rsidR="008F03B5" w:rsidRDefault="00586B9B">
      <w:pPr>
        <w:pStyle w:val="a3"/>
        <w:ind w:left="217"/>
      </w:pPr>
      <w:r>
        <w:t>We recommend that treatment with Patiromer is discontinued if RAASi therapy is stopped. (1A)</w:t>
      </w:r>
    </w:p>
    <w:p w:rsidR="008F03B5" w:rsidRDefault="008F03B5">
      <w:pPr>
        <w:pStyle w:val="a3"/>
        <w:spacing w:before="7"/>
        <w:rPr>
          <w:sz w:val="16"/>
        </w:rPr>
      </w:pPr>
    </w:p>
    <w:p w:rsidR="008F03B5" w:rsidRDefault="00586B9B">
      <w:pPr>
        <w:pStyle w:val="3"/>
      </w:pPr>
      <w:r>
        <w:t>Guideline 9.3 – Patiromer for the management of Hyperkalaemia</w:t>
      </w:r>
    </w:p>
    <w:p w:rsidR="008F03B5" w:rsidRDefault="008F03B5">
      <w:pPr>
        <w:pStyle w:val="a3"/>
        <w:spacing w:before="4"/>
        <w:rPr>
          <w:b/>
          <w:sz w:val="16"/>
        </w:rPr>
      </w:pPr>
    </w:p>
    <w:p w:rsidR="008F03B5" w:rsidRDefault="00586B9B">
      <w:pPr>
        <w:pStyle w:val="a3"/>
        <w:ind w:left="217"/>
      </w:pPr>
      <w:r>
        <w:t>We recommend that Patiromer is initiated in secondary care only. (1A)</w:t>
      </w:r>
    </w:p>
    <w:p w:rsidR="008F03B5" w:rsidRDefault="008F03B5">
      <w:pPr>
        <w:pStyle w:val="a3"/>
      </w:pPr>
    </w:p>
    <w:p w:rsidR="008F03B5" w:rsidRDefault="008F03B5">
      <w:pPr>
        <w:pStyle w:val="a3"/>
      </w:pPr>
    </w:p>
    <w:p w:rsidR="008F03B5" w:rsidRDefault="008F03B5">
      <w:pPr>
        <w:pStyle w:val="a3"/>
        <w:spacing w:before="7"/>
        <w:rPr>
          <w:sz w:val="17"/>
        </w:rPr>
      </w:pPr>
    </w:p>
    <w:p w:rsidR="008F03B5" w:rsidRDefault="00586B9B">
      <w:pPr>
        <w:ind w:left="217"/>
        <w:rPr>
          <w:b/>
          <w:sz w:val="24"/>
        </w:rPr>
      </w:pPr>
      <w:r>
        <w:rPr>
          <w:b/>
          <w:color w:val="44536A"/>
          <w:sz w:val="24"/>
        </w:rPr>
        <w:t>Audit measures</w:t>
      </w:r>
    </w:p>
    <w:p w:rsidR="008F03B5" w:rsidRDefault="00586B9B" w:rsidP="00586B9B">
      <w:pPr>
        <w:pStyle w:val="a4"/>
        <w:numPr>
          <w:ilvl w:val="0"/>
          <w:numId w:val="53"/>
        </w:numPr>
        <w:tabs>
          <w:tab w:val="left" w:pos="939"/>
        </w:tabs>
        <w:spacing w:before="40" w:line="276" w:lineRule="auto"/>
        <w:ind w:right="625"/>
      </w:pPr>
      <w:r>
        <w:t>The proportion of out-patients with moderate hyperkalaemia (serum K+ 6.0 - 6.4 mmol/l) treated with patiromer who achieved a serum K+ ≤ 5.0 mmol/l within 1</w:t>
      </w:r>
      <w:r>
        <w:rPr>
          <w:spacing w:val="-11"/>
        </w:rPr>
        <w:t xml:space="preserve"> </w:t>
      </w:r>
      <w:r>
        <w:t>week.</w:t>
      </w:r>
    </w:p>
    <w:p w:rsidR="008F03B5" w:rsidRDefault="00586B9B" w:rsidP="00586B9B">
      <w:pPr>
        <w:pStyle w:val="a4"/>
        <w:numPr>
          <w:ilvl w:val="0"/>
          <w:numId w:val="53"/>
        </w:numPr>
        <w:tabs>
          <w:tab w:val="left" w:pos="939"/>
        </w:tabs>
        <w:spacing w:before="2"/>
        <w:ind w:hanging="361"/>
      </w:pPr>
      <w:r>
        <w:t>The proportion of out-patients who achieve maximal dose RAASi therapy whilst taking</w:t>
      </w:r>
      <w:r>
        <w:rPr>
          <w:spacing w:val="-20"/>
        </w:rPr>
        <w:t xml:space="preserve"> </w:t>
      </w:r>
      <w:r>
        <w:t>patiromer.</w:t>
      </w:r>
    </w:p>
    <w:p w:rsidR="008F03B5" w:rsidRDefault="008F03B5">
      <w:pPr>
        <w:sectPr w:rsidR="008F03B5">
          <w:pgSz w:w="11910" w:h="16840"/>
          <w:pgMar w:top="1540" w:right="780" w:bottom="1100" w:left="860" w:header="425" w:footer="912" w:gutter="0"/>
          <w:cols w:space="720"/>
        </w:sectPr>
      </w:pPr>
    </w:p>
    <w:p w:rsidR="008F03B5" w:rsidRDefault="00586B9B">
      <w:pPr>
        <w:spacing w:before="119"/>
        <w:ind w:left="217"/>
        <w:rPr>
          <w:b/>
          <w:sz w:val="24"/>
        </w:rPr>
      </w:pPr>
      <w:r>
        <w:rPr>
          <w:b/>
          <w:color w:val="44536A"/>
          <w:sz w:val="24"/>
        </w:rPr>
        <w:lastRenderedPageBreak/>
        <w:t>Rationale (Guideline 9.1 – 9.3)</w:t>
      </w:r>
    </w:p>
    <w:p w:rsidR="008F03B5" w:rsidRDefault="00586B9B">
      <w:pPr>
        <w:pStyle w:val="a3"/>
        <w:spacing w:before="2"/>
        <w:ind w:left="217"/>
      </w:pPr>
      <w:r>
        <w:t>Patiromer is a non-absorbed, sodium free, K+-binding polymer</w:t>
      </w:r>
      <w:r w:rsidR="00903055">
        <w:t>.</w:t>
      </w:r>
      <w:r w:rsidR="00903055">
        <w:rPr>
          <w:vertAlign w:val="superscript"/>
        </w:rPr>
        <w:t>1</w:t>
      </w:r>
      <w:r w:rsidR="00903055">
        <w:t xml:space="preserve"> </w:t>
      </w:r>
      <w:r w:rsidR="00903055">
        <w:rPr>
          <w:rFonts w:ascii="宋体" w:eastAsia="宋体" w:hAnsi="宋体" w:cs="宋体" w:hint="eastAsia"/>
        </w:rPr>
        <w:t>。。</w:t>
      </w:r>
      <w:r w:rsidR="00903055">
        <w:t>C</w:t>
      </w:r>
      <w:r>
        <w:t>alcium is used, rather than sodium, as the counter ion for K+ exchange. This avoids the potential for excessive sodium absorption and volume overload. The drug is active throughout the gastrointestinal tract but mostly in the colon. The onset of action is slow at 4-7 hours</w:t>
      </w:r>
      <w:r w:rsidR="00903055">
        <w:t>.</w:t>
      </w:r>
      <w:r w:rsidR="00903055">
        <w:rPr>
          <w:vertAlign w:val="superscript"/>
        </w:rPr>
        <w:t>1</w:t>
      </w:r>
      <w:r w:rsidR="00903055">
        <w:t xml:space="preserve"> </w:t>
      </w:r>
      <w:r w:rsidR="00903055">
        <w:rPr>
          <w:rFonts w:ascii="宋体" w:eastAsia="宋体" w:hAnsi="宋体" w:cs="宋体" w:hint="eastAsia"/>
        </w:rPr>
        <w:t>。。</w:t>
      </w:r>
      <w:r w:rsidR="00903055">
        <w:t>P</w:t>
      </w:r>
      <w:r>
        <w:t>atiromer has the potential to bind to some co-administered oral medication (e.g. metformin, levothyroxine and ciprofloxacin), therefore administration needs to be separated from other oral</w:t>
      </w:r>
      <w:r w:rsidR="00C07B5E">
        <w:t xml:space="preserve"> </w:t>
      </w:r>
      <w:r>
        <w:t>medications by ≥3 hours.</w:t>
      </w:r>
      <w:r>
        <w:rPr>
          <w:vertAlign w:val="superscript"/>
        </w:rPr>
        <w:t>1</w:t>
      </w:r>
    </w:p>
    <w:p w:rsidR="008F03B5" w:rsidRDefault="00586B9B">
      <w:pPr>
        <w:pStyle w:val="a3"/>
        <w:spacing w:before="199" w:line="276" w:lineRule="auto"/>
        <w:ind w:left="217" w:right="373"/>
      </w:pPr>
      <w:r>
        <w:t>To date, the standard approach to treating chronic hyperkalaemia has been a dose reduction or cessation of cardioprotective medication along with the institution of a low K+ diet. Dietary K+-restriction was implemented in patiromer trials and K+-lowering drugs are unlikely to replace a low K+ diet although may allow a less restrictive intake.</w:t>
      </w:r>
    </w:p>
    <w:p w:rsidR="008F03B5" w:rsidRDefault="00586B9B">
      <w:pPr>
        <w:pStyle w:val="a3"/>
        <w:spacing w:line="273" w:lineRule="auto"/>
        <w:ind w:left="217" w:right="506"/>
      </w:pPr>
      <w:r>
        <w:t>The definition of hyperkalaemia used in the patiromer trials to guide treatment differed from the Renal Association (2014)</w:t>
      </w:r>
      <w:r>
        <w:rPr>
          <w:vertAlign w:val="superscript"/>
        </w:rPr>
        <w:t>2</w:t>
      </w:r>
      <w:r>
        <w:t xml:space="preserve"> and European Resuscitation Council (2015)</w:t>
      </w:r>
      <w:r>
        <w:rPr>
          <w:vertAlign w:val="superscript"/>
        </w:rPr>
        <w:t>3</w:t>
      </w:r>
      <w:r>
        <w:t xml:space="preserve"> guidelines. In the patiromer trials, mild hyperkalaemia was defined as serum K+ 5.1 - 5.4 mmol/l and moderate to severe hyperkalaemia as serum K+</w:t>
      </w:r>
      <w:r w:rsidR="00C07B5E">
        <w:t xml:space="preserve"> </w:t>
      </w:r>
      <w:r>
        <w:t>5.5 - 6.4 mmol/l</w:t>
      </w:r>
      <w:r w:rsidR="00903055">
        <w:t>.</w:t>
      </w:r>
      <w:r w:rsidR="00903055">
        <w:rPr>
          <w:vertAlign w:val="superscript"/>
        </w:rPr>
        <w:t>4-10</w:t>
      </w:r>
      <w:r w:rsidR="00903055">
        <w:t xml:space="preserve"> </w:t>
      </w:r>
      <w:r w:rsidR="00903055">
        <w:rPr>
          <w:rFonts w:ascii="宋体" w:eastAsia="宋体" w:hAnsi="宋体" w:cs="宋体" w:hint="eastAsia"/>
        </w:rPr>
        <w:t>。。</w:t>
      </w:r>
      <w:r w:rsidR="00903055">
        <w:t>E</w:t>
      </w:r>
      <w:r>
        <w:t>arly studies included 3 Phase I clinical pharmacology studies and 12 single dose drug- drug interaction studies as summarised in Table 6.</w:t>
      </w:r>
    </w:p>
    <w:p w:rsidR="008F03B5" w:rsidRDefault="00586B9B">
      <w:pPr>
        <w:pStyle w:val="a3"/>
        <w:spacing w:before="165" w:line="276" w:lineRule="auto"/>
        <w:ind w:left="217" w:right="323"/>
      </w:pPr>
      <w:r>
        <w:t xml:space="preserve">The PEARL-HF [11] and PEARL-HF extension </w:t>
      </w:r>
      <w:r>
        <w:rPr>
          <w:vertAlign w:val="superscript"/>
        </w:rPr>
        <w:t>9</w:t>
      </w:r>
      <w:r>
        <w:t xml:space="preserve"> studies are the only patiromer trials with all participants having a diagnosis of chronic heart failure. Fewer patients in OPAL-HK (42%)</w:t>
      </w:r>
      <w:r>
        <w:rPr>
          <w:vertAlign w:val="superscript"/>
        </w:rPr>
        <w:t>5</w:t>
      </w:r>
      <w:r>
        <w:t xml:space="preserve"> and AMETHYST-DN (35%)</w:t>
      </w:r>
      <w:r>
        <w:rPr>
          <w:vertAlign w:val="superscript"/>
        </w:rPr>
        <w:t>6</w:t>
      </w:r>
      <w:r>
        <w:t xml:space="preserve"> had heart failure (Appendix 2). In the PEARL-HF study, almost half of the patients treated with patiromer developed hypokalaemia (K+ &lt; 4 mmol/l) which also infers a higher risk of mortality in heart failure. However, in the PEARL-HF extension study, spironolactone could be optimised with a lower starting dose of patiromer whilst reducing the incidence of hypokalaemia.</w:t>
      </w:r>
    </w:p>
    <w:p w:rsidR="008F03B5" w:rsidRDefault="00586B9B">
      <w:pPr>
        <w:pStyle w:val="a3"/>
        <w:spacing w:before="2" w:line="276" w:lineRule="auto"/>
        <w:ind w:left="217" w:right="304"/>
        <w:jc w:val="both"/>
      </w:pPr>
      <w:r>
        <w:t>In the OPAL-HK trial, 76% of patients with HF achieved serum K+ levels within the target range with patiromer. Hypokalaemia (K+ &lt;3.5 mmol/l) occurred in 3% of patients. During the withdrawal phase,</w:t>
      </w:r>
      <w:r w:rsidR="00C07B5E">
        <w:t xml:space="preserve"> </w:t>
      </w:r>
      <w:r>
        <w:t>hyperkalaemia (K+ ≥5.5 mmol/l) recurred in 52% of patients compared with 8% in patients who remained on patiromer. By the end of the 8-week period, 100% in the patiromer group remained on RAASi compared with only 55% in the placebo group.</w:t>
      </w:r>
    </w:p>
    <w:p w:rsidR="008F03B5" w:rsidRDefault="00586B9B">
      <w:pPr>
        <w:pStyle w:val="a3"/>
        <w:spacing w:before="160" w:line="276" w:lineRule="auto"/>
        <w:ind w:left="217" w:right="345"/>
      </w:pPr>
      <w:r>
        <w:t>Patients with CKD were well represented in the clinical trials – Bushinsky (100%), OPAL-HK (100%), PEARL-HF extension study (100%), AMETHYST-DN (87%) and Tourmaline (76%). Notably, the original PEARL-HF involving MRA titration, included few patients with CKD (27%) and the study duration may have been too short (4 weeks) to detect a worsening of renal function. In contrast, worsening of renal function was found in 9.2% of participants of the AMETHYST-DN trial (52 weeks)</w:t>
      </w:r>
      <w:r>
        <w:rPr>
          <w:vertAlign w:val="superscript"/>
        </w:rPr>
        <w:t>6</w:t>
      </w:r>
      <w:r>
        <w:t xml:space="preserve"> and 13% of participants in the PEARL-HF extension study (8 weeks)</w:t>
      </w:r>
      <w:r>
        <w:rPr>
          <w:vertAlign w:val="superscript"/>
        </w:rPr>
        <w:t>9</w:t>
      </w:r>
      <w:r>
        <w:t>. In both of these studies, spironolactone was implicated in some cases. In AMETHYST-DN, this was the most frequently reported adverse event and was the most common cause for discontinuation. Despite its duration, this study also failed to show any clinically significant reduction in albuminuria.</w:t>
      </w:r>
    </w:p>
    <w:p w:rsidR="008F03B5" w:rsidRDefault="00586B9B">
      <w:pPr>
        <w:pStyle w:val="a3"/>
        <w:spacing w:before="41" w:line="276" w:lineRule="auto"/>
        <w:ind w:left="217" w:right="297"/>
      </w:pPr>
      <w:r>
        <w:t>A meta-analysis of the patiromer clinical trials showed that the mean reduction in serum K+ at Day 3 was</w:t>
      </w:r>
      <w:r w:rsidR="00C07B5E">
        <w:t xml:space="preserve"> </w:t>
      </w:r>
      <w:r>
        <w:t>0.36 mmol/l and at 4 weeks was 0.70 mmol/l</w:t>
      </w:r>
      <w:r w:rsidR="00903055">
        <w:t>.</w:t>
      </w:r>
      <w:r w:rsidR="00903055">
        <w:rPr>
          <w:vertAlign w:val="superscript"/>
        </w:rPr>
        <w:t>12</w:t>
      </w:r>
      <w:r w:rsidR="00903055">
        <w:t xml:space="preserve"> </w:t>
      </w:r>
      <w:r w:rsidR="00903055">
        <w:rPr>
          <w:rFonts w:ascii="宋体" w:eastAsia="宋体" w:hAnsi="宋体" w:cs="宋体" w:hint="eastAsia"/>
        </w:rPr>
        <w:t>。。</w:t>
      </w:r>
      <w:r w:rsidR="00903055">
        <w:t>O</w:t>
      </w:r>
      <w:r>
        <w:t>verall, 93% of patients could continue, start or titrate RAASi therapy during the maintenance phase of the studies.</w:t>
      </w:r>
      <w:r>
        <w:rPr>
          <w:vertAlign w:val="superscript"/>
        </w:rPr>
        <w:t>12</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9" w:after="1"/>
        <w:rPr>
          <w:sz w:val="9"/>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9"/>
        <w:gridCol w:w="567"/>
        <w:gridCol w:w="1278"/>
        <w:gridCol w:w="1133"/>
        <w:gridCol w:w="1136"/>
        <w:gridCol w:w="459"/>
        <w:gridCol w:w="392"/>
        <w:gridCol w:w="884"/>
        <w:gridCol w:w="851"/>
        <w:gridCol w:w="706"/>
        <w:gridCol w:w="821"/>
      </w:tblGrid>
      <w:tr w:rsidR="008F03B5">
        <w:trPr>
          <w:trHeight w:val="805"/>
        </w:trPr>
        <w:tc>
          <w:tcPr>
            <w:tcW w:w="1419" w:type="dxa"/>
            <w:vMerge w:val="restart"/>
            <w:shd w:val="clear" w:color="auto" w:fill="DEEAF6"/>
          </w:tcPr>
          <w:p w:rsidR="008F03B5" w:rsidRDefault="00586B9B">
            <w:pPr>
              <w:pStyle w:val="TableParagraph"/>
              <w:spacing w:line="265" w:lineRule="exact"/>
              <w:ind w:left="107"/>
              <w:rPr>
                <w:b/>
              </w:rPr>
            </w:pPr>
            <w:r>
              <w:rPr>
                <w:b/>
              </w:rPr>
              <w:t>STUDY</w:t>
            </w:r>
          </w:p>
        </w:tc>
        <w:tc>
          <w:tcPr>
            <w:tcW w:w="567" w:type="dxa"/>
            <w:vMerge w:val="restart"/>
            <w:shd w:val="clear" w:color="auto" w:fill="DEEAF6"/>
          </w:tcPr>
          <w:p w:rsidR="008F03B5" w:rsidRDefault="00586B9B">
            <w:pPr>
              <w:pStyle w:val="TableParagraph"/>
              <w:spacing w:line="265" w:lineRule="exact"/>
              <w:ind w:left="107"/>
              <w:rPr>
                <w:b/>
              </w:rPr>
            </w:pPr>
            <w:r>
              <w:rPr>
                <w:b/>
              </w:rPr>
              <w:t>N=</w:t>
            </w:r>
          </w:p>
        </w:tc>
        <w:tc>
          <w:tcPr>
            <w:tcW w:w="1278" w:type="dxa"/>
            <w:vMerge w:val="restart"/>
            <w:shd w:val="clear" w:color="auto" w:fill="DEEAF6"/>
          </w:tcPr>
          <w:p w:rsidR="008F03B5" w:rsidRDefault="00586B9B">
            <w:pPr>
              <w:pStyle w:val="TableParagraph"/>
              <w:ind w:left="106" w:right="331"/>
              <w:rPr>
                <w:b/>
              </w:rPr>
            </w:pPr>
            <w:r>
              <w:rPr>
                <w:b/>
              </w:rPr>
              <w:t>Study Duration</w:t>
            </w:r>
          </w:p>
        </w:tc>
        <w:tc>
          <w:tcPr>
            <w:tcW w:w="1133" w:type="dxa"/>
            <w:vMerge w:val="restart"/>
            <w:shd w:val="clear" w:color="auto" w:fill="DEEAF6"/>
          </w:tcPr>
          <w:p w:rsidR="008F03B5" w:rsidRDefault="00586B9B">
            <w:pPr>
              <w:pStyle w:val="TableParagraph"/>
              <w:spacing w:before="7" w:line="228" w:lineRule="auto"/>
              <w:ind w:left="106" w:right="229"/>
              <w:rPr>
                <w:b/>
                <w:sz w:val="14"/>
              </w:rPr>
            </w:pPr>
            <w:r>
              <w:rPr>
                <w:b/>
              </w:rPr>
              <w:t xml:space="preserve">Mean Baseline </w:t>
            </w:r>
            <w:r>
              <w:rPr>
                <w:b/>
                <w:position w:val="-9"/>
              </w:rPr>
              <w:t>K</w:t>
            </w:r>
            <w:r>
              <w:rPr>
                <w:b/>
                <w:sz w:val="14"/>
              </w:rPr>
              <w:t>+</w:t>
            </w:r>
          </w:p>
          <w:p w:rsidR="008F03B5" w:rsidRDefault="00586B9B">
            <w:pPr>
              <w:pStyle w:val="TableParagraph"/>
              <w:spacing w:before="7"/>
              <w:ind w:left="106"/>
              <w:rPr>
                <w:b/>
              </w:rPr>
            </w:pPr>
            <w:r>
              <w:rPr>
                <w:b/>
              </w:rPr>
              <w:t>(mmol/l)</w:t>
            </w:r>
          </w:p>
        </w:tc>
        <w:tc>
          <w:tcPr>
            <w:tcW w:w="1136" w:type="dxa"/>
            <w:vMerge w:val="restart"/>
            <w:shd w:val="clear" w:color="auto" w:fill="DEEAF6"/>
          </w:tcPr>
          <w:p w:rsidR="008F03B5" w:rsidRDefault="00586B9B">
            <w:pPr>
              <w:pStyle w:val="TableParagraph"/>
              <w:ind w:left="106" w:right="339"/>
              <w:rPr>
                <w:b/>
              </w:rPr>
            </w:pPr>
            <w:r>
              <w:rPr>
                <w:b/>
              </w:rPr>
              <w:t>Study Groups</w:t>
            </w:r>
          </w:p>
        </w:tc>
        <w:tc>
          <w:tcPr>
            <w:tcW w:w="4113" w:type="dxa"/>
            <w:gridSpan w:val="6"/>
            <w:shd w:val="clear" w:color="auto" w:fill="DEEAF6"/>
          </w:tcPr>
          <w:p w:rsidR="008F03B5" w:rsidRDefault="00586B9B">
            <w:pPr>
              <w:pStyle w:val="TableParagraph"/>
              <w:ind w:left="103" w:right="1713"/>
              <w:rPr>
                <w:b/>
              </w:rPr>
            </w:pPr>
            <w:r>
              <w:rPr>
                <w:b/>
              </w:rPr>
              <w:t>CHANGE IN SERUM K</w:t>
            </w:r>
            <w:r>
              <w:rPr>
                <w:b/>
                <w:vertAlign w:val="superscript"/>
              </w:rPr>
              <w:t>+</w:t>
            </w:r>
            <w:r>
              <w:rPr>
                <w:b/>
              </w:rPr>
              <w:t xml:space="preserve"> by PATIROMER DOSE</w:t>
            </w:r>
          </w:p>
          <w:p w:rsidR="008F03B5" w:rsidRDefault="00586B9B">
            <w:pPr>
              <w:pStyle w:val="TableParagraph"/>
              <w:spacing w:line="252" w:lineRule="exact"/>
              <w:ind w:left="103"/>
              <w:rPr>
                <w:b/>
              </w:rPr>
            </w:pPr>
            <w:r>
              <w:rPr>
                <w:b/>
              </w:rPr>
              <w:t>(dose in g twice daily)</w:t>
            </w:r>
          </w:p>
        </w:tc>
      </w:tr>
      <w:tr w:rsidR="008F03B5">
        <w:trPr>
          <w:trHeight w:val="486"/>
        </w:trPr>
        <w:tc>
          <w:tcPr>
            <w:tcW w:w="1419" w:type="dxa"/>
            <w:vMerge/>
            <w:tcBorders>
              <w:top w:val="nil"/>
            </w:tcBorders>
            <w:shd w:val="clear" w:color="auto" w:fill="DEEAF6"/>
          </w:tcPr>
          <w:p w:rsidR="008F03B5" w:rsidRDefault="008F03B5">
            <w:pPr>
              <w:rPr>
                <w:sz w:val="2"/>
                <w:szCs w:val="2"/>
              </w:rPr>
            </w:pPr>
          </w:p>
        </w:tc>
        <w:tc>
          <w:tcPr>
            <w:tcW w:w="567" w:type="dxa"/>
            <w:vMerge/>
            <w:tcBorders>
              <w:top w:val="nil"/>
            </w:tcBorders>
            <w:shd w:val="clear" w:color="auto" w:fill="DEEAF6"/>
          </w:tcPr>
          <w:p w:rsidR="008F03B5" w:rsidRDefault="008F03B5">
            <w:pPr>
              <w:rPr>
                <w:sz w:val="2"/>
                <w:szCs w:val="2"/>
              </w:rPr>
            </w:pPr>
          </w:p>
        </w:tc>
        <w:tc>
          <w:tcPr>
            <w:tcW w:w="1278" w:type="dxa"/>
            <w:vMerge/>
            <w:tcBorders>
              <w:top w:val="nil"/>
            </w:tcBorders>
            <w:shd w:val="clear" w:color="auto" w:fill="DEEAF6"/>
          </w:tcPr>
          <w:p w:rsidR="008F03B5" w:rsidRDefault="008F03B5">
            <w:pPr>
              <w:rPr>
                <w:sz w:val="2"/>
                <w:szCs w:val="2"/>
              </w:rPr>
            </w:pPr>
          </w:p>
        </w:tc>
        <w:tc>
          <w:tcPr>
            <w:tcW w:w="1133" w:type="dxa"/>
            <w:vMerge/>
            <w:tcBorders>
              <w:top w:val="nil"/>
            </w:tcBorders>
            <w:shd w:val="clear" w:color="auto" w:fill="DEEAF6"/>
          </w:tcPr>
          <w:p w:rsidR="008F03B5" w:rsidRDefault="008F03B5">
            <w:pPr>
              <w:rPr>
                <w:sz w:val="2"/>
                <w:szCs w:val="2"/>
              </w:rPr>
            </w:pPr>
          </w:p>
        </w:tc>
        <w:tc>
          <w:tcPr>
            <w:tcW w:w="1136" w:type="dxa"/>
            <w:vMerge/>
            <w:tcBorders>
              <w:top w:val="nil"/>
            </w:tcBorders>
            <w:shd w:val="clear" w:color="auto" w:fill="DEEAF6"/>
          </w:tcPr>
          <w:p w:rsidR="008F03B5" w:rsidRDefault="008F03B5">
            <w:pPr>
              <w:rPr>
                <w:sz w:val="2"/>
                <w:szCs w:val="2"/>
              </w:rPr>
            </w:pPr>
          </w:p>
        </w:tc>
        <w:tc>
          <w:tcPr>
            <w:tcW w:w="851" w:type="dxa"/>
            <w:gridSpan w:val="2"/>
            <w:shd w:val="clear" w:color="auto" w:fill="DEEAF6"/>
          </w:tcPr>
          <w:p w:rsidR="008F03B5" w:rsidRDefault="00586B9B">
            <w:pPr>
              <w:pStyle w:val="TableParagraph"/>
              <w:spacing w:line="265" w:lineRule="exact"/>
              <w:ind w:left="103"/>
              <w:rPr>
                <w:b/>
              </w:rPr>
            </w:pPr>
            <w:r>
              <w:rPr>
                <w:b/>
              </w:rPr>
              <w:t>4.2g</w:t>
            </w:r>
          </w:p>
        </w:tc>
        <w:tc>
          <w:tcPr>
            <w:tcW w:w="884" w:type="dxa"/>
            <w:shd w:val="clear" w:color="auto" w:fill="DEEAF6"/>
          </w:tcPr>
          <w:p w:rsidR="008F03B5" w:rsidRDefault="00586B9B">
            <w:pPr>
              <w:pStyle w:val="TableParagraph"/>
              <w:spacing w:line="265" w:lineRule="exact"/>
              <w:ind w:left="104"/>
              <w:rPr>
                <w:b/>
              </w:rPr>
            </w:pPr>
            <w:r>
              <w:rPr>
                <w:b/>
              </w:rPr>
              <w:t>8.4g</w:t>
            </w:r>
          </w:p>
        </w:tc>
        <w:tc>
          <w:tcPr>
            <w:tcW w:w="851" w:type="dxa"/>
            <w:shd w:val="clear" w:color="auto" w:fill="DEEAF6"/>
          </w:tcPr>
          <w:p w:rsidR="008F03B5" w:rsidRDefault="00586B9B">
            <w:pPr>
              <w:pStyle w:val="TableParagraph"/>
              <w:spacing w:line="265" w:lineRule="exact"/>
              <w:ind w:left="103"/>
              <w:rPr>
                <w:b/>
              </w:rPr>
            </w:pPr>
            <w:r>
              <w:rPr>
                <w:b/>
              </w:rPr>
              <w:t>12.6g</w:t>
            </w:r>
          </w:p>
        </w:tc>
        <w:tc>
          <w:tcPr>
            <w:tcW w:w="706" w:type="dxa"/>
            <w:shd w:val="clear" w:color="auto" w:fill="DEEAF6"/>
          </w:tcPr>
          <w:p w:rsidR="008F03B5" w:rsidRDefault="00586B9B">
            <w:pPr>
              <w:pStyle w:val="TableParagraph"/>
              <w:spacing w:line="265" w:lineRule="exact"/>
              <w:ind w:left="102"/>
              <w:rPr>
                <w:b/>
              </w:rPr>
            </w:pPr>
            <w:r>
              <w:rPr>
                <w:b/>
              </w:rPr>
              <w:t>15g</w:t>
            </w:r>
          </w:p>
        </w:tc>
        <w:tc>
          <w:tcPr>
            <w:tcW w:w="821" w:type="dxa"/>
            <w:shd w:val="clear" w:color="auto" w:fill="DEEAF6"/>
          </w:tcPr>
          <w:p w:rsidR="008F03B5" w:rsidRDefault="00586B9B">
            <w:pPr>
              <w:pStyle w:val="TableParagraph"/>
              <w:spacing w:line="265" w:lineRule="exact"/>
              <w:ind w:left="102"/>
              <w:rPr>
                <w:b/>
              </w:rPr>
            </w:pPr>
            <w:r>
              <w:rPr>
                <w:b/>
              </w:rPr>
              <w:t>16.8g</w:t>
            </w:r>
          </w:p>
        </w:tc>
      </w:tr>
      <w:tr w:rsidR="008F03B5">
        <w:trPr>
          <w:trHeight w:val="280"/>
        </w:trPr>
        <w:tc>
          <w:tcPr>
            <w:tcW w:w="1419" w:type="dxa"/>
            <w:vMerge w:val="restart"/>
          </w:tcPr>
          <w:p w:rsidR="008F03B5" w:rsidRDefault="00586B9B">
            <w:pPr>
              <w:pStyle w:val="TableParagraph"/>
              <w:ind w:left="107" w:right="184"/>
            </w:pPr>
            <w:r>
              <w:rPr>
                <w:b/>
              </w:rPr>
              <w:t>PEARL – HF Pitt 2011</w:t>
            </w:r>
            <w:r>
              <w:rPr>
                <w:b/>
                <w:vertAlign w:val="superscript"/>
              </w:rPr>
              <w:t>12</w:t>
            </w:r>
            <w:r>
              <w:rPr>
                <w:b/>
              </w:rPr>
              <w:t xml:space="preserve"> </w:t>
            </w:r>
            <w:r>
              <w:t>Phase II trial</w:t>
            </w:r>
          </w:p>
        </w:tc>
        <w:tc>
          <w:tcPr>
            <w:tcW w:w="567" w:type="dxa"/>
            <w:tcBorders>
              <w:bottom w:val="nil"/>
            </w:tcBorders>
          </w:tcPr>
          <w:p w:rsidR="008F03B5" w:rsidRDefault="00586B9B">
            <w:pPr>
              <w:pStyle w:val="TableParagraph"/>
              <w:spacing w:line="260" w:lineRule="exact"/>
              <w:ind w:left="107"/>
            </w:pPr>
            <w:r>
              <w:t>104</w:t>
            </w:r>
          </w:p>
        </w:tc>
        <w:tc>
          <w:tcPr>
            <w:tcW w:w="1278" w:type="dxa"/>
            <w:vMerge w:val="restart"/>
          </w:tcPr>
          <w:p w:rsidR="008F03B5" w:rsidRDefault="00586B9B">
            <w:pPr>
              <w:pStyle w:val="TableParagraph"/>
              <w:spacing w:line="265" w:lineRule="exact"/>
              <w:ind w:left="106"/>
            </w:pPr>
            <w:r>
              <w:t>4 weeks</w:t>
            </w:r>
          </w:p>
        </w:tc>
        <w:tc>
          <w:tcPr>
            <w:tcW w:w="1133" w:type="dxa"/>
            <w:tcBorders>
              <w:bottom w:val="nil"/>
            </w:tcBorders>
          </w:tcPr>
          <w:p w:rsidR="008F03B5" w:rsidRDefault="00586B9B">
            <w:pPr>
              <w:pStyle w:val="TableParagraph"/>
              <w:spacing w:line="260" w:lineRule="exact"/>
              <w:ind w:left="106"/>
            </w:pPr>
            <w:r>
              <w:t>4.69</w:t>
            </w:r>
          </w:p>
        </w:tc>
        <w:tc>
          <w:tcPr>
            <w:tcW w:w="1136" w:type="dxa"/>
            <w:vMerge w:val="restart"/>
          </w:tcPr>
          <w:p w:rsidR="008F03B5" w:rsidRDefault="00586B9B">
            <w:pPr>
              <w:pStyle w:val="TableParagraph"/>
              <w:ind w:left="106" w:right="102"/>
            </w:pPr>
            <w:r>
              <w:t>Patiromer N= 55</w:t>
            </w:r>
          </w:p>
        </w:tc>
        <w:tc>
          <w:tcPr>
            <w:tcW w:w="851" w:type="dxa"/>
            <w:gridSpan w:val="2"/>
            <w:vMerge w:val="restart"/>
          </w:tcPr>
          <w:p w:rsidR="008F03B5" w:rsidRDefault="008F03B5">
            <w:pPr>
              <w:pStyle w:val="TableParagraph"/>
              <w:rPr>
                <w:rFonts w:ascii="Times New Roman"/>
                <w:sz w:val="20"/>
              </w:rPr>
            </w:pPr>
          </w:p>
        </w:tc>
        <w:tc>
          <w:tcPr>
            <w:tcW w:w="884" w:type="dxa"/>
            <w:vMerge w:val="restart"/>
          </w:tcPr>
          <w:p w:rsidR="008F03B5" w:rsidRDefault="008F03B5">
            <w:pPr>
              <w:pStyle w:val="TableParagraph"/>
              <w:rPr>
                <w:rFonts w:ascii="Times New Roman"/>
                <w:sz w:val="20"/>
              </w:rPr>
            </w:pPr>
          </w:p>
        </w:tc>
        <w:tc>
          <w:tcPr>
            <w:tcW w:w="851" w:type="dxa"/>
            <w:vMerge w:val="restart"/>
          </w:tcPr>
          <w:p w:rsidR="008F03B5" w:rsidRDefault="008F03B5">
            <w:pPr>
              <w:pStyle w:val="TableParagraph"/>
              <w:rPr>
                <w:rFonts w:ascii="Times New Roman"/>
                <w:sz w:val="20"/>
              </w:rPr>
            </w:pPr>
          </w:p>
        </w:tc>
        <w:tc>
          <w:tcPr>
            <w:tcW w:w="706" w:type="dxa"/>
            <w:tcBorders>
              <w:bottom w:val="nil"/>
            </w:tcBorders>
          </w:tcPr>
          <w:p w:rsidR="008F03B5" w:rsidRDefault="00586B9B">
            <w:pPr>
              <w:pStyle w:val="TableParagraph"/>
              <w:spacing w:line="260" w:lineRule="exact"/>
              <w:ind w:left="102"/>
            </w:pPr>
            <w:r>
              <w:t>-0.22</w:t>
            </w:r>
          </w:p>
        </w:tc>
        <w:tc>
          <w:tcPr>
            <w:tcW w:w="821" w:type="dxa"/>
            <w:vMerge w:val="restart"/>
          </w:tcPr>
          <w:p w:rsidR="008F03B5" w:rsidRDefault="008F03B5">
            <w:pPr>
              <w:pStyle w:val="TableParagraph"/>
              <w:rPr>
                <w:rFonts w:ascii="Times New Roman"/>
                <w:sz w:val="20"/>
              </w:rPr>
            </w:pPr>
          </w:p>
        </w:tc>
      </w:tr>
      <w:tr w:rsidR="008F03B5">
        <w:trPr>
          <w:trHeight w:val="258"/>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8"/>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18"/>
              </w:rPr>
            </w:pPr>
          </w:p>
        </w:tc>
        <w:tc>
          <w:tcPr>
            <w:tcW w:w="1136" w:type="dxa"/>
            <w:vMerge/>
            <w:tcBorders>
              <w:top w:val="nil"/>
            </w:tcBorders>
          </w:tcPr>
          <w:p w:rsidR="008F03B5" w:rsidRDefault="008F03B5">
            <w:pPr>
              <w:rPr>
                <w:sz w:val="2"/>
                <w:szCs w:val="2"/>
              </w:rPr>
            </w:pPr>
          </w:p>
        </w:tc>
        <w:tc>
          <w:tcPr>
            <w:tcW w:w="851" w:type="dxa"/>
            <w:gridSpan w:val="2"/>
            <w:vMerge/>
            <w:tcBorders>
              <w:top w:val="nil"/>
            </w:tcBorders>
          </w:tcPr>
          <w:p w:rsidR="008F03B5" w:rsidRDefault="008F03B5">
            <w:pPr>
              <w:rPr>
                <w:sz w:val="2"/>
                <w:szCs w:val="2"/>
              </w:rPr>
            </w:pPr>
          </w:p>
        </w:tc>
        <w:tc>
          <w:tcPr>
            <w:tcW w:w="884" w:type="dxa"/>
            <w:vMerge/>
            <w:tcBorders>
              <w:top w:val="nil"/>
            </w:tcBorders>
          </w:tcPr>
          <w:p w:rsidR="008F03B5" w:rsidRDefault="008F03B5">
            <w:pPr>
              <w:rPr>
                <w:sz w:val="2"/>
                <w:szCs w:val="2"/>
              </w:rPr>
            </w:pPr>
          </w:p>
        </w:tc>
        <w:tc>
          <w:tcPr>
            <w:tcW w:w="851" w:type="dxa"/>
            <w:vMerge/>
            <w:tcBorders>
              <w:top w:val="nil"/>
            </w:tcBorders>
          </w:tcPr>
          <w:p w:rsidR="008F03B5" w:rsidRDefault="008F03B5">
            <w:pPr>
              <w:rPr>
                <w:sz w:val="2"/>
                <w:szCs w:val="2"/>
              </w:rPr>
            </w:pPr>
          </w:p>
        </w:tc>
        <w:tc>
          <w:tcPr>
            <w:tcW w:w="706" w:type="dxa"/>
            <w:tcBorders>
              <w:top w:val="nil"/>
              <w:bottom w:val="nil"/>
            </w:tcBorders>
          </w:tcPr>
          <w:p w:rsidR="008F03B5" w:rsidRDefault="008F03B5">
            <w:pPr>
              <w:pStyle w:val="TableParagraph"/>
              <w:rPr>
                <w:rFonts w:ascii="Times New Roman"/>
                <w:sz w:val="18"/>
              </w:rPr>
            </w:pPr>
          </w:p>
        </w:tc>
        <w:tc>
          <w:tcPr>
            <w:tcW w:w="821" w:type="dxa"/>
            <w:vMerge/>
            <w:tcBorders>
              <w:top w:val="nil"/>
            </w:tcBorders>
          </w:tcPr>
          <w:p w:rsidR="008F03B5" w:rsidRDefault="008F03B5">
            <w:pPr>
              <w:rPr>
                <w:sz w:val="2"/>
                <w:szCs w:val="2"/>
              </w:rPr>
            </w:pPr>
          </w:p>
        </w:tc>
      </w:tr>
      <w:tr w:rsidR="008F03B5">
        <w:trPr>
          <w:trHeight w:val="143"/>
        </w:trPr>
        <w:tc>
          <w:tcPr>
            <w:tcW w:w="1419" w:type="dxa"/>
            <w:vMerge/>
            <w:tcBorders>
              <w:top w:val="nil"/>
            </w:tcBorders>
          </w:tcPr>
          <w:p w:rsidR="008F03B5" w:rsidRDefault="008F03B5">
            <w:pPr>
              <w:rPr>
                <w:sz w:val="2"/>
                <w:szCs w:val="2"/>
              </w:rPr>
            </w:pPr>
          </w:p>
        </w:tc>
        <w:tc>
          <w:tcPr>
            <w:tcW w:w="567" w:type="dxa"/>
            <w:vMerge w:val="restart"/>
            <w:tcBorders>
              <w:top w:val="nil"/>
              <w:bottom w:val="nil"/>
            </w:tcBorders>
          </w:tcPr>
          <w:p w:rsidR="008F03B5" w:rsidRDefault="008F03B5">
            <w:pPr>
              <w:pStyle w:val="TableParagraph"/>
              <w:rPr>
                <w:rFonts w:ascii="Times New Roman"/>
                <w:sz w:val="20"/>
              </w:rPr>
            </w:pPr>
          </w:p>
        </w:tc>
        <w:tc>
          <w:tcPr>
            <w:tcW w:w="1278" w:type="dxa"/>
            <w:vMerge/>
            <w:tcBorders>
              <w:top w:val="nil"/>
            </w:tcBorders>
          </w:tcPr>
          <w:p w:rsidR="008F03B5" w:rsidRDefault="008F03B5">
            <w:pPr>
              <w:rPr>
                <w:sz w:val="2"/>
                <w:szCs w:val="2"/>
              </w:rPr>
            </w:pPr>
          </w:p>
        </w:tc>
        <w:tc>
          <w:tcPr>
            <w:tcW w:w="1133" w:type="dxa"/>
            <w:tcBorders>
              <w:top w:val="nil"/>
            </w:tcBorders>
          </w:tcPr>
          <w:p w:rsidR="008F03B5" w:rsidRDefault="008F03B5">
            <w:pPr>
              <w:pStyle w:val="TableParagraph"/>
              <w:rPr>
                <w:rFonts w:ascii="Times New Roman"/>
                <w:sz w:val="8"/>
              </w:rPr>
            </w:pPr>
          </w:p>
        </w:tc>
        <w:tc>
          <w:tcPr>
            <w:tcW w:w="1136" w:type="dxa"/>
            <w:vMerge/>
            <w:tcBorders>
              <w:top w:val="nil"/>
            </w:tcBorders>
          </w:tcPr>
          <w:p w:rsidR="008F03B5" w:rsidRDefault="008F03B5">
            <w:pPr>
              <w:rPr>
                <w:sz w:val="2"/>
                <w:szCs w:val="2"/>
              </w:rPr>
            </w:pPr>
          </w:p>
        </w:tc>
        <w:tc>
          <w:tcPr>
            <w:tcW w:w="851" w:type="dxa"/>
            <w:gridSpan w:val="2"/>
            <w:vMerge/>
            <w:tcBorders>
              <w:top w:val="nil"/>
            </w:tcBorders>
          </w:tcPr>
          <w:p w:rsidR="008F03B5" w:rsidRDefault="008F03B5">
            <w:pPr>
              <w:rPr>
                <w:sz w:val="2"/>
                <w:szCs w:val="2"/>
              </w:rPr>
            </w:pPr>
          </w:p>
        </w:tc>
        <w:tc>
          <w:tcPr>
            <w:tcW w:w="884" w:type="dxa"/>
            <w:vMerge/>
            <w:tcBorders>
              <w:top w:val="nil"/>
            </w:tcBorders>
          </w:tcPr>
          <w:p w:rsidR="008F03B5" w:rsidRDefault="008F03B5">
            <w:pPr>
              <w:rPr>
                <w:sz w:val="2"/>
                <w:szCs w:val="2"/>
              </w:rPr>
            </w:pPr>
          </w:p>
        </w:tc>
        <w:tc>
          <w:tcPr>
            <w:tcW w:w="851" w:type="dxa"/>
            <w:vMerge/>
            <w:tcBorders>
              <w:top w:val="nil"/>
            </w:tcBorders>
          </w:tcPr>
          <w:p w:rsidR="008F03B5" w:rsidRDefault="008F03B5">
            <w:pPr>
              <w:rPr>
                <w:sz w:val="2"/>
                <w:szCs w:val="2"/>
              </w:rPr>
            </w:pPr>
          </w:p>
        </w:tc>
        <w:tc>
          <w:tcPr>
            <w:tcW w:w="706" w:type="dxa"/>
            <w:tcBorders>
              <w:top w:val="nil"/>
            </w:tcBorders>
          </w:tcPr>
          <w:p w:rsidR="008F03B5" w:rsidRDefault="008F03B5">
            <w:pPr>
              <w:pStyle w:val="TableParagraph"/>
              <w:rPr>
                <w:rFonts w:ascii="Times New Roman"/>
                <w:sz w:val="8"/>
              </w:rPr>
            </w:pPr>
          </w:p>
        </w:tc>
        <w:tc>
          <w:tcPr>
            <w:tcW w:w="821" w:type="dxa"/>
            <w:vMerge/>
            <w:tcBorders>
              <w:top w:val="nil"/>
            </w:tcBorders>
          </w:tcPr>
          <w:p w:rsidR="008F03B5" w:rsidRDefault="008F03B5">
            <w:pPr>
              <w:rPr>
                <w:sz w:val="2"/>
                <w:szCs w:val="2"/>
              </w:rPr>
            </w:pPr>
          </w:p>
        </w:tc>
      </w:tr>
      <w:tr w:rsidR="008F03B5">
        <w:trPr>
          <w:trHeight w:val="280"/>
        </w:trPr>
        <w:tc>
          <w:tcPr>
            <w:tcW w:w="1419" w:type="dxa"/>
            <w:vMerge/>
            <w:tcBorders>
              <w:top w:val="nil"/>
            </w:tcBorders>
          </w:tcPr>
          <w:p w:rsidR="008F03B5" w:rsidRDefault="008F03B5">
            <w:pPr>
              <w:rPr>
                <w:sz w:val="2"/>
                <w:szCs w:val="2"/>
              </w:rPr>
            </w:pPr>
          </w:p>
        </w:tc>
        <w:tc>
          <w:tcPr>
            <w:tcW w:w="567" w:type="dxa"/>
            <w:vMerge/>
            <w:tcBorders>
              <w:top w:val="nil"/>
              <w:bottom w:val="nil"/>
            </w:tcBorders>
          </w:tcPr>
          <w:p w:rsidR="008F03B5" w:rsidRDefault="008F03B5">
            <w:pPr>
              <w:rPr>
                <w:sz w:val="2"/>
                <w:szCs w:val="2"/>
              </w:rPr>
            </w:pPr>
          </w:p>
        </w:tc>
        <w:tc>
          <w:tcPr>
            <w:tcW w:w="1278" w:type="dxa"/>
            <w:vMerge/>
            <w:tcBorders>
              <w:top w:val="nil"/>
            </w:tcBorders>
          </w:tcPr>
          <w:p w:rsidR="008F03B5" w:rsidRDefault="008F03B5">
            <w:pPr>
              <w:rPr>
                <w:sz w:val="2"/>
                <w:szCs w:val="2"/>
              </w:rPr>
            </w:pPr>
          </w:p>
        </w:tc>
        <w:tc>
          <w:tcPr>
            <w:tcW w:w="1133" w:type="dxa"/>
            <w:tcBorders>
              <w:bottom w:val="nil"/>
            </w:tcBorders>
          </w:tcPr>
          <w:p w:rsidR="008F03B5" w:rsidRDefault="00586B9B">
            <w:pPr>
              <w:pStyle w:val="TableParagraph"/>
              <w:spacing w:line="260" w:lineRule="exact"/>
              <w:ind w:left="106"/>
            </w:pPr>
            <w:r>
              <w:t>4.65</w:t>
            </w:r>
          </w:p>
        </w:tc>
        <w:tc>
          <w:tcPr>
            <w:tcW w:w="1136" w:type="dxa"/>
            <w:vMerge w:val="restart"/>
          </w:tcPr>
          <w:p w:rsidR="008F03B5" w:rsidRDefault="00586B9B">
            <w:pPr>
              <w:pStyle w:val="TableParagraph"/>
              <w:ind w:left="106" w:right="296"/>
            </w:pPr>
            <w:r>
              <w:t>Placebo N= 49</w:t>
            </w:r>
          </w:p>
        </w:tc>
        <w:tc>
          <w:tcPr>
            <w:tcW w:w="851" w:type="dxa"/>
            <w:gridSpan w:val="2"/>
            <w:vMerge w:val="restart"/>
          </w:tcPr>
          <w:p w:rsidR="008F03B5" w:rsidRDefault="008F03B5">
            <w:pPr>
              <w:pStyle w:val="TableParagraph"/>
              <w:rPr>
                <w:rFonts w:ascii="Times New Roman"/>
                <w:sz w:val="20"/>
              </w:rPr>
            </w:pPr>
          </w:p>
        </w:tc>
        <w:tc>
          <w:tcPr>
            <w:tcW w:w="884" w:type="dxa"/>
            <w:vMerge w:val="restart"/>
          </w:tcPr>
          <w:p w:rsidR="008F03B5" w:rsidRDefault="008F03B5">
            <w:pPr>
              <w:pStyle w:val="TableParagraph"/>
              <w:rPr>
                <w:rFonts w:ascii="Times New Roman"/>
                <w:sz w:val="20"/>
              </w:rPr>
            </w:pPr>
          </w:p>
        </w:tc>
        <w:tc>
          <w:tcPr>
            <w:tcW w:w="851" w:type="dxa"/>
            <w:vMerge w:val="restart"/>
          </w:tcPr>
          <w:p w:rsidR="008F03B5" w:rsidRDefault="008F03B5">
            <w:pPr>
              <w:pStyle w:val="TableParagraph"/>
              <w:rPr>
                <w:rFonts w:ascii="Times New Roman"/>
                <w:sz w:val="20"/>
              </w:rPr>
            </w:pPr>
          </w:p>
        </w:tc>
        <w:tc>
          <w:tcPr>
            <w:tcW w:w="706" w:type="dxa"/>
            <w:tcBorders>
              <w:bottom w:val="nil"/>
            </w:tcBorders>
          </w:tcPr>
          <w:p w:rsidR="008F03B5" w:rsidRDefault="00586B9B">
            <w:pPr>
              <w:pStyle w:val="TableParagraph"/>
              <w:spacing w:line="260" w:lineRule="exact"/>
              <w:ind w:left="102"/>
            </w:pPr>
            <w:r>
              <w:t>+0.2</w:t>
            </w:r>
          </w:p>
        </w:tc>
        <w:tc>
          <w:tcPr>
            <w:tcW w:w="821" w:type="dxa"/>
            <w:vMerge w:val="restart"/>
          </w:tcPr>
          <w:p w:rsidR="008F03B5" w:rsidRDefault="008F03B5">
            <w:pPr>
              <w:pStyle w:val="TableParagraph"/>
              <w:rPr>
                <w:rFonts w:ascii="Times New Roman"/>
                <w:sz w:val="20"/>
              </w:rPr>
            </w:pPr>
          </w:p>
        </w:tc>
      </w:tr>
      <w:tr w:rsidR="008F03B5">
        <w:trPr>
          <w:trHeight w:val="373"/>
        </w:trPr>
        <w:tc>
          <w:tcPr>
            <w:tcW w:w="1419" w:type="dxa"/>
            <w:vMerge/>
            <w:tcBorders>
              <w:top w:val="nil"/>
            </w:tcBorders>
          </w:tcPr>
          <w:p w:rsidR="008F03B5" w:rsidRDefault="008F03B5">
            <w:pPr>
              <w:rPr>
                <w:sz w:val="2"/>
                <w:szCs w:val="2"/>
              </w:rPr>
            </w:pPr>
          </w:p>
        </w:tc>
        <w:tc>
          <w:tcPr>
            <w:tcW w:w="567" w:type="dxa"/>
            <w:tcBorders>
              <w:top w:val="nil"/>
            </w:tcBorders>
          </w:tcPr>
          <w:p w:rsidR="008F03B5" w:rsidRDefault="008F03B5">
            <w:pPr>
              <w:pStyle w:val="TableParagraph"/>
              <w:rPr>
                <w:rFonts w:ascii="Times New Roman"/>
                <w:sz w:val="20"/>
              </w:rPr>
            </w:pPr>
          </w:p>
        </w:tc>
        <w:tc>
          <w:tcPr>
            <w:tcW w:w="1278" w:type="dxa"/>
            <w:vMerge/>
            <w:tcBorders>
              <w:top w:val="nil"/>
            </w:tcBorders>
          </w:tcPr>
          <w:p w:rsidR="008F03B5" w:rsidRDefault="008F03B5">
            <w:pPr>
              <w:rPr>
                <w:sz w:val="2"/>
                <w:szCs w:val="2"/>
              </w:rPr>
            </w:pPr>
          </w:p>
        </w:tc>
        <w:tc>
          <w:tcPr>
            <w:tcW w:w="1133" w:type="dxa"/>
            <w:tcBorders>
              <w:top w:val="nil"/>
            </w:tcBorders>
          </w:tcPr>
          <w:p w:rsidR="008F03B5" w:rsidRDefault="008F03B5">
            <w:pPr>
              <w:pStyle w:val="TableParagraph"/>
              <w:rPr>
                <w:rFonts w:ascii="Times New Roman"/>
                <w:sz w:val="20"/>
              </w:rPr>
            </w:pPr>
          </w:p>
        </w:tc>
        <w:tc>
          <w:tcPr>
            <w:tcW w:w="1136" w:type="dxa"/>
            <w:vMerge/>
            <w:tcBorders>
              <w:top w:val="nil"/>
            </w:tcBorders>
          </w:tcPr>
          <w:p w:rsidR="008F03B5" w:rsidRDefault="008F03B5">
            <w:pPr>
              <w:rPr>
                <w:sz w:val="2"/>
                <w:szCs w:val="2"/>
              </w:rPr>
            </w:pPr>
          </w:p>
        </w:tc>
        <w:tc>
          <w:tcPr>
            <w:tcW w:w="851" w:type="dxa"/>
            <w:gridSpan w:val="2"/>
            <w:vMerge/>
            <w:tcBorders>
              <w:top w:val="nil"/>
            </w:tcBorders>
          </w:tcPr>
          <w:p w:rsidR="008F03B5" w:rsidRDefault="008F03B5">
            <w:pPr>
              <w:rPr>
                <w:sz w:val="2"/>
                <w:szCs w:val="2"/>
              </w:rPr>
            </w:pPr>
          </w:p>
        </w:tc>
        <w:tc>
          <w:tcPr>
            <w:tcW w:w="884" w:type="dxa"/>
            <w:vMerge/>
            <w:tcBorders>
              <w:top w:val="nil"/>
            </w:tcBorders>
          </w:tcPr>
          <w:p w:rsidR="008F03B5" w:rsidRDefault="008F03B5">
            <w:pPr>
              <w:rPr>
                <w:sz w:val="2"/>
                <w:szCs w:val="2"/>
              </w:rPr>
            </w:pPr>
          </w:p>
        </w:tc>
        <w:tc>
          <w:tcPr>
            <w:tcW w:w="851" w:type="dxa"/>
            <w:vMerge/>
            <w:tcBorders>
              <w:top w:val="nil"/>
            </w:tcBorders>
          </w:tcPr>
          <w:p w:rsidR="008F03B5" w:rsidRDefault="008F03B5">
            <w:pPr>
              <w:rPr>
                <w:sz w:val="2"/>
                <w:szCs w:val="2"/>
              </w:rPr>
            </w:pPr>
          </w:p>
        </w:tc>
        <w:tc>
          <w:tcPr>
            <w:tcW w:w="706" w:type="dxa"/>
            <w:tcBorders>
              <w:top w:val="nil"/>
            </w:tcBorders>
          </w:tcPr>
          <w:p w:rsidR="008F03B5" w:rsidRDefault="00586B9B">
            <w:pPr>
              <w:pStyle w:val="TableParagraph"/>
              <w:spacing w:line="244" w:lineRule="exact"/>
              <w:ind w:left="102"/>
            </w:pPr>
            <w:r>
              <w:t>3</w:t>
            </w:r>
          </w:p>
        </w:tc>
        <w:tc>
          <w:tcPr>
            <w:tcW w:w="821" w:type="dxa"/>
            <w:vMerge/>
            <w:tcBorders>
              <w:top w:val="nil"/>
            </w:tcBorders>
          </w:tcPr>
          <w:p w:rsidR="008F03B5" w:rsidRDefault="008F03B5">
            <w:pPr>
              <w:rPr>
                <w:sz w:val="2"/>
                <w:szCs w:val="2"/>
              </w:rPr>
            </w:pPr>
          </w:p>
        </w:tc>
      </w:tr>
      <w:tr w:rsidR="008F03B5">
        <w:trPr>
          <w:trHeight w:val="280"/>
        </w:trPr>
        <w:tc>
          <w:tcPr>
            <w:tcW w:w="1419" w:type="dxa"/>
            <w:vMerge w:val="restart"/>
            <w:shd w:val="clear" w:color="auto" w:fill="F1F1F1"/>
          </w:tcPr>
          <w:p w:rsidR="008F03B5" w:rsidRDefault="00586B9B">
            <w:pPr>
              <w:pStyle w:val="TableParagraph"/>
              <w:spacing w:line="265" w:lineRule="exact"/>
              <w:ind w:left="107"/>
              <w:rPr>
                <w:b/>
              </w:rPr>
            </w:pPr>
            <w:r>
              <w:rPr>
                <w:b/>
              </w:rPr>
              <w:t>OPAL-HK</w:t>
            </w:r>
          </w:p>
          <w:p w:rsidR="008F03B5" w:rsidRDefault="00586B9B">
            <w:pPr>
              <w:pStyle w:val="TableParagraph"/>
              <w:spacing w:line="268" w:lineRule="exact"/>
              <w:ind w:left="107"/>
              <w:rPr>
                <w:b/>
              </w:rPr>
            </w:pPr>
            <w:r>
              <w:rPr>
                <w:b/>
              </w:rPr>
              <w:t>Weir 2015</w:t>
            </w:r>
            <w:r>
              <w:rPr>
                <w:b/>
                <w:vertAlign w:val="superscript"/>
              </w:rPr>
              <w:t>6</w:t>
            </w:r>
          </w:p>
          <w:p w:rsidR="008F03B5" w:rsidRDefault="00586B9B">
            <w:pPr>
              <w:pStyle w:val="TableParagraph"/>
              <w:spacing w:line="268" w:lineRule="exact"/>
              <w:ind w:left="107"/>
            </w:pPr>
            <w:r>
              <w:t>Phase III trial</w:t>
            </w:r>
          </w:p>
        </w:tc>
        <w:tc>
          <w:tcPr>
            <w:tcW w:w="567" w:type="dxa"/>
            <w:tcBorders>
              <w:bottom w:val="nil"/>
            </w:tcBorders>
            <w:shd w:val="clear" w:color="auto" w:fill="F1F1F1"/>
          </w:tcPr>
          <w:p w:rsidR="008F03B5" w:rsidRDefault="00586B9B">
            <w:pPr>
              <w:pStyle w:val="TableParagraph"/>
              <w:spacing w:line="260" w:lineRule="exact"/>
              <w:ind w:left="107"/>
            </w:pPr>
            <w:r>
              <w:t>243</w:t>
            </w:r>
          </w:p>
        </w:tc>
        <w:tc>
          <w:tcPr>
            <w:tcW w:w="1278" w:type="dxa"/>
            <w:vMerge w:val="restart"/>
            <w:shd w:val="clear" w:color="auto" w:fill="F1F1F1"/>
          </w:tcPr>
          <w:p w:rsidR="008F03B5" w:rsidRDefault="00586B9B">
            <w:pPr>
              <w:pStyle w:val="TableParagraph"/>
              <w:ind w:left="106" w:right="201"/>
            </w:pPr>
            <w:r>
              <w:t xml:space="preserve">Phase 1 </w:t>
            </w:r>
            <w:r>
              <w:rPr>
                <w:i/>
              </w:rPr>
              <w:t xml:space="preserve">Treatment </w:t>
            </w:r>
            <w:r>
              <w:t>4 weeks</w:t>
            </w:r>
          </w:p>
        </w:tc>
        <w:tc>
          <w:tcPr>
            <w:tcW w:w="1133" w:type="dxa"/>
            <w:tcBorders>
              <w:bottom w:val="nil"/>
            </w:tcBorders>
            <w:shd w:val="clear" w:color="auto" w:fill="F1F1F1"/>
          </w:tcPr>
          <w:p w:rsidR="008F03B5" w:rsidRDefault="00586B9B">
            <w:pPr>
              <w:pStyle w:val="TableParagraph"/>
              <w:spacing w:line="260" w:lineRule="exact"/>
              <w:ind w:left="106"/>
            </w:pPr>
            <w:r>
              <w:t>5.3</w:t>
            </w:r>
          </w:p>
        </w:tc>
        <w:tc>
          <w:tcPr>
            <w:tcW w:w="1136" w:type="dxa"/>
            <w:tcBorders>
              <w:bottom w:val="nil"/>
            </w:tcBorders>
            <w:shd w:val="clear" w:color="auto" w:fill="F1F1F1"/>
          </w:tcPr>
          <w:p w:rsidR="008F03B5" w:rsidRDefault="00586B9B">
            <w:pPr>
              <w:pStyle w:val="TableParagraph"/>
              <w:spacing w:line="260" w:lineRule="exact"/>
              <w:ind w:left="106"/>
            </w:pPr>
            <w:r>
              <w:t>Mild HK</w:t>
            </w:r>
          </w:p>
        </w:tc>
        <w:tc>
          <w:tcPr>
            <w:tcW w:w="851" w:type="dxa"/>
            <w:gridSpan w:val="2"/>
            <w:tcBorders>
              <w:bottom w:val="nil"/>
            </w:tcBorders>
            <w:shd w:val="clear" w:color="auto" w:fill="F1F1F1"/>
          </w:tcPr>
          <w:p w:rsidR="008F03B5" w:rsidRDefault="00586B9B">
            <w:pPr>
              <w:pStyle w:val="TableParagraph"/>
              <w:spacing w:line="260" w:lineRule="exact"/>
              <w:ind w:left="103"/>
            </w:pPr>
            <w:r>
              <w:t>-0.65</w:t>
            </w:r>
          </w:p>
        </w:tc>
        <w:tc>
          <w:tcPr>
            <w:tcW w:w="884" w:type="dxa"/>
            <w:vMerge w:val="restart"/>
            <w:shd w:val="clear" w:color="auto" w:fill="F1F1F1"/>
          </w:tcPr>
          <w:p w:rsidR="008F03B5" w:rsidRDefault="008F03B5">
            <w:pPr>
              <w:pStyle w:val="TableParagraph"/>
              <w:rPr>
                <w:rFonts w:ascii="Times New Roman"/>
                <w:sz w:val="20"/>
              </w:rPr>
            </w:pPr>
          </w:p>
        </w:tc>
        <w:tc>
          <w:tcPr>
            <w:tcW w:w="851" w:type="dxa"/>
            <w:vMerge w:val="restart"/>
            <w:shd w:val="clear" w:color="auto" w:fill="F1F1F1"/>
          </w:tcPr>
          <w:p w:rsidR="008F03B5" w:rsidRDefault="008F03B5">
            <w:pPr>
              <w:pStyle w:val="TableParagraph"/>
              <w:rPr>
                <w:rFonts w:ascii="Times New Roman"/>
                <w:sz w:val="20"/>
              </w:rPr>
            </w:pPr>
          </w:p>
        </w:tc>
        <w:tc>
          <w:tcPr>
            <w:tcW w:w="706" w:type="dxa"/>
            <w:vMerge w:val="restart"/>
            <w:shd w:val="clear" w:color="auto" w:fill="F1F1F1"/>
          </w:tcPr>
          <w:p w:rsidR="008F03B5" w:rsidRDefault="008F03B5">
            <w:pPr>
              <w:pStyle w:val="TableParagraph"/>
              <w:rPr>
                <w:rFonts w:ascii="Times New Roman"/>
                <w:sz w:val="20"/>
              </w:rPr>
            </w:pPr>
          </w:p>
        </w:tc>
        <w:tc>
          <w:tcPr>
            <w:tcW w:w="821" w:type="dxa"/>
            <w:vMerge w:val="restart"/>
            <w:shd w:val="clear" w:color="auto" w:fill="F1F1F1"/>
          </w:tcPr>
          <w:p w:rsidR="008F03B5" w:rsidRDefault="008F03B5">
            <w:pPr>
              <w:pStyle w:val="TableParagraph"/>
              <w:rPr>
                <w:rFonts w:ascii="Times New Roman"/>
                <w:sz w:val="20"/>
              </w:rPr>
            </w:pPr>
          </w:p>
        </w:tc>
      </w:tr>
      <w:tr w:rsidR="008F03B5">
        <w:trPr>
          <w:trHeight w:val="257"/>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tcBorders>
              <w:top w:val="nil"/>
              <w:bottom w:val="nil"/>
            </w:tcBorders>
            <w:shd w:val="clear" w:color="auto" w:fill="F1F1F1"/>
          </w:tcPr>
          <w:p w:rsidR="008F03B5" w:rsidRDefault="00586B9B">
            <w:pPr>
              <w:pStyle w:val="TableParagraph"/>
              <w:spacing w:line="238" w:lineRule="exact"/>
              <w:ind w:left="106"/>
            </w:pPr>
            <w:r>
              <w:t>5.0-5.4</w:t>
            </w:r>
          </w:p>
        </w:tc>
        <w:tc>
          <w:tcPr>
            <w:tcW w:w="851" w:type="dxa"/>
            <w:gridSpan w:val="2"/>
            <w:tcBorders>
              <w:top w:val="nil"/>
              <w:bottom w:val="nil"/>
            </w:tcBorders>
            <w:shd w:val="clear" w:color="auto" w:fill="F1F1F1"/>
          </w:tcPr>
          <w:p w:rsidR="008F03B5" w:rsidRDefault="008F03B5">
            <w:pPr>
              <w:pStyle w:val="TableParagraph"/>
              <w:rPr>
                <w:rFonts w:ascii="Times New Roman"/>
                <w:sz w:val="18"/>
              </w:rPr>
            </w:pPr>
          </w:p>
        </w:tc>
        <w:tc>
          <w:tcPr>
            <w:tcW w:w="884" w:type="dxa"/>
            <w:vMerge/>
            <w:tcBorders>
              <w:top w:val="nil"/>
            </w:tcBorders>
            <w:shd w:val="clear" w:color="auto" w:fill="F1F1F1"/>
          </w:tcPr>
          <w:p w:rsidR="008F03B5" w:rsidRDefault="008F03B5">
            <w:pPr>
              <w:rPr>
                <w:sz w:val="2"/>
                <w:szCs w:val="2"/>
              </w:rPr>
            </w:pP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45"/>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tcBorders>
            <w:shd w:val="clear" w:color="auto" w:fill="F1F1F1"/>
          </w:tcPr>
          <w:p w:rsidR="008F03B5" w:rsidRDefault="008F03B5">
            <w:pPr>
              <w:pStyle w:val="TableParagraph"/>
              <w:rPr>
                <w:rFonts w:ascii="Times New Roman"/>
                <w:sz w:val="16"/>
              </w:rPr>
            </w:pPr>
          </w:p>
        </w:tc>
        <w:tc>
          <w:tcPr>
            <w:tcW w:w="1136" w:type="dxa"/>
            <w:tcBorders>
              <w:top w:val="nil"/>
            </w:tcBorders>
            <w:shd w:val="clear" w:color="auto" w:fill="F1F1F1"/>
          </w:tcPr>
          <w:p w:rsidR="008F03B5" w:rsidRDefault="00586B9B">
            <w:pPr>
              <w:pStyle w:val="TableParagraph"/>
              <w:spacing w:line="226" w:lineRule="exact"/>
              <w:ind w:left="106"/>
            </w:pPr>
            <w:r>
              <w:t>N= 92</w:t>
            </w:r>
          </w:p>
        </w:tc>
        <w:tc>
          <w:tcPr>
            <w:tcW w:w="851" w:type="dxa"/>
            <w:gridSpan w:val="2"/>
            <w:tcBorders>
              <w:top w:val="nil"/>
            </w:tcBorders>
            <w:shd w:val="clear" w:color="auto" w:fill="F1F1F1"/>
          </w:tcPr>
          <w:p w:rsidR="008F03B5" w:rsidRDefault="008F03B5">
            <w:pPr>
              <w:pStyle w:val="TableParagraph"/>
              <w:rPr>
                <w:rFonts w:ascii="Times New Roman"/>
                <w:sz w:val="16"/>
              </w:rPr>
            </w:pPr>
          </w:p>
        </w:tc>
        <w:tc>
          <w:tcPr>
            <w:tcW w:w="884" w:type="dxa"/>
            <w:vMerge/>
            <w:tcBorders>
              <w:top w:val="nil"/>
            </w:tcBorders>
            <w:shd w:val="clear" w:color="auto" w:fill="F1F1F1"/>
          </w:tcPr>
          <w:p w:rsidR="008F03B5" w:rsidRDefault="008F03B5">
            <w:pPr>
              <w:rPr>
                <w:sz w:val="2"/>
                <w:szCs w:val="2"/>
              </w:rPr>
            </w:pP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81"/>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20"/>
              </w:rPr>
            </w:pPr>
          </w:p>
        </w:tc>
        <w:tc>
          <w:tcPr>
            <w:tcW w:w="1278" w:type="dxa"/>
            <w:vMerge/>
            <w:tcBorders>
              <w:top w:val="nil"/>
            </w:tcBorders>
            <w:shd w:val="clear" w:color="auto" w:fill="F1F1F1"/>
          </w:tcPr>
          <w:p w:rsidR="008F03B5" w:rsidRDefault="008F03B5">
            <w:pPr>
              <w:rPr>
                <w:sz w:val="2"/>
                <w:szCs w:val="2"/>
              </w:rPr>
            </w:pPr>
          </w:p>
        </w:tc>
        <w:tc>
          <w:tcPr>
            <w:tcW w:w="1133" w:type="dxa"/>
            <w:tcBorders>
              <w:bottom w:val="nil"/>
            </w:tcBorders>
            <w:shd w:val="clear" w:color="auto" w:fill="F1F1F1"/>
          </w:tcPr>
          <w:p w:rsidR="008F03B5" w:rsidRDefault="00586B9B">
            <w:pPr>
              <w:pStyle w:val="TableParagraph"/>
              <w:spacing w:line="262" w:lineRule="exact"/>
              <w:ind w:left="106"/>
            </w:pPr>
            <w:r>
              <w:t>5.7</w:t>
            </w:r>
          </w:p>
        </w:tc>
        <w:tc>
          <w:tcPr>
            <w:tcW w:w="1136" w:type="dxa"/>
            <w:tcBorders>
              <w:bottom w:val="nil"/>
            </w:tcBorders>
            <w:shd w:val="clear" w:color="auto" w:fill="F1F1F1"/>
          </w:tcPr>
          <w:p w:rsidR="008F03B5" w:rsidRDefault="00586B9B">
            <w:pPr>
              <w:pStyle w:val="TableParagraph"/>
              <w:spacing w:line="262" w:lineRule="exact"/>
              <w:ind w:left="106"/>
            </w:pPr>
            <w:r>
              <w:t>Mod-Sev</w:t>
            </w:r>
          </w:p>
        </w:tc>
        <w:tc>
          <w:tcPr>
            <w:tcW w:w="851" w:type="dxa"/>
            <w:gridSpan w:val="2"/>
            <w:vMerge w:val="restart"/>
            <w:shd w:val="clear" w:color="auto" w:fill="F1F1F1"/>
          </w:tcPr>
          <w:p w:rsidR="008F03B5" w:rsidRDefault="008F03B5">
            <w:pPr>
              <w:pStyle w:val="TableParagraph"/>
              <w:rPr>
                <w:rFonts w:ascii="Times New Roman"/>
                <w:sz w:val="20"/>
              </w:rPr>
            </w:pPr>
          </w:p>
        </w:tc>
        <w:tc>
          <w:tcPr>
            <w:tcW w:w="884" w:type="dxa"/>
            <w:tcBorders>
              <w:bottom w:val="nil"/>
            </w:tcBorders>
            <w:shd w:val="clear" w:color="auto" w:fill="F1F1F1"/>
          </w:tcPr>
          <w:p w:rsidR="008F03B5" w:rsidRDefault="00586B9B">
            <w:pPr>
              <w:pStyle w:val="TableParagraph"/>
              <w:spacing w:line="262" w:lineRule="exact"/>
              <w:ind w:left="104"/>
            </w:pPr>
            <w:r>
              <w:t>-1.23</w:t>
            </w:r>
          </w:p>
        </w:tc>
        <w:tc>
          <w:tcPr>
            <w:tcW w:w="851" w:type="dxa"/>
            <w:vMerge w:val="restart"/>
            <w:shd w:val="clear" w:color="auto" w:fill="F1F1F1"/>
          </w:tcPr>
          <w:p w:rsidR="008F03B5" w:rsidRDefault="008F03B5">
            <w:pPr>
              <w:pStyle w:val="TableParagraph"/>
              <w:rPr>
                <w:rFonts w:ascii="Times New Roman"/>
                <w:sz w:val="20"/>
              </w:rPr>
            </w:pPr>
          </w:p>
        </w:tc>
        <w:tc>
          <w:tcPr>
            <w:tcW w:w="706" w:type="dxa"/>
            <w:vMerge w:val="restart"/>
            <w:shd w:val="clear" w:color="auto" w:fill="F1F1F1"/>
          </w:tcPr>
          <w:p w:rsidR="008F03B5" w:rsidRDefault="008F03B5">
            <w:pPr>
              <w:pStyle w:val="TableParagraph"/>
              <w:rPr>
                <w:rFonts w:ascii="Times New Roman"/>
                <w:sz w:val="20"/>
              </w:rPr>
            </w:pPr>
          </w:p>
        </w:tc>
        <w:tc>
          <w:tcPr>
            <w:tcW w:w="821" w:type="dxa"/>
            <w:vMerge w:val="restart"/>
            <w:shd w:val="clear" w:color="auto" w:fill="F1F1F1"/>
          </w:tcPr>
          <w:p w:rsidR="008F03B5" w:rsidRDefault="008F03B5">
            <w:pPr>
              <w:pStyle w:val="TableParagraph"/>
              <w:rPr>
                <w:rFonts w:ascii="Times New Roman"/>
                <w:sz w:val="20"/>
              </w:rPr>
            </w:pPr>
          </w:p>
        </w:tc>
      </w:tr>
      <w:tr w:rsidR="008F03B5">
        <w:trPr>
          <w:trHeight w:val="257"/>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tcBorders>
              <w:top w:val="nil"/>
              <w:bottom w:val="nil"/>
            </w:tcBorders>
            <w:shd w:val="clear" w:color="auto" w:fill="F1F1F1"/>
          </w:tcPr>
          <w:p w:rsidR="008F03B5" w:rsidRDefault="00586B9B">
            <w:pPr>
              <w:pStyle w:val="TableParagraph"/>
              <w:spacing w:line="238" w:lineRule="exact"/>
              <w:ind w:left="106"/>
            </w:pPr>
            <w:r>
              <w:t>HK</w:t>
            </w: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bottom w:val="nil"/>
            </w:tcBorders>
            <w:shd w:val="clear" w:color="auto" w:fill="F1F1F1"/>
          </w:tcPr>
          <w:p w:rsidR="008F03B5" w:rsidRDefault="008F03B5">
            <w:pPr>
              <w:pStyle w:val="TableParagraph"/>
              <w:rPr>
                <w:rFonts w:ascii="Times New Roman"/>
                <w:sz w:val="18"/>
              </w:rPr>
            </w:pP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tcBorders>
              <w:top w:val="nil"/>
              <w:bottom w:val="nil"/>
            </w:tcBorders>
            <w:shd w:val="clear" w:color="auto" w:fill="F1F1F1"/>
          </w:tcPr>
          <w:p w:rsidR="008F03B5" w:rsidRDefault="00586B9B">
            <w:pPr>
              <w:pStyle w:val="TableParagraph"/>
              <w:spacing w:line="239" w:lineRule="exact"/>
              <w:ind w:left="106"/>
            </w:pPr>
            <w:r>
              <w:t>5.5-6.4</w:t>
            </w: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bottom w:val="nil"/>
            </w:tcBorders>
            <w:shd w:val="clear" w:color="auto" w:fill="F1F1F1"/>
          </w:tcPr>
          <w:p w:rsidR="008F03B5" w:rsidRDefault="008F03B5">
            <w:pPr>
              <w:pStyle w:val="TableParagraph"/>
              <w:rPr>
                <w:rFonts w:ascii="Times New Roman"/>
                <w:sz w:val="18"/>
              </w:rPr>
            </w:pP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46"/>
        </w:trPr>
        <w:tc>
          <w:tcPr>
            <w:tcW w:w="1419" w:type="dxa"/>
            <w:vMerge/>
            <w:tcBorders>
              <w:top w:val="nil"/>
            </w:tcBorders>
            <w:shd w:val="clear" w:color="auto" w:fill="F1F1F1"/>
          </w:tcPr>
          <w:p w:rsidR="008F03B5" w:rsidRDefault="008F03B5">
            <w:pPr>
              <w:rPr>
                <w:sz w:val="2"/>
                <w:szCs w:val="2"/>
              </w:rPr>
            </w:pPr>
          </w:p>
        </w:tc>
        <w:tc>
          <w:tcPr>
            <w:tcW w:w="567" w:type="dxa"/>
            <w:tcBorders>
              <w:top w:val="nil"/>
            </w:tcBorders>
            <w:shd w:val="clear" w:color="auto" w:fill="F1F1F1"/>
          </w:tcPr>
          <w:p w:rsidR="008F03B5" w:rsidRDefault="008F03B5">
            <w:pPr>
              <w:pStyle w:val="TableParagraph"/>
              <w:rPr>
                <w:rFonts w:ascii="Times New Roman"/>
                <w:sz w:val="16"/>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tcBorders>
            <w:shd w:val="clear" w:color="auto" w:fill="F1F1F1"/>
          </w:tcPr>
          <w:p w:rsidR="008F03B5" w:rsidRDefault="008F03B5">
            <w:pPr>
              <w:pStyle w:val="TableParagraph"/>
              <w:rPr>
                <w:rFonts w:ascii="Times New Roman"/>
                <w:sz w:val="16"/>
              </w:rPr>
            </w:pPr>
          </w:p>
        </w:tc>
        <w:tc>
          <w:tcPr>
            <w:tcW w:w="1136" w:type="dxa"/>
            <w:tcBorders>
              <w:top w:val="nil"/>
            </w:tcBorders>
            <w:shd w:val="clear" w:color="auto" w:fill="F1F1F1"/>
          </w:tcPr>
          <w:p w:rsidR="008F03B5" w:rsidRDefault="00586B9B">
            <w:pPr>
              <w:pStyle w:val="TableParagraph"/>
              <w:spacing w:line="227" w:lineRule="exact"/>
              <w:ind w:left="106"/>
            </w:pPr>
            <w:r>
              <w:t>N= 151</w:t>
            </w: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tcBorders>
            <w:shd w:val="clear" w:color="auto" w:fill="F1F1F1"/>
          </w:tcPr>
          <w:p w:rsidR="008F03B5" w:rsidRDefault="008F03B5">
            <w:pPr>
              <w:pStyle w:val="TableParagraph"/>
              <w:rPr>
                <w:rFonts w:ascii="Times New Roman"/>
                <w:sz w:val="16"/>
              </w:rPr>
            </w:pP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80"/>
        </w:trPr>
        <w:tc>
          <w:tcPr>
            <w:tcW w:w="1419" w:type="dxa"/>
            <w:vMerge/>
            <w:tcBorders>
              <w:top w:val="nil"/>
            </w:tcBorders>
            <w:shd w:val="clear" w:color="auto" w:fill="F1F1F1"/>
          </w:tcPr>
          <w:p w:rsidR="008F03B5" w:rsidRDefault="008F03B5">
            <w:pPr>
              <w:rPr>
                <w:sz w:val="2"/>
                <w:szCs w:val="2"/>
              </w:rPr>
            </w:pPr>
          </w:p>
        </w:tc>
        <w:tc>
          <w:tcPr>
            <w:tcW w:w="567" w:type="dxa"/>
            <w:tcBorders>
              <w:bottom w:val="nil"/>
            </w:tcBorders>
            <w:shd w:val="clear" w:color="auto" w:fill="F1F1F1"/>
          </w:tcPr>
          <w:p w:rsidR="008F03B5" w:rsidRDefault="00586B9B">
            <w:pPr>
              <w:pStyle w:val="TableParagraph"/>
              <w:spacing w:line="260" w:lineRule="exact"/>
              <w:ind w:left="107"/>
            </w:pPr>
            <w:r>
              <w:t>107</w:t>
            </w:r>
          </w:p>
        </w:tc>
        <w:tc>
          <w:tcPr>
            <w:tcW w:w="1278" w:type="dxa"/>
            <w:vMerge w:val="restart"/>
            <w:shd w:val="clear" w:color="auto" w:fill="F1F1F1"/>
          </w:tcPr>
          <w:p w:rsidR="008F03B5" w:rsidRDefault="00586B9B">
            <w:pPr>
              <w:pStyle w:val="TableParagraph"/>
              <w:ind w:left="106" w:right="86"/>
            </w:pPr>
            <w:r>
              <w:t xml:space="preserve">Phase 2 </w:t>
            </w:r>
            <w:r>
              <w:rPr>
                <w:i/>
              </w:rPr>
              <w:t xml:space="preserve">Withdrawal </w:t>
            </w:r>
            <w:r>
              <w:t>8 weeks</w:t>
            </w:r>
          </w:p>
        </w:tc>
        <w:tc>
          <w:tcPr>
            <w:tcW w:w="1133" w:type="dxa"/>
            <w:tcBorders>
              <w:bottom w:val="nil"/>
            </w:tcBorders>
            <w:shd w:val="clear" w:color="auto" w:fill="F1F1F1"/>
          </w:tcPr>
          <w:p w:rsidR="008F03B5" w:rsidRDefault="00586B9B">
            <w:pPr>
              <w:pStyle w:val="TableParagraph"/>
              <w:spacing w:line="260" w:lineRule="exact"/>
              <w:ind w:left="106"/>
            </w:pPr>
            <w:r>
              <w:t>4.49</w:t>
            </w:r>
          </w:p>
        </w:tc>
        <w:tc>
          <w:tcPr>
            <w:tcW w:w="1136" w:type="dxa"/>
            <w:vMerge w:val="restart"/>
            <w:shd w:val="clear" w:color="auto" w:fill="F1F1F1"/>
          </w:tcPr>
          <w:p w:rsidR="008F03B5" w:rsidRDefault="00586B9B">
            <w:pPr>
              <w:pStyle w:val="TableParagraph"/>
              <w:ind w:left="106" w:right="102"/>
            </w:pPr>
            <w:r>
              <w:t>Patiromer N=55</w:t>
            </w:r>
          </w:p>
        </w:tc>
        <w:tc>
          <w:tcPr>
            <w:tcW w:w="4113" w:type="dxa"/>
            <w:gridSpan w:val="6"/>
            <w:vMerge w:val="restart"/>
            <w:shd w:val="clear" w:color="auto" w:fill="F1F1F1"/>
          </w:tcPr>
          <w:p w:rsidR="008F03B5" w:rsidRDefault="00586B9B">
            <w:pPr>
              <w:pStyle w:val="TableParagraph"/>
              <w:spacing w:line="265" w:lineRule="exact"/>
              <w:ind w:left="103"/>
            </w:pPr>
            <w:r>
              <w:t>0</w:t>
            </w:r>
          </w:p>
          <w:p w:rsidR="008F03B5" w:rsidRDefault="00586B9B">
            <w:pPr>
              <w:pStyle w:val="TableParagraph"/>
              <w:ind w:left="103" w:right="148"/>
            </w:pPr>
            <w:r>
              <w:t>Daily dose on entry: 12.8g (mild) and 21.4g (mod)</w:t>
            </w:r>
          </w:p>
          <w:p w:rsidR="008F03B5" w:rsidRDefault="00586B9B">
            <w:pPr>
              <w:pStyle w:val="TableParagraph"/>
              <w:ind w:left="103" w:right="177"/>
            </w:pPr>
            <w:r>
              <w:t>After first 4 weeks, dose increase was allowed only for the first occurrence of K ≥</w:t>
            </w:r>
          </w:p>
          <w:p w:rsidR="008F03B5" w:rsidRDefault="00586B9B">
            <w:pPr>
              <w:pStyle w:val="TableParagraph"/>
              <w:spacing w:before="1" w:line="252" w:lineRule="exact"/>
              <w:ind w:left="103"/>
            </w:pPr>
            <w:r>
              <w:t>5.1 mmol/l</w:t>
            </w: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4113" w:type="dxa"/>
            <w:gridSpan w:val="6"/>
            <w:vMerge/>
            <w:tcBorders>
              <w:top w:val="nil"/>
            </w:tcBorders>
            <w:shd w:val="clear" w:color="auto" w:fill="F1F1F1"/>
          </w:tcPr>
          <w:p w:rsidR="008F03B5" w:rsidRDefault="008F03B5">
            <w:pPr>
              <w:rPr>
                <w:sz w:val="2"/>
                <w:szCs w:val="2"/>
              </w:rPr>
            </w:pP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4113" w:type="dxa"/>
            <w:gridSpan w:val="6"/>
            <w:vMerge/>
            <w:tcBorders>
              <w:top w:val="nil"/>
            </w:tcBorders>
            <w:shd w:val="clear" w:color="auto" w:fill="F1F1F1"/>
          </w:tcPr>
          <w:p w:rsidR="008F03B5" w:rsidRDefault="008F03B5">
            <w:pPr>
              <w:rPr>
                <w:sz w:val="2"/>
                <w:szCs w:val="2"/>
              </w:rPr>
            </w:pP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4113" w:type="dxa"/>
            <w:gridSpan w:val="6"/>
            <w:vMerge/>
            <w:tcBorders>
              <w:top w:val="nil"/>
            </w:tcBorders>
            <w:shd w:val="clear" w:color="auto" w:fill="F1F1F1"/>
          </w:tcPr>
          <w:p w:rsidR="008F03B5" w:rsidRDefault="008F03B5">
            <w:pPr>
              <w:rPr>
                <w:sz w:val="2"/>
                <w:szCs w:val="2"/>
              </w:rPr>
            </w:pP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4113" w:type="dxa"/>
            <w:gridSpan w:val="6"/>
            <w:vMerge/>
            <w:tcBorders>
              <w:top w:val="nil"/>
            </w:tcBorders>
            <w:shd w:val="clear" w:color="auto" w:fill="F1F1F1"/>
          </w:tcPr>
          <w:p w:rsidR="008F03B5" w:rsidRDefault="008F03B5">
            <w:pPr>
              <w:rPr>
                <w:sz w:val="2"/>
                <w:szCs w:val="2"/>
              </w:rPr>
            </w:pPr>
          </w:p>
        </w:tc>
      </w:tr>
      <w:tr w:rsidR="008F03B5">
        <w:trPr>
          <w:trHeight w:val="246"/>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tcBorders>
            <w:shd w:val="clear" w:color="auto" w:fill="F1F1F1"/>
          </w:tcPr>
          <w:p w:rsidR="008F03B5" w:rsidRDefault="008F03B5">
            <w:pPr>
              <w:pStyle w:val="TableParagraph"/>
              <w:rPr>
                <w:rFonts w:ascii="Times New Roman"/>
                <w:sz w:val="16"/>
              </w:rPr>
            </w:pPr>
          </w:p>
        </w:tc>
        <w:tc>
          <w:tcPr>
            <w:tcW w:w="1136" w:type="dxa"/>
            <w:vMerge/>
            <w:tcBorders>
              <w:top w:val="nil"/>
            </w:tcBorders>
            <w:shd w:val="clear" w:color="auto" w:fill="F1F1F1"/>
          </w:tcPr>
          <w:p w:rsidR="008F03B5" w:rsidRDefault="008F03B5">
            <w:pPr>
              <w:rPr>
                <w:sz w:val="2"/>
                <w:szCs w:val="2"/>
              </w:rPr>
            </w:pPr>
          </w:p>
        </w:tc>
        <w:tc>
          <w:tcPr>
            <w:tcW w:w="4113" w:type="dxa"/>
            <w:gridSpan w:val="6"/>
            <w:vMerge/>
            <w:tcBorders>
              <w:top w:val="nil"/>
            </w:tcBorders>
            <w:shd w:val="clear" w:color="auto" w:fill="F1F1F1"/>
          </w:tcPr>
          <w:p w:rsidR="008F03B5" w:rsidRDefault="008F03B5">
            <w:pPr>
              <w:rPr>
                <w:sz w:val="2"/>
                <w:szCs w:val="2"/>
              </w:rPr>
            </w:pPr>
          </w:p>
        </w:tc>
      </w:tr>
      <w:tr w:rsidR="008F03B5">
        <w:trPr>
          <w:trHeight w:val="280"/>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20"/>
              </w:rPr>
            </w:pPr>
          </w:p>
        </w:tc>
        <w:tc>
          <w:tcPr>
            <w:tcW w:w="1278" w:type="dxa"/>
            <w:vMerge/>
            <w:tcBorders>
              <w:top w:val="nil"/>
            </w:tcBorders>
            <w:shd w:val="clear" w:color="auto" w:fill="F1F1F1"/>
          </w:tcPr>
          <w:p w:rsidR="008F03B5" w:rsidRDefault="008F03B5">
            <w:pPr>
              <w:rPr>
                <w:sz w:val="2"/>
                <w:szCs w:val="2"/>
              </w:rPr>
            </w:pPr>
          </w:p>
        </w:tc>
        <w:tc>
          <w:tcPr>
            <w:tcW w:w="1133" w:type="dxa"/>
            <w:tcBorders>
              <w:bottom w:val="nil"/>
            </w:tcBorders>
            <w:shd w:val="clear" w:color="auto" w:fill="F1F1F1"/>
          </w:tcPr>
          <w:p w:rsidR="008F03B5" w:rsidRDefault="00586B9B">
            <w:pPr>
              <w:pStyle w:val="TableParagraph"/>
              <w:spacing w:line="261" w:lineRule="exact"/>
              <w:ind w:left="106"/>
            </w:pPr>
            <w:r>
              <w:t>4.45</w:t>
            </w:r>
          </w:p>
        </w:tc>
        <w:tc>
          <w:tcPr>
            <w:tcW w:w="1136" w:type="dxa"/>
            <w:vMerge w:val="restart"/>
            <w:shd w:val="clear" w:color="auto" w:fill="F1F1F1"/>
          </w:tcPr>
          <w:p w:rsidR="008F03B5" w:rsidRDefault="00586B9B">
            <w:pPr>
              <w:pStyle w:val="TableParagraph"/>
              <w:ind w:left="106" w:right="296"/>
            </w:pPr>
            <w:r>
              <w:t>Placebo N=52</w:t>
            </w:r>
          </w:p>
        </w:tc>
        <w:tc>
          <w:tcPr>
            <w:tcW w:w="4113" w:type="dxa"/>
            <w:gridSpan w:val="6"/>
            <w:tcBorders>
              <w:bottom w:val="nil"/>
            </w:tcBorders>
            <w:shd w:val="clear" w:color="auto" w:fill="F1F1F1"/>
          </w:tcPr>
          <w:p w:rsidR="008F03B5" w:rsidRDefault="00586B9B">
            <w:pPr>
              <w:pStyle w:val="TableParagraph"/>
              <w:spacing w:line="261" w:lineRule="exact"/>
              <w:ind w:left="103"/>
            </w:pPr>
            <w:r>
              <w:t>+ 0.72</w:t>
            </w:r>
          </w:p>
        </w:tc>
      </w:tr>
      <w:tr w:rsidR="008F03B5">
        <w:trPr>
          <w:trHeight w:val="278"/>
        </w:trPr>
        <w:tc>
          <w:tcPr>
            <w:tcW w:w="1419" w:type="dxa"/>
            <w:vMerge/>
            <w:tcBorders>
              <w:top w:val="nil"/>
            </w:tcBorders>
            <w:shd w:val="clear" w:color="auto" w:fill="F1F1F1"/>
          </w:tcPr>
          <w:p w:rsidR="008F03B5" w:rsidRDefault="008F03B5">
            <w:pPr>
              <w:rPr>
                <w:sz w:val="2"/>
                <w:szCs w:val="2"/>
              </w:rPr>
            </w:pPr>
          </w:p>
        </w:tc>
        <w:tc>
          <w:tcPr>
            <w:tcW w:w="567" w:type="dxa"/>
            <w:tcBorders>
              <w:top w:val="nil"/>
            </w:tcBorders>
            <w:shd w:val="clear" w:color="auto" w:fill="F1F1F1"/>
          </w:tcPr>
          <w:p w:rsidR="008F03B5" w:rsidRDefault="008F03B5">
            <w:pPr>
              <w:pStyle w:val="TableParagraph"/>
              <w:rPr>
                <w:rFonts w:ascii="Times New Roman"/>
                <w:sz w:val="20"/>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tcBorders>
            <w:shd w:val="clear" w:color="auto" w:fill="F1F1F1"/>
          </w:tcPr>
          <w:p w:rsidR="008F03B5" w:rsidRDefault="008F03B5">
            <w:pPr>
              <w:pStyle w:val="TableParagraph"/>
              <w:rPr>
                <w:rFonts w:ascii="Times New Roman"/>
                <w:sz w:val="20"/>
              </w:rPr>
            </w:pPr>
          </w:p>
        </w:tc>
        <w:tc>
          <w:tcPr>
            <w:tcW w:w="1136" w:type="dxa"/>
            <w:vMerge/>
            <w:tcBorders>
              <w:top w:val="nil"/>
            </w:tcBorders>
            <w:shd w:val="clear" w:color="auto" w:fill="F1F1F1"/>
          </w:tcPr>
          <w:p w:rsidR="008F03B5" w:rsidRDefault="008F03B5">
            <w:pPr>
              <w:rPr>
                <w:sz w:val="2"/>
                <w:szCs w:val="2"/>
              </w:rPr>
            </w:pPr>
          </w:p>
        </w:tc>
        <w:tc>
          <w:tcPr>
            <w:tcW w:w="4113" w:type="dxa"/>
            <w:gridSpan w:val="6"/>
            <w:tcBorders>
              <w:top w:val="nil"/>
            </w:tcBorders>
            <w:shd w:val="clear" w:color="auto" w:fill="F1F1F1"/>
          </w:tcPr>
          <w:p w:rsidR="008F03B5" w:rsidRDefault="008F03B5">
            <w:pPr>
              <w:pStyle w:val="TableParagraph"/>
              <w:rPr>
                <w:rFonts w:ascii="Times New Roman"/>
                <w:sz w:val="20"/>
              </w:rPr>
            </w:pPr>
          </w:p>
        </w:tc>
      </w:tr>
      <w:tr w:rsidR="008F03B5">
        <w:trPr>
          <w:trHeight w:val="280"/>
        </w:trPr>
        <w:tc>
          <w:tcPr>
            <w:tcW w:w="1419" w:type="dxa"/>
            <w:vMerge w:val="restart"/>
          </w:tcPr>
          <w:p w:rsidR="008F03B5" w:rsidRDefault="00586B9B">
            <w:pPr>
              <w:pStyle w:val="TableParagraph"/>
              <w:ind w:left="107" w:right="206"/>
              <w:rPr>
                <w:b/>
              </w:rPr>
            </w:pPr>
            <w:r>
              <w:rPr>
                <w:b/>
              </w:rPr>
              <w:t>AMETHYST- DN</w:t>
            </w:r>
          </w:p>
          <w:p w:rsidR="008F03B5" w:rsidRDefault="00586B9B">
            <w:pPr>
              <w:pStyle w:val="TableParagraph"/>
              <w:spacing w:line="267" w:lineRule="exact"/>
              <w:ind w:left="107"/>
              <w:rPr>
                <w:b/>
              </w:rPr>
            </w:pPr>
            <w:r>
              <w:rPr>
                <w:b/>
              </w:rPr>
              <w:t>Bakris</w:t>
            </w:r>
            <w:r>
              <w:rPr>
                <w:b/>
                <w:spacing w:val="-6"/>
              </w:rPr>
              <w:t xml:space="preserve"> </w:t>
            </w:r>
            <w:r>
              <w:rPr>
                <w:b/>
              </w:rPr>
              <w:t>2015</w:t>
            </w:r>
            <w:r>
              <w:rPr>
                <w:b/>
                <w:vertAlign w:val="superscript"/>
              </w:rPr>
              <w:t>7</w:t>
            </w:r>
          </w:p>
          <w:p w:rsidR="008F03B5" w:rsidRDefault="00586B9B">
            <w:pPr>
              <w:pStyle w:val="TableParagraph"/>
              <w:ind w:left="107"/>
            </w:pPr>
            <w:r>
              <w:t>Phase II</w:t>
            </w:r>
            <w:r>
              <w:rPr>
                <w:spacing w:val="-1"/>
              </w:rPr>
              <w:t xml:space="preserve"> </w:t>
            </w:r>
            <w:r>
              <w:t>trial</w:t>
            </w:r>
          </w:p>
        </w:tc>
        <w:tc>
          <w:tcPr>
            <w:tcW w:w="567" w:type="dxa"/>
            <w:tcBorders>
              <w:bottom w:val="nil"/>
            </w:tcBorders>
          </w:tcPr>
          <w:p w:rsidR="008F03B5" w:rsidRDefault="00586B9B">
            <w:pPr>
              <w:pStyle w:val="TableParagraph"/>
              <w:spacing w:line="260" w:lineRule="exact"/>
              <w:ind w:left="107"/>
            </w:pPr>
            <w:r>
              <w:t>306</w:t>
            </w:r>
          </w:p>
        </w:tc>
        <w:tc>
          <w:tcPr>
            <w:tcW w:w="1278" w:type="dxa"/>
            <w:vMerge w:val="restart"/>
          </w:tcPr>
          <w:p w:rsidR="008F03B5" w:rsidRDefault="00586B9B">
            <w:pPr>
              <w:pStyle w:val="TableParagraph"/>
              <w:spacing w:line="265" w:lineRule="exact"/>
              <w:ind w:left="106"/>
            </w:pPr>
            <w:r>
              <w:t>52 weeks</w:t>
            </w:r>
          </w:p>
        </w:tc>
        <w:tc>
          <w:tcPr>
            <w:tcW w:w="1133" w:type="dxa"/>
            <w:tcBorders>
              <w:bottom w:val="nil"/>
            </w:tcBorders>
          </w:tcPr>
          <w:p w:rsidR="008F03B5" w:rsidRDefault="00586B9B">
            <w:pPr>
              <w:pStyle w:val="TableParagraph"/>
              <w:spacing w:line="260" w:lineRule="exact"/>
              <w:ind w:left="106"/>
            </w:pPr>
            <w:r>
              <w:t>5.3</w:t>
            </w:r>
          </w:p>
        </w:tc>
        <w:tc>
          <w:tcPr>
            <w:tcW w:w="1136" w:type="dxa"/>
            <w:tcBorders>
              <w:bottom w:val="nil"/>
            </w:tcBorders>
          </w:tcPr>
          <w:p w:rsidR="008F03B5" w:rsidRDefault="00586B9B">
            <w:pPr>
              <w:pStyle w:val="TableParagraph"/>
              <w:spacing w:line="260" w:lineRule="exact"/>
              <w:ind w:left="106"/>
            </w:pPr>
            <w:r>
              <w:t>Mild HK</w:t>
            </w:r>
          </w:p>
        </w:tc>
        <w:tc>
          <w:tcPr>
            <w:tcW w:w="851" w:type="dxa"/>
            <w:gridSpan w:val="2"/>
            <w:tcBorders>
              <w:bottom w:val="nil"/>
            </w:tcBorders>
          </w:tcPr>
          <w:p w:rsidR="008F03B5" w:rsidRDefault="00586B9B">
            <w:pPr>
              <w:pStyle w:val="TableParagraph"/>
              <w:spacing w:line="260" w:lineRule="exact"/>
              <w:ind w:left="103"/>
            </w:pPr>
            <w:r>
              <w:t>-0.35</w:t>
            </w:r>
          </w:p>
        </w:tc>
        <w:tc>
          <w:tcPr>
            <w:tcW w:w="884" w:type="dxa"/>
            <w:tcBorders>
              <w:bottom w:val="nil"/>
            </w:tcBorders>
          </w:tcPr>
          <w:p w:rsidR="008F03B5" w:rsidRDefault="00586B9B">
            <w:pPr>
              <w:pStyle w:val="TableParagraph"/>
              <w:spacing w:line="260" w:lineRule="exact"/>
              <w:ind w:left="104"/>
            </w:pPr>
            <w:r>
              <w:t>-0.51</w:t>
            </w:r>
          </w:p>
        </w:tc>
        <w:tc>
          <w:tcPr>
            <w:tcW w:w="851" w:type="dxa"/>
            <w:tcBorders>
              <w:bottom w:val="nil"/>
            </w:tcBorders>
          </w:tcPr>
          <w:p w:rsidR="008F03B5" w:rsidRDefault="00586B9B">
            <w:pPr>
              <w:pStyle w:val="TableParagraph"/>
              <w:spacing w:line="260" w:lineRule="exact"/>
              <w:ind w:left="103"/>
            </w:pPr>
            <w:r>
              <w:t>-0.55</w:t>
            </w:r>
          </w:p>
        </w:tc>
        <w:tc>
          <w:tcPr>
            <w:tcW w:w="706" w:type="dxa"/>
            <w:vMerge w:val="restart"/>
          </w:tcPr>
          <w:p w:rsidR="008F03B5" w:rsidRDefault="008F03B5">
            <w:pPr>
              <w:pStyle w:val="TableParagraph"/>
              <w:rPr>
                <w:rFonts w:ascii="Times New Roman"/>
                <w:sz w:val="20"/>
              </w:rPr>
            </w:pPr>
          </w:p>
        </w:tc>
        <w:tc>
          <w:tcPr>
            <w:tcW w:w="821" w:type="dxa"/>
            <w:vMerge w:val="restart"/>
          </w:tcPr>
          <w:p w:rsidR="008F03B5" w:rsidRDefault="008F03B5">
            <w:pPr>
              <w:pStyle w:val="TableParagraph"/>
              <w:rPr>
                <w:rFonts w:ascii="Times New Roman"/>
                <w:sz w:val="20"/>
              </w:rPr>
            </w:pPr>
          </w:p>
        </w:tc>
      </w:tr>
      <w:tr w:rsidR="008F03B5">
        <w:trPr>
          <w:trHeight w:val="257"/>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8"/>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18"/>
              </w:rPr>
            </w:pPr>
          </w:p>
        </w:tc>
        <w:tc>
          <w:tcPr>
            <w:tcW w:w="1136" w:type="dxa"/>
            <w:tcBorders>
              <w:top w:val="nil"/>
              <w:bottom w:val="nil"/>
            </w:tcBorders>
          </w:tcPr>
          <w:p w:rsidR="008F03B5" w:rsidRDefault="00586B9B">
            <w:pPr>
              <w:pStyle w:val="TableParagraph"/>
              <w:spacing w:line="238" w:lineRule="exact"/>
              <w:ind w:left="106"/>
            </w:pPr>
            <w:r>
              <w:t>5.0-5.5</w:t>
            </w:r>
          </w:p>
        </w:tc>
        <w:tc>
          <w:tcPr>
            <w:tcW w:w="851" w:type="dxa"/>
            <w:gridSpan w:val="2"/>
            <w:tcBorders>
              <w:top w:val="nil"/>
              <w:bottom w:val="nil"/>
            </w:tcBorders>
          </w:tcPr>
          <w:p w:rsidR="008F03B5" w:rsidRDefault="008F03B5">
            <w:pPr>
              <w:pStyle w:val="TableParagraph"/>
              <w:rPr>
                <w:rFonts w:ascii="Times New Roman"/>
                <w:sz w:val="18"/>
              </w:rPr>
            </w:pPr>
          </w:p>
        </w:tc>
        <w:tc>
          <w:tcPr>
            <w:tcW w:w="884" w:type="dxa"/>
            <w:tcBorders>
              <w:top w:val="nil"/>
              <w:bottom w:val="nil"/>
            </w:tcBorders>
          </w:tcPr>
          <w:p w:rsidR="008F03B5" w:rsidRDefault="008F03B5">
            <w:pPr>
              <w:pStyle w:val="TableParagraph"/>
              <w:rPr>
                <w:rFonts w:ascii="Times New Roman"/>
                <w:sz w:val="18"/>
              </w:rPr>
            </w:pPr>
          </w:p>
        </w:tc>
        <w:tc>
          <w:tcPr>
            <w:tcW w:w="851" w:type="dxa"/>
            <w:tcBorders>
              <w:top w:val="nil"/>
              <w:bottom w:val="nil"/>
            </w:tcBorders>
          </w:tcPr>
          <w:p w:rsidR="008F03B5" w:rsidRDefault="008F03B5">
            <w:pPr>
              <w:pStyle w:val="TableParagraph"/>
              <w:rPr>
                <w:rFonts w:ascii="Times New Roman"/>
                <w:sz w:val="18"/>
              </w:rPr>
            </w:pPr>
          </w:p>
        </w:tc>
        <w:tc>
          <w:tcPr>
            <w:tcW w:w="706" w:type="dxa"/>
            <w:vMerge/>
            <w:tcBorders>
              <w:top w:val="nil"/>
            </w:tcBorders>
          </w:tcPr>
          <w:p w:rsidR="008F03B5" w:rsidRDefault="008F03B5">
            <w:pPr>
              <w:rPr>
                <w:sz w:val="2"/>
                <w:szCs w:val="2"/>
              </w:rPr>
            </w:pPr>
          </w:p>
        </w:tc>
        <w:tc>
          <w:tcPr>
            <w:tcW w:w="821" w:type="dxa"/>
            <w:vMerge/>
            <w:tcBorders>
              <w:top w:val="nil"/>
            </w:tcBorders>
          </w:tcPr>
          <w:p w:rsidR="008F03B5" w:rsidRDefault="008F03B5">
            <w:pPr>
              <w:rPr>
                <w:sz w:val="2"/>
                <w:szCs w:val="2"/>
              </w:rPr>
            </w:pPr>
          </w:p>
        </w:tc>
      </w:tr>
      <w:tr w:rsidR="008F03B5">
        <w:trPr>
          <w:trHeight w:val="245"/>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6"/>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16"/>
              </w:rPr>
            </w:pPr>
          </w:p>
        </w:tc>
        <w:tc>
          <w:tcPr>
            <w:tcW w:w="1136" w:type="dxa"/>
            <w:tcBorders>
              <w:top w:val="nil"/>
            </w:tcBorders>
          </w:tcPr>
          <w:p w:rsidR="008F03B5" w:rsidRDefault="00586B9B">
            <w:pPr>
              <w:pStyle w:val="TableParagraph"/>
              <w:spacing w:line="226" w:lineRule="exact"/>
              <w:ind w:left="106"/>
            </w:pPr>
            <w:r>
              <w:t>N=222</w:t>
            </w:r>
          </w:p>
        </w:tc>
        <w:tc>
          <w:tcPr>
            <w:tcW w:w="851" w:type="dxa"/>
            <w:gridSpan w:val="2"/>
            <w:tcBorders>
              <w:top w:val="nil"/>
            </w:tcBorders>
          </w:tcPr>
          <w:p w:rsidR="008F03B5" w:rsidRDefault="008F03B5">
            <w:pPr>
              <w:pStyle w:val="TableParagraph"/>
              <w:rPr>
                <w:rFonts w:ascii="Times New Roman"/>
                <w:sz w:val="16"/>
              </w:rPr>
            </w:pPr>
          </w:p>
        </w:tc>
        <w:tc>
          <w:tcPr>
            <w:tcW w:w="884" w:type="dxa"/>
            <w:tcBorders>
              <w:top w:val="nil"/>
            </w:tcBorders>
          </w:tcPr>
          <w:p w:rsidR="008F03B5" w:rsidRDefault="008F03B5">
            <w:pPr>
              <w:pStyle w:val="TableParagraph"/>
              <w:rPr>
                <w:rFonts w:ascii="Times New Roman"/>
                <w:sz w:val="16"/>
              </w:rPr>
            </w:pPr>
          </w:p>
        </w:tc>
        <w:tc>
          <w:tcPr>
            <w:tcW w:w="851" w:type="dxa"/>
            <w:tcBorders>
              <w:top w:val="nil"/>
            </w:tcBorders>
          </w:tcPr>
          <w:p w:rsidR="008F03B5" w:rsidRDefault="008F03B5">
            <w:pPr>
              <w:pStyle w:val="TableParagraph"/>
              <w:rPr>
                <w:rFonts w:ascii="Times New Roman"/>
                <w:sz w:val="16"/>
              </w:rPr>
            </w:pPr>
          </w:p>
        </w:tc>
        <w:tc>
          <w:tcPr>
            <w:tcW w:w="706" w:type="dxa"/>
            <w:vMerge/>
            <w:tcBorders>
              <w:top w:val="nil"/>
            </w:tcBorders>
          </w:tcPr>
          <w:p w:rsidR="008F03B5" w:rsidRDefault="008F03B5">
            <w:pPr>
              <w:rPr>
                <w:sz w:val="2"/>
                <w:szCs w:val="2"/>
              </w:rPr>
            </w:pPr>
          </w:p>
        </w:tc>
        <w:tc>
          <w:tcPr>
            <w:tcW w:w="821" w:type="dxa"/>
            <w:vMerge/>
            <w:tcBorders>
              <w:top w:val="nil"/>
            </w:tcBorders>
          </w:tcPr>
          <w:p w:rsidR="008F03B5" w:rsidRDefault="008F03B5">
            <w:pPr>
              <w:rPr>
                <w:sz w:val="2"/>
                <w:szCs w:val="2"/>
              </w:rPr>
            </w:pPr>
          </w:p>
        </w:tc>
      </w:tr>
      <w:tr w:rsidR="008F03B5">
        <w:trPr>
          <w:trHeight w:val="281"/>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20"/>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20"/>
              </w:rPr>
            </w:pPr>
          </w:p>
        </w:tc>
        <w:tc>
          <w:tcPr>
            <w:tcW w:w="1136" w:type="dxa"/>
            <w:tcBorders>
              <w:bottom w:val="nil"/>
            </w:tcBorders>
          </w:tcPr>
          <w:p w:rsidR="008F03B5" w:rsidRDefault="00586B9B">
            <w:pPr>
              <w:pStyle w:val="TableParagraph"/>
              <w:spacing w:line="262" w:lineRule="exact"/>
              <w:ind w:left="106"/>
            </w:pPr>
            <w:r>
              <w:t>Mod HK</w:t>
            </w:r>
          </w:p>
        </w:tc>
        <w:tc>
          <w:tcPr>
            <w:tcW w:w="851" w:type="dxa"/>
            <w:gridSpan w:val="2"/>
            <w:vMerge w:val="restart"/>
          </w:tcPr>
          <w:p w:rsidR="008F03B5" w:rsidRDefault="008F03B5">
            <w:pPr>
              <w:pStyle w:val="TableParagraph"/>
              <w:rPr>
                <w:rFonts w:ascii="Times New Roman"/>
                <w:sz w:val="20"/>
              </w:rPr>
            </w:pPr>
          </w:p>
        </w:tc>
        <w:tc>
          <w:tcPr>
            <w:tcW w:w="884" w:type="dxa"/>
            <w:tcBorders>
              <w:bottom w:val="nil"/>
            </w:tcBorders>
          </w:tcPr>
          <w:p w:rsidR="008F03B5" w:rsidRDefault="00586B9B">
            <w:pPr>
              <w:pStyle w:val="TableParagraph"/>
              <w:spacing w:line="262" w:lineRule="exact"/>
              <w:ind w:left="104"/>
            </w:pPr>
            <w:r>
              <w:t>-0.87</w:t>
            </w:r>
          </w:p>
        </w:tc>
        <w:tc>
          <w:tcPr>
            <w:tcW w:w="851" w:type="dxa"/>
            <w:tcBorders>
              <w:bottom w:val="nil"/>
            </w:tcBorders>
          </w:tcPr>
          <w:p w:rsidR="008F03B5" w:rsidRDefault="00586B9B">
            <w:pPr>
              <w:pStyle w:val="TableParagraph"/>
              <w:spacing w:line="262" w:lineRule="exact"/>
              <w:ind w:left="103"/>
            </w:pPr>
            <w:r>
              <w:t>-0.97</w:t>
            </w:r>
          </w:p>
        </w:tc>
        <w:tc>
          <w:tcPr>
            <w:tcW w:w="706" w:type="dxa"/>
            <w:vMerge w:val="restart"/>
          </w:tcPr>
          <w:p w:rsidR="008F03B5" w:rsidRDefault="008F03B5">
            <w:pPr>
              <w:pStyle w:val="TableParagraph"/>
              <w:rPr>
                <w:rFonts w:ascii="Times New Roman"/>
                <w:sz w:val="20"/>
              </w:rPr>
            </w:pPr>
          </w:p>
        </w:tc>
        <w:tc>
          <w:tcPr>
            <w:tcW w:w="821" w:type="dxa"/>
            <w:tcBorders>
              <w:bottom w:val="nil"/>
            </w:tcBorders>
          </w:tcPr>
          <w:p w:rsidR="008F03B5" w:rsidRDefault="00586B9B">
            <w:pPr>
              <w:pStyle w:val="TableParagraph"/>
              <w:spacing w:line="262" w:lineRule="exact"/>
              <w:ind w:left="102"/>
            </w:pPr>
            <w:r>
              <w:t>-0.92</w:t>
            </w:r>
          </w:p>
        </w:tc>
      </w:tr>
      <w:tr w:rsidR="008F03B5">
        <w:trPr>
          <w:trHeight w:val="257"/>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8"/>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18"/>
              </w:rPr>
            </w:pPr>
          </w:p>
        </w:tc>
        <w:tc>
          <w:tcPr>
            <w:tcW w:w="1136" w:type="dxa"/>
            <w:tcBorders>
              <w:top w:val="nil"/>
              <w:bottom w:val="nil"/>
            </w:tcBorders>
          </w:tcPr>
          <w:p w:rsidR="008F03B5" w:rsidRDefault="00586B9B">
            <w:pPr>
              <w:pStyle w:val="TableParagraph"/>
              <w:spacing w:line="238" w:lineRule="exact"/>
              <w:ind w:left="106"/>
            </w:pPr>
            <w:r>
              <w:t>5.6-5.9</w:t>
            </w:r>
          </w:p>
        </w:tc>
        <w:tc>
          <w:tcPr>
            <w:tcW w:w="851" w:type="dxa"/>
            <w:gridSpan w:val="2"/>
            <w:vMerge/>
            <w:tcBorders>
              <w:top w:val="nil"/>
            </w:tcBorders>
          </w:tcPr>
          <w:p w:rsidR="008F03B5" w:rsidRDefault="008F03B5">
            <w:pPr>
              <w:rPr>
                <w:sz w:val="2"/>
                <w:szCs w:val="2"/>
              </w:rPr>
            </w:pPr>
          </w:p>
        </w:tc>
        <w:tc>
          <w:tcPr>
            <w:tcW w:w="884" w:type="dxa"/>
            <w:tcBorders>
              <w:top w:val="nil"/>
              <w:bottom w:val="nil"/>
            </w:tcBorders>
          </w:tcPr>
          <w:p w:rsidR="008F03B5" w:rsidRDefault="008F03B5">
            <w:pPr>
              <w:pStyle w:val="TableParagraph"/>
              <w:rPr>
                <w:rFonts w:ascii="Times New Roman"/>
                <w:sz w:val="18"/>
              </w:rPr>
            </w:pPr>
          </w:p>
        </w:tc>
        <w:tc>
          <w:tcPr>
            <w:tcW w:w="851" w:type="dxa"/>
            <w:tcBorders>
              <w:top w:val="nil"/>
              <w:bottom w:val="nil"/>
            </w:tcBorders>
          </w:tcPr>
          <w:p w:rsidR="008F03B5" w:rsidRDefault="008F03B5">
            <w:pPr>
              <w:pStyle w:val="TableParagraph"/>
              <w:rPr>
                <w:rFonts w:ascii="Times New Roman"/>
                <w:sz w:val="18"/>
              </w:rPr>
            </w:pPr>
          </w:p>
        </w:tc>
        <w:tc>
          <w:tcPr>
            <w:tcW w:w="706" w:type="dxa"/>
            <w:vMerge/>
            <w:tcBorders>
              <w:top w:val="nil"/>
            </w:tcBorders>
          </w:tcPr>
          <w:p w:rsidR="008F03B5" w:rsidRDefault="008F03B5">
            <w:pPr>
              <w:rPr>
                <w:sz w:val="2"/>
                <w:szCs w:val="2"/>
              </w:rPr>
            </w:pPr>
          </w:p>
        </w:tc>
        <w:tc>
          <w:tcPr>
            <w:tcW w:w="821" w:type="dxa"/>
            <w:tcBorders>
              <w:top w:val="nil"/>
              <w:bottom w:val="nil"/>
            </w:tcBorders>
          </w:tcPr>
          <w:p w:rsidR="008F03B5" w:rsidRDefault="008F03B5">
            <w:pPr>
              <w:pStyle w:val="TableParagraph"/>
              <w:rPr>
                <w:rFonts w:ascii="Times New Roman"/>
                <w:sz w:val="18"/>
              </w:rPr>
            </w:pPr>
          </w:p>
        </w:tc>
      </w:tr>
      <w:tr w:rsidR="008F03B5">
        <w:trPr>
          <w:trHeight w:val="304"/>
        </w:trPr>
        <w:tc>
          <w:tcPr>
            <w:tcW w:w="1419" w:type="dxa"/>
            <w:vMerge/>
            <w:tcBorders>
              <w:top w:val="nil"/>
            </w:tcBorders>
          </w:tcPr>
          <w:p w:rsidR="008F03B5" w:rsidRDefault="008F03B5">
            <w:pPr>
              <w:rPr>
                <w:sz w:val="2"/>
                <w:szCs w:val="2"/>
              </w:rPr>
            </w:pPr>
          </w:p>
        </w:tc>
        <w:tc>
          <w:tcPr>
            <w:tcW w:w="567" w:type="dxa"/>
            <w:tcBorders>
              <w:top w:val="nil"/>
            </w:tcBorders>
          </w:tcPr>
          <w:p w:rsidR="008F03B5" w:rsidRDefault="008F03B5">
            <w:pPr>
              <w:pStyle w:val="TableParagraph"/>
              <w:rPr>
                <w:rFonts w:ascii="Times New Roman"/>
                <w:sz w:val="20"/>
              </w:rPr>
            </w:pPr>
          </w:p>
        </w:tc>
        <w:tc>
          <w:tcPr>
            <w:tcW w:w="1278" w:type="dxa"/>
            <w:vMerge/>
            <w:tcBorders>
              <w:top w:val="nil"/>
            </w:tcBorders>
          </w:tcPr>
          <w:p w:rsidR="008F03B5" w:rsidRDefault="008F03B5">
            <w:pPr>
              <w:rPr>
                <w:sz w:val="2"/>
                <w:szCs w:val="2"/>
              </w:rPr>
            </w:pPr>
          </w:p>
        </w:tc>
        <w:tc>
          <w:tcPr>
            <w:tcW w:w="1133" w:type="dxa"/>
            <w:tcBorders>
              <w:top w:val="nil"/>
            </w:tcBorders>
          </w:tcPr>
          <w:p w:rsidR="008F03B5" w:rsidRDefault="008F03B5">
            <w:pPr>
              <w:pStyle w:val="TableParagraph"/>
              <w:rPr>
                <w:rFonts w:ascii="Times New Roman"/>
                <w:sz w:val="20"/>
              </w:rPr>
            </w:pPr>
          </w:p>
        </w:tc>
        <w:tc>
          <w:tcPr>
            <w:tcW w:w="1136" w:type="dxa"/>
            <w:tcBorders>
              <w:top w:val="nil"/>
            </w:tcBorders>
          </w:tcPr>
          <w:p w:rsidR="008F03B5" w:rsidRDefault="00586B9B">
            <w:pPr>
              <w:pStyle w:val="TableParagraph"/>
              <w:spacing w:line="244" w:lineRule="exact"/>
              <w:ind w:left="106"/>
            </w:pPr>
            <w:r>
              <w:t>N=84</w:t>
            </w:r>
          </w:p>
        </w:tc>
        <w:tc>
          <w:tcPr>
            <w:tcW w:w="851" w:type="dxa"/>
            <w:gridSpan w:val="2"/>
            <w:vMerge/>
            <w:tcBorders>
              <w:top w:val="nil"/>
            </w:tcBorders>
          </w:tcPr>
          <w:p w:rsidR="008F03B5" w:rsidRDefault="008F03B5">
            <w:pPr>
              <w:rPr>
                <w:sz w:val="2"/>
                <w:szCs w:val="2"/>
              </w:rPr>
            </w:pPr>
          </w:p>
        </w:tc>
        <w:tc>
          <w:tcPr>
            <w:tcW w:w="884" w:type="dxa"/>
            <w:tcBorders>
              <w:top w:val="nil"/>
            </w:tcBorders>
          </w:tcPr>
          <w:p w:rsidR="008F03B5" w:rsidRDefault="008F03B5">
            <w:pPr>
              <w:pStyle w:val="TableParagraph"/>
              <w:rPr>
                <w:rFonts w:ascii="Times New Roman"/>
                <w:sz w:val="20"/>
              </w:rPr>
            </w:pPr>
          </w:p>
        </w:tc>
        <w:tc>
          <w:tcPr>
            <w:tcW w:w="851" w:type="dxa"/>
            <w:tcBorders>
              <w:top w:val="nil"/>
            </w:tcBorders>
          </w:tcPr>
          <w:p w:rsidR="008F03B5" w:rsidRDefault="008F03B5">
            <w:pPr>
              <w:pStyle w:val="TableParagraph"/>
              <w:rPr>
                <w:rFonts w:ascii="Times New Roman"/>
                <w:sz w:val="20"/>
              </w:rPr>
            </w:pPr>
          </w:p>
        </w:tc>
        <w:tc>
          <w:tcPr>
            <w:tcW w:w="706" w:type="dxa"/>
            <w:vMerge/>
            <w:tcBorders>
              <w:top w:val="nil"/>
            </w:tcBorders>
          </w:tcPr>
          <w:p w:rsidR="008F03B5" w:rsidRDefault="008F03B5">
            <w:pPr>
              <w:rPr>
                <w:sz w:val="2"/>
                <w:szCs w:val="2"/>
              </w:rPr>
            </w:pPr>
          </w:p>
        </w:tc>
        <w:tc>
          <w:tcPr>
            <w:tcW w:w="821" w:type="dxa"/>
            <w:tcBorders>
              <w:top w:val="nil"/>
            </w:tcBorders>
          </w:tcPr>
          <w:p w:rsidR="008F03B5" w:rsidRDefault="008F03B5">
            <w:pPr>
              <w:pStyle w:val="TableParagraph"/>
              <w:rPr>
                <w:rFonts w:ascii="Times New Roman"/>
                <w:sz w:val="20"/>
              </w:rPr>
            </w:pPr>
          </w:p>
        </w:tc>
      </w:tr>
      <w:tr w:rsidR="008F03B5">
        <w:trPr>
          <w:trHeight w:val="280"/>
        </w:trPr>
        <w:tc>
          <w:tcPr>
            <w:tcW w:w="1419" w:type="dxa"/>
            <w:vMerge w:val="restart"/>
            <w:shd w:val="clear" w:color="auto" w:fill="F1F1F1"/>
          </w:tcPr>
          <w:p w:rsidR="008F03B5" w:rsidRDefault="00586B9B">
            <w:pPr>
              <w:pStyle w:val="TableParagraph"/>
              <w:ind w:left="107" w:right="365"/>
              <w:rPr>
                <w:b/>
              </w:rPr>
            </w:pPr>
            <w:r>
              <w:rPr>
                <w:b/>
              </w:rPr>
              <w:t>Bushinsky 2015</w:t>
            </w:r>
            <w:r>
              <w:rPr>
                <w:b/>
                <w:vertAlign w:val="superscript"/>
              </w:rPr>
              <w:t>8</w:t>
            </w:r>
          </w:p>
          <w:p w:rsidR="008F03B5" w:rsidRDefault="00586B9B">
            <w:pPr>
              <w:pStyle w:val="TableParagraph"/>
              <w:ind w:left="107"/>
            </w:pPr>
            <w:r>
              <w:t>Prospective</w:t>
            </w:r>
          </w:p>
        </w:tc>
        <w:tc>
          <w:tcPr>
            <w:tcW w:w="567" w:type="dxa"/>
            <w:tcBorders>
              <w:bottom w:val="nil"/>
            </w:tcBorders>
            <w:shd w:val="clear" w:color="auto" w:fill="F1F1F1"/>
          </w:tcPr>
          <w:p w:rsidR="008F03B5" w:rsidRDefault="00586B9B">
            <w:pPr>
              <w:pStyle w:val="TableParagraph"/>
              <w:spacing w:line="260" w:lineRule="exact"/>
              <w:ind w:left="107"/>
            </w:pPr>
            <w:r>
              <w:t>25</w:t>
            </w:r>
          </w:p>
        </w:tc>
        <w:tc>
          <w:tcPr>
            <w:tcW w:w="1278" w:type="dxa"/>
            <w:vMerge w:val="restart"/>
            <w:shd w:val="clear" w:color="auto" w:fill="F1F1F1"/>
          </w:tcPr>
          <w:p w:rsidR="008F03B5" w:rsidRDefault="00586B9B">
            <w:pPr>
              <w:pStyle w:val="TableParagraph"/>
              <w:spacing w:line="265" w:lineRule="exact"/>
              <w:ind w:left="106"/>
            </w:pPr>
            <w:r>
              <w:t>48 hours</w:t>
            </w:r>
          </w:p>
        </w:tc>
        <w:tc>
          <w:tcPr>
            <w:tcW w:w="1133" w:type="dxa"/>
            <w:tcBorders>
              <w:bottom w:val="nil"/>
            </w:tcBorders>
            <w:shd w:val="clear" w:color="auto" w:fill="F1F1F1"/>
          </w:tcPr>
          <w:p w:rsidR="008F03B5" w:rsidRDefault="00586B9B">
            <w:pPr>
              <w:pStyle w:val="TableParagraph"/>
              <w:spacing w:line="260" w:lineRule="exact"/>
              <w:ind w:left="106"/>
            </w:pPr>
            <w:r>
              <w:t>5.93</w:t>
            </w:r>
          </w:p>
        </w:tc>
        <w:tc>
          <w:tcPr>
            <w:tcW w:w="1136" w:type="dxa"/>
            <w:vMerge w:val="restart"/>
            <w:shd w:val="clear" w:color="auto" w:fill="F1F1F1"/>
          </w:tcPr>
          <w:p w:rsidR="008F03B5" w:rsidRDefault="00586B9B">
            <w:pPr>
              <w:pStyle w:val="TableParagraph"/>
              <w:spacing w:line="265" w:lineRule="exact"/>
              <w:ind w:left="106"/>
            </w:pPr>
            <w:r>
              <w:t>All</w:t>
            </w:r>
          </w:p>
        </w:tc>
        <w:tc>
          <w:tcPr>
            <w:tcW w:w="851" w:type="dxa"/>
            <w:gridSpan w:val="2"/>
            <w:vMerge w:val="restart"/>
            <w:shd w:val="clear" w:color="auto" w:fill="F1F1F1"/>
          </w:tcPr>
          <w:p w:rsidR="008F03B5" w:rsidRDefault="008F03B5">
            <w:pPr>
              <w:pStyle w:val="TableParagraph"/>
              <w:rPr>
                <w:rFonts w:ascii="Times New Roman"/>
                <w:sz w:val="20"/>
              </w:rPr>
            </w:pPr>
          </w:p>
        </w:tc>
        <w:tc>
          <w:tcPr>
            <w:tcW w:w="884" w:type="dxa"/>
            <w:tcBorders>
              <w:bottom w:val="nil"/>
            </w:tcBorders>
            <w:shd w:val="clear" w:color="auto" w:fill="F1F1F1"/>
          </w:tcPr>
          <w:p w:rsidR="008F03B5" w:rsidRDefault="00586B9B">
            <w:pPr>
              <w:pStyle w:val="TableParagraph"/>
              <w:spacing w:line="260" w:lineRule="exact"/>
              <w:ind w:left="104"/>
            </w:pPr>
            <w:r>
              <w:t>7hrs: -</w:t>
            </w:r>
          </w:p>
        </w:tc>
        <w:tc>
          <w:tcPr>
            <w:tcW w:w="851" w:type="dxa"/>
            <w:vMerge w:val="restart"/>
            <w:shd w:val="clear" w:color="auto" w:fill="F1F1F1"/>
          </w:tcPr>
          <w:p w:rsidR="008F03B5" w:rsidRDefault="008F03B5">
            <w:pPr>
              <w:pStyle w:val="TableParagraph"/>
              <w:rPr>
                <w:rFonts w:ascii="Times New Roman"/>
                <w:sz w:val="20"/>
              </w:rPr>
            </w:pPr>
          </w:p>
        </w:tc>
        <w:tc>
          <w:tcPr>
            <w:tcW w:w="706" w:type="dxa"/>
            <w:vMerge w:val="restart"/>
            <w:shd w:val="clear" w:color="auto" w:fill="F1F1F1"/>
          </w:tcPr>
          <w:p w:rsidR="008F03B5" w:rsidRDefault="008F03B5">
            <w:pPr>
              <w:pStyle w:val="TableParagraph"/>
              <w:rPr>
                <w:rFonts w:ascii="Times New Roman"/>
                <w:sz w:val="20"/>
              </w:rPr>
            </w:pPr>
          </w:p>
        </w:tc>
        <w:tc>
          <w:tcPr>
            <w:tcW w:w="821" w:type="dxa"/>
            <w:vMerge w:val="restart"/>
            <w:shd w:val="clear" w:color="auto" w:fill="F1F1F1"/>
          </w:tcPr>
          <w:p w:rsidR="008F03B5" w:rsidRDefault="008F03B5">
            <w:pPr>
              <w:pStyle w:val="TableParagraph"/>
              <w:rPr>
                <w:rFonts w:ascii="Times New Roman"/>
                <w:sz w:val="20"/>
              </w:rPr>
            </w:pP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bottom w:val="nil"/>
            </w:tcBorders>
            <w:shd w:val="clear" w:color="auto" w:fill="F1F1F1"/>
          </w:tcPr>
          <w:p w:rsidR="008F03B5" w:rsidRDefault="00586B9B">
            <w:pPr>
              <w:pStyle w:val="TableParagraph"/>
              <w:spacing w:line="239" w:lineRule="exact"/>
              <w:ind w:left="104"/>
            </w:pPr>
            <w:r>
              <w:t>0.21</w:t>
            </w: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58"/>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bottom w:val="nil"/>
            </w:tcBorders>
            <w:shd w:val="clear" w:color="auto" w:fill="F1F1F1"/>
          </w:tcPr>
          <w:p w:rsidR="008F03B5" w:rsidRDefault="00586B9B">
            <w:pPr>
              <w:pStyle w:val="TableParagraph"/>
              <w:spacing w:line="239" w:lineRule="exact"/>
              <w:ind w:left="104"/>
            </w:pPr>
            <w:r>
              <w:t>20hrs:</w:t>
            </w: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57"/>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bottom w:val="nil"/>
            </w:tcBorders>
            <w:shd w:val="clear" w:color="auto" w:fill="F1F1F1"/>
          </w:tcPr>
          <w:p w:rsidR="008F03B5" w:rsidRDefault="00586B9B">
            <w:pPr>
              <w:pStyle w:val="TableParagraph"/>
              <w:spacing w:line="238" w:lineRule="exact"/>
              <w:ind w:left="104"/>
            </w:pPr>
            <w:r>
              <w:t>-0.52</w:t>
            </w: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57"/>
        </w:trPr>
        <w:tc>
          <w:tcPr>
            <w:tcW w:w="1419" w:type="dxa"/>
            <w:vMerge/>
            <w:tcBorders>
              <w:top w:val="nil"/>
            </w:tcBorders>
            <w:shd w:val="clear" w:color="auto" w:fill="F1F1F1"/>
          </w:tcPr>
          <w:p w:rsidR="008F03B5" w:rsidRDefault="008F03B5">
            <w:pPr>
              <w:rPr>
                <w:sz w:val="2"/>
                <w:szCs w:val="2"/>
              </w:rPr>
            </w:pPr>
          </w:p>
        </w:tc>
        <w:tc>
          <w:tcPr>
            <w:tcW w:w="567" w:type="dxa"/>
            <w:tcBorders>
              <w:top w:val="nil"/>
              <w:bottom w:val="nil"/>
            </w:tcBorders>
            <w:shd w:val="clear" w:color="auto" w:fill="F1F1F1"/>
          </w:tcPr>
          <w:p w:rsidR="008F03B5" w:rsidRDefault="008F03B5">
            <w:pPr>
              <w:pStyle w:val="TableParagraph"/>
              <w:rPr>
                <w:rFonts w:ascii="Times New Roman"/>
                <w:sz w:val="18"/>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bottom w:val="nil"/>
            </w:tcBorders>
            <w:shd w:val="clear" w:color="auto" w:fill="F1F1F1"/>
          </w:tcPr>
          <w:p w:rsidR="008F03B5" w:rsidRDefault="008F03B5">
            <w:pPr>
              <w:pStyle w:val="TableParagraph"/>
              <w:rPr>
                <w:rFonts w:ascii="Times New Roman"/>
                <w:sz w:val="18"/>
              </w:rPr>
            </w:pPr>
          </w:p>
        </w:tc>
        <w:tc>
          <w:tcPr>
            <w:tcW w:w="1136" w:type="dxa"/>
            <w:vMerge/>
            <w:tcBorders>
              <w:top w:val="nil"/>
            </w:tcBorders>
            <w:shd w:val="clear" w:color="auto" w:fill="F1F1F1"/>
          </w:tcPr>
          <w:p w:rsidR="008F03B5" w:rsidRDefault="008F03B5">
            <w:pPr>
              <w:rPr>
                <w:sz w:val="2"/>
                <w:szCs w:val="2"/>
              </w:rPr>
            </w:pP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bottom w:val="nil"/>
            </w:tcBorders>
            <w:shd w:val="clear" w:color="auto" w:fill="F1F1F1"/>
          </w:tcPr>
          <w:p w:rsidR="008F03B5" w:rsidRDefault="00586B9B">
            <w:pPr>
              <w:pStyle w:val="TableParagraph"/>
              <w:spacing w:line="238" w:lineRule="exact"/>
              <w:ind w:left="104"/>
            </w:pPr>
            <w:r>
              <w:t>48hrs:</w:t>
            </w: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46"/>
        </w:trPr>
        <w:tc>
          <w:tcPr>
            <w:tcW w:w="1419" w:type="dxa"/>
            <w:vMerge/>
            <w:tcBorders>
              <w:top w:val="nil"/>
            </w:tcBorders>
            <w:shd w:val="clear" w:color="auto" w:fill="F1F1F1"/>
          </w:tcPr>
          <w:p w:rsidR="008F03B5" w:rsidRDefault="008F03B5">
            <w:pPr>
              <w:rPr>
                <w:sz w:val="2"/>
                <w:szCs w:val="2"/>
              </w:rPr>
            </w:pPr>
          </w:p>
        </w:tc>
        <w:tc>
          <w:tcPr>
            <w:tcW w:w="567" w:type="dxa"/>
            <w:tcBorders>
              <w:top w:val="nil"/>
            </w:tcBorders>
            <w:shd w:val="clear" w:color="auto" w:fill="F1F1F1"/>
          </w:tcPr>
          <w:p w:rsidR="008F03B5" w:rsidRDefault="008F03B5">
            <w:pPr>
              <w:pStyle w:val="TableParagraph"/>
              <w:rPr>
                <w:rFonts w:ascii="Times New Roman"/>
                <w:sz w:val="16"/>
              </w:rPr>
            </w:pPr>
          </w:p>
        </w:tc>
        <w:tc>
          <w:tcPr>
            <w:tcW w:w="1278" w:type="dxa"/>
            <w:vMerge/>
            <w:tcBorders>
              <w:top w:val="nil"/>
            </w:tcBorders>
            <w:shd w:val="clear" w:color="auto" w:fill="F1F1F1"/>
          </w:tcPr>
          <w:p w:rsidR="008F03B5" w:rsidRDefault="008F03B5">
            <w:pPr>
              <w:rPr>
                <w:sz w:val="2"/>
                <w:szCs w:val="2"/>
              </w:rPr>
            </w:pPr>
          </w:p>
        </w:tc>
        <w:tc>
          <w:tcPr>
            <w:tcW w:w="1133" w:type="dxa"/>
            <w:tcBorders>
              <w:top w:val="nil"/>
            </w:tcBorders>
            <w:shd w:val="clear" w:color="auto" w:fill="F1F1F1"/>
          </w:tcPr>
          <w:p w:rsidR="008F03B5" w:rsidRDefault="008F03B5">
            <w:pPr>
              <w:pStyle w:val="TableParagraph"/>
              <w:rPr>
                <w:rFonts w:ascii="Times New Roman"/>
                <w:sz w:val="16"/>
              </w:rPr>
            </w:pPr>
          </w:p>
        </w:tc>
        <w:tc>
          <w:tcPr>
            <w:tcW w:w="1136" w:type="dxa"/>
            <w:vMerge/>
            <w:tcBorders>
              <w:top w:val="nil"/>
            </w:tcBorders>
            <w:shd w:val="clear" w:color="auto" w:fill="F1F1F1"/>
          </w:tcPr>
          <w:p w:rsidR="008F03B5" w:rsidRDefault="008F03B5">
            <w:pPr>
              <w:rPr>
                <w:sz w:val="2"/>
                <w:szCs w:val="2"/>
              </w:rPr>
            </w:pPr>
          </w:p>
        </w:tc>
        <w:tc>
          <w:tcPr>
            <w:tcW w:w="851" w:type="dxa"/>
            <w:gridSpan w:val="2"/>
            <w:vMerge/>
            <w:tcBorders>
              <w:top w:val="nil"/>
            </w:tcBorders>
            <w:shd w:val="clear" w:color="auto" w:fill="F1F1F1"/>
          </w:tcPr>
          <w:p w:rsidR="008F03B5" w:rsidRDefault="008F03B5">
            <w:pPr>
              <w:rPr>
                <w:sz w:val="2"/>
                <w:szCs w:val="2"/>
              </w:rPr>
            </w:pPr>
          </w:p>
        </w:tc>
        <w:tc>
          <w:tcPr>
            <w:tcW w:w="884" w:type="dxa"/>
            <w:tcBorders>
              <w:top w:val="nil"/>
            </w:tcBorders>
            <w:shd w:val="clear" w:color="auto" w:fill="F1F1F1"/>
          </w:tcPr>
          <w:p w:rsidR="008F03B5" w:rsidRDefault="00586B9B">
            <w:pPr>
              <w:pStyle w:val="TableParagraph"/>
              <w:spacing w:line="227" w:lineRule="exact"/>
              <w:ind w:left="104"/>
            </w:pPr>
            <w:r>
              <w:t>-0.75</w:t>
            </w:r>
          </w:p>
        </w:tc>
        <w:tc>
          <w:tcPr>
            <w:tcW w:w="851" w:type="dxa"/>
            <w:vMerge/>
            <w:tcBorders>
              <w:top w:val="nil"/>
            </w:tcBorders>
            <w:shd w:val="clear" w:color="auto" w:fill="F1F1F1"/>
          </w:tcPr>
          <w:p w:rsidR="008F03B5" w:rsidRDefault="008F03B5">
            <w:pPr>
              <w:rPr>
                <w:sz w:val="2"/>
                <w:szCs w:val="2"/>
              </w:rPr>
            </w:pPr>
          </w:p>
        </w:tc>
        <w:tc>
          <w:tcPr>
            <w:tcW w:w="706" w:type="dxa"/>
            <w:vMerge/>
            <w:tcBorders>
              <w:top w:val="nil"/>
            </w:tcBorders>
            <w:shd w:val="clear" w:color="auto" w:fill="F1F1F1"/>
          </w:tcPr>
          <w:p w:rsidR="008F03B5" w:rsidRDefault="008F03B5">
            <w:pPr>
              <w:rPr>
                <w:sz w:val="2"/>
                <w:szCs w:val="2"/>
              </w:rPr>
            </w:pPr>
          </w:p>
        </w:tc>
        <w:tc>
          <w:tcPr>
            <w:tcW w:w="821" w:type="dxa"/>
            <w:vMerge/>
            <w:tcBorders>
              <w:top w:val="nil"/>
            </w:tcBorders>
            <w:shd w:val="clear" w:color="auto" w:fill="F1F1F1"/>
          </w:tcPr>
          <w:p w:rsidR="008F03B5" w:rsidRDefault="008F03B5">
            <w:pPr>
              <w:rPr>
                <w:sz w:val="2"/>
                <w:szCs w:val="2"/>
              </w:rPr>
            </w:pPr>
          </w:p>
        </w:tc>
      </w:tr>
      <w:tr w:rsidR="008F03B5">
        <w:trPr>
          <w:trHeight w:val="280"/>
        </w:trPr>
        <w:tc>
          <w:tcPr>
            <w:tcW w:w="1419" w:type="dxa"/>
            <w:vMerge w:val="restart"/>
          </w:tcPr>
          <w:p w:rsidR="008F03B5" w:rsidRDefault="00586B9B">
            <w:pPr>
              <w:pStyle w:val="TableParagraph"/>
              <w:ind w:left="107" w:right="134"/>
              <w:rPr>
                <w:b/>
              </w:rPr>
            </w:pPr>
            <w:r>
              <w:rPr>
                <w:b/>
              </w:rPr>
              <w:t>TOURMALIN E</w:t>
            </w:r>
          </w:p>
          <w:p w:rsidR="008F03B5" w:rsidRDefault="00586B9B">
            <w:pPr>
              <w:pStyle w:val="TableParagraph"/>
              <w:ind w:left="107" w:right="590"/>
              <w:rPr>
                <w:b/>
              </w:rPr>
            </w:pPr>
            <w:r>
              <w:rPr>
                <w:b/>
              </w:rPr>
              <w:t>Pergola 2017</w:t>
            </w:r>
            <w:r>
              <w:rPr>
                <w:b/>
                <w:vertAlign w:val="superscript"/>
              </w:rPr>
              <w:t>9</w:t>
            </w:r>
          </w:p>
          <w:p w:rsidR="008F03B5" w:rsidRDefault="00586B9B">
            <w:pPr>
              <w:pStyle w:val="TableParagraph"/>
              <w:ind w:left="107" w:right="172"/>
            </w:pPr>
            <w:r>
              <w:t>Randomised Open label</w:t>
            </w:r>
          </w:p>
        </w:tc>
        <w:tc>
          <w:tcPr>
            <w:tcW w:w="567" w:type="dxa"/>
            <w:tcBorders>
              <w:bottom w:val="nil"/>
            </w:tcBorders>
          </w:tcPr>
          <w:p w:rsidR="008F03B5" w:rsidRDefault="00586B9B">
            <w:pPr>
              <w:pStyle w:val="TableParagraph"/>
              <w:spacing w:line="260" w:lineRule="exact"/>
              <w:ind w:left="107"/>
            </w:pPr>
            <w:r>
              <w:t>112</w:t>
            </w:r>
          </w:p>
        </w:tc>
        <w:tc>
          <w:tcPr>
            <w:tcW w:w="1278" w:type="dxa"/>
            <w:vMerge w:val="restart"/>
          </w:tcPr>
          <w:p w:rsidR="008F03B5" w:rsidRDefault="00586B9B">
            <w:pPr>
              <w:pStyle w:val="TableParagraph"/>
              <w:spacing w:line="265" w:lineRule="exact"/>
              <w:ind w:left="106"/>
            </w:pPr>
            <w:r>
              <w:t>4 weeks</w:t>
            </w:r>
          </w:p>
        </w:tc>
        <w:tc>
          <w:tcPr>
            <w:tcW w:w="1133" w:type="dxa"/>
            <w:tcBorders>
              <w:bottom w:val="nil"/>
            </w:tcBorders>
          </w:tcPr>
          <w:p w:rsidR="008F03B5" w:rsidRDefault="00586B9B">
            <w:pPr>
              <w:pStyle w:val="TableParagraph"/>
              <w:spacing w:line="260" w:lineRule="exact"/>
              <w:ind w:left="106"/>
            </w:pPr>
            <w:r>
              <w:t>5.34</w:t>
            </w:r>
          </w:p>
        </w:tc>
        <w:tc>
          <w:tcPr>
            <w:tcW w:w="1136" w:type="dxa"/>
            <w:vMerge w:val="restart"/>
          </w:tcPr>
          <w:p w:rsidR="008F03B5" w:rsidRDefault="00586B9B">
            <w:pPr>
              <w:pStyle w:val="TableParagraph"/>
              <w:ind w:left="106" w:right="551"/>
            </w:pPr>
            <w:r>
              <w:t>With Food</w:t>
            </w:r>
          </w:p>
          <w:p w:rsidR="008F03B5" w:rsidRDefault="00586B9B">
            <w:pPr>
              <w:pStyle w:val="TableParagraph"/>
              <w:spacing w:line="252" w:lineRule="exact"/>
              <w:ind w:left="106"/>
            </w:pPr>
            <w:r>
              <w:t>N=55</w:t>
            </w:r>
          </w:p>
        </w:tc>
        <w:tc>
          <w:tcPr>
            <w:tcW w:w="4113" w:type="dxa"/>
            <w:gridSpan w:val="6"/>
            <w:vMerge w:val="restart"/>
          </w:tcPr>
          <w:p w:rsidR="008F03B5" w:rsidRDefault="00586B9B">
            <w:pPr>
              <w:pStyle w:val="TableParagraph"/>
              <w:spacing w:line="265" w:lineRule="exact"/>
              <w:ind w:left="103"/>
            </w:pPr>
            <w:r>
              <w:t>-0.65</w:t>
            </w:r>
          </w:p>
          <w:p w:rsidR="008F03B5" w:rsidRDefault="00586B9B">
            <w:pPr>
              <w:pStyle w:val="TableParagraph"/>
              <w:ind w:left="103"/>
            </w:pPr>
            <w:r>
              <w:t>median daily dose was 8.4g (8.4, 12.6)</w:t>
            </w:r>
          </w:p>
        </w:tc>
      </w:tr>
      <w:tr w:rsidR="008F03B5">
        <w:trPr>
          <w:trHeight w:val="258"/>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8"/>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18"/>
              </w:rPr>
            </w:pPr>
          </w:p>
        </w:tc>
        <w:tc>
          <w:tcPr>
            <w:tcW w:w="1136" w:type="dxa"/>
            <w:vMerge/>
            <w:tcBorders>
              <w:top w:val="nil"/>
            </w:tcBorders>
          </w:tcPr>
          <w:p w:rsidR="008F03B5" w:rsidRDefault="008F03B5">
            <w:pPr>
              <w:rPr>
                <w:sz w:val="2"/>
                <w:szCs w:val="2"/>
              </w:rPr>
            </w:pPr>
          </w:p>
        </w:tc>
        <w:tc>
          <w:tcPr>
            <w:tcW w:w="4113" w:type="dxa"/>
            <w:gridSpan w:val="6"/>
            <w:vMerge/>
            <w:tcBorders>
              <w:top w:val="nil"/>
            </w:tcBorders>
          </w:tcPr>
          <w:p w:rsidR="008F03B5" w:rsidRDefault="008F03B5">
            <w:pPr>
              <w:rPr>
                <w:sz w:val="2"/>
                <w:szCs w:val="2"/>
              </w:rPr>
            </w:pPr>
          </w:p>
        </w:tc>
      </w:tr>
      <w:tr w:rsidR="008F03B5">
        <w:trPr>
          <w:trHeight w:val="246"/>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6"/>
              </w:rPr>
            </w:pPr>
          </w:p>
        </w:tc>
        <w:tc>
          <w:tcPr>
            <w:tcW w:w="1278" w:type="dxa"/>
            <w:vMerge/>
            <w:tcBorders>
              <w:top w:val="nil"/>
            </w:tcBorders>
          </w:tcPr>
          <w:p w:rsidR="008F03B5" w:rsidRDefault="008F03B5">
            <w:pPr>
              <w:rPr>
                <w:sz w:val="2"/>
                <w:szCs w:val="2"/>
              </w:rPr>
            </w:pPr>
          </w:p>
        </w:tc>
        <w:tc>
          <w:tcPr>
            <w:tcW w:w="1133" w:type="dxa"/>
            <w:tcBorders>
              <w:top w:val="nil"/>
            </w:tcBorders>
          </w:tcPr>
          <w:p w:rsidR="008F03B5" w:rsidRDefault="008F03B5">
            <w:pPr>
              <w:pStyle w:val="TableParagraph"/>
              <w:rPr>
                <w:rFonts w:ascii="Times New Roman"/>
                <w:sz w:val="16"/>
              </w:rPr>
            </w:pPr>
          </w:p>
        </w:tc>
        <w:tc>
          <w:tcPr>
            <w:tcW w:w="1136" w:type="dxa"/>
            <w:vMerge/>
            <w:tcBorders>
              <w:top w:val="nil"/>
            </w:tcBorders>
          </w:tcPr>
          <w:p w:rsidR="008F03B5" w:rsidRDefault="008F03B5">
            <w:pPr>
              <w:rPr>
                <w:sz w:val="2"/>
                <w:szCs w:val="2"/>
              </w:rPr>
            </w:pPr>
          </w:p>
        </w:tc>
        <w:tc>
          <w:tcPr>
            <w:tcW w:w="4113" w:type="dxa"/>
            <w:gridSpan w:val="6"/>
            <w:vMerge/>
            <w:tcBorders>
              <w:top w:val="nil"/>
            </w:tcBorders>
          </w:tcPr>
          <w:p w:rsidR="008F03B5" w:rsidRDefault="008F03B5">
            <w:pPr>
              <w:rPr>
                <w:sz w:val="2"/>
                <w:szCs w:val="2"/>
              </w:rPr>
            </w:pPr>
          </w:p>
        </w:tc>
      </w:tr>
      <w:tr w:rsidR="008F03B5">
        <w:trPr>
          <w:trHeight w:val="275"/>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20"/>
              </w:rPr>
            </w:pPr>
          </w:p>
        </w:tc>
        <w:tc>
          <w:tcPr>
            <w:tcW w:w="1278" w:type="dxa"/>
            <w:vMerge/>
            <w:tcBorders>
              <w:top w:val="nil"/>
            </w:tcBorders>
          </w:tcPr>
          <w:p w:rsidR="008F03B5" w:rsidRDefault="008F03B5">
            <w:pPr>
              <w:rPr>
                <w:sz w:val="2"/>
                <w:szCs w:val="2"/>
              </w:rPr>
            </w:pPr>
          </w:p>
        </w:tc>
        <w:tc>
          <w:tcPr>
            <w:tcW w:w="1133" w:type="dxa"/>
            <w:tcBorders>
              <w:bottom w:val="nil"/>
            </w:tcBorders>
          </w:tcPr>
          <w:p w:rsidR="008F03B5" w:rsidRDefault="00586B9B">
            <w:pPr>
              <w:pStyle w:val="TableParagraph"/>
              <w:spacing w:line="256" w:lineRule="exact"/>
              <w:ind w:left="106"/>
            </w:pPr>
            <w:r>
              <w:t>5.44</w:t>
            </w:r>
          </w:p>
        </w:tc>
        <w:tc>
          <w:tcPr>
            <w:tcW w:w="1136" w:type="dxa"/>
            <w:vMerge w:val="restart"/>
          </w:tcPr>
          <w:p w:rsidR="008F03B5" w:rsidRDefault="00586B9B">
            <w:pPr>
              <w:pStyle w:val="TableParagraph"/>
              <w:ind w:left="106" w:right="259"/>
            </w:pPr>
            <w:r>
              <w:t>Without Food</w:t>
            </w:r>
          </w:p>
          <w:p w:rsidR="008F03B5" w:rsidRDefault="00586B9B">
            <w:pPr>
              <w:pStyle w:val="TableParagraph"/>
              <w:spacing w:line="266" w:lineRule="exact"/>
              <w:ind w:left="106"/>
            </w:pPr>
            <w:r>
              <w:t>N=57</w:t>
            </w:r>
          </w:p>
        </w:tc>
        <w:tc>
          <w:tcPr>
            <w:tcW w:w="4113" w:type="dxa"/>
            <w:gridSpan w:val="6"/>
            <w:vMerge w:val="restart"/>
          </w:tcPr>
          <w:p w:rsidR="008F03B5" w:rsidRDefault="00586B9B">
            <w:pPr>
              <w:pStyle w:val="TableParagraph"/>
              <w:spacing w:line="265" w:lineRule="exact"/>
              <w:ind w:left="103"/>
            </w:pPr>
            <w:r>
              <w:t>-0.62</w:t>
            </w:r>
          </w:p>
          <w:p w:rsidR="008F03B5" w:rsidRDefault="00586B9B">
            <w:pPr>
              <w:pStyle w:val="TableParagraph"/>
              <w:ind w:left="103"/>
            </w:pPr>
            <w:r>
              <w:t>median daily dose was 8.4g (8.4, 14.1)</w:t>
            </w:r>
          </w:p>
        </w:tc>
      </w:tr>
      <w:tr w:rsidR="008F03B5">
        <w:trPr>
          <w:trHeight w:val="258"/>
        </w:trPr>
        <w:tc>
          <w:tcPr>
            <w:tcW w:w="1419" w:type="dxa"/>
            <w:vMerge/>
            <w:tcBorders>
              <w:top w:val="nil"/>
            </w:tcBorders>
          </w:tcPr>
          <w:p w:rsidR="008F03B5" w:rsidRDefault="008F03B5">
            <w:pPr>
              <w:rPr>
                <w:sz w:val="2"/>
                <w:szCs w:val="2"/>
              </w:rPr>
            </w:pPr>
          </w:p>
        </w:tc>
        <w:tc>
          <w:tcPr>
            <w:tcW w:w="567" w:type="dxa"/>
            <w:tcBorders>
              <w:top w:val="nil"/>
              <w:bottom w:val="nil"/>
            </w:tcBorders>
          </w:tcPr>
          <w:p w:rsidR="008F03B5" w:rsidRDefault="008F03B5">
            <w:pPr>
              <w:pStyle w:val="TableParagraph"/>
              <w:rPr>
                <w:rFonts w:ascii="Times New Roman"/>
                <w:sz w:val="18"/>
              </w:rPr>
            </w:pPr>
          </w:p>
        </w:tc>
        <w:tc>
          <w:tcPr>
            <w:tcW w:w="1278" w:type="dxa"/>
            <w:vMerge/>
            <w:tcBorders>
              <w:top w:val="nil"/>
            </w:tcBorders>
          </w:tcPr>
          <w:p w:rsidR="008F03B5" w:rsidRDefault="008F03B5">
            <w:pPr>
              <w:rPr>
                <w:sz w:val="2"/>
                <w:szCs w:val="2"/>
              </w:rPr>
            </w:pPr>
          </w:p>
        </w:tc>
        <w:tc>
          <w:tcPr>
            <w:tcW w:w="1133" w:type="dxa"/>
            <w:tcBorders>
              <w:top w:val="nil"/>
              <w:bottom w:val="nil"/>
            </w:tcBorders>
          </w:tcPr>
          <w:p w:rsidR="008F03B5" w:rsidRDefault="008F03B5">
            <w:pPr>
              <w:pStyle w:val="TableParagraph"/>
              <w:rPr>
                <w:rFonts w:ascii="Times New Roman"/>
                <w:sz w:val="18"/>
              </w:rPr>
            </w:pPr>
          </w:p>
        </w:tc>
        <w:tc>
          <w:tcPr>
            <w:tcW w:w="1136" w:type="dxa"/>
            <w:vMerge/>
            <w:tcBorders>
              <w:top w:val="nil"/>
            </w:tcBorders>
          </w:tcPr>
          <w:p w:rsidR="008F03B5" w:rsidRDefault="008F03B5">
            <w:pPr>
              <w:rPr>
                <w:sz w:val="2"/>
                <w:szCs w:val="2"/>
              </w:rPr>
            </w:pPr>
          </w:p>
        </w:tc>
        <w:tc>
          <w:tcPr>
            <w:tcW w:w="4113" w:type="dxa"/>
            <w:gridSpan w:val="6"/>
            <w:vMerge/>
            <w:tcBorders>
              <w:top w:val="nil"/>
            </w:tcBorders>
          </w:tcPr>
          <w:p w:rsidR="008F03B5" w:rsidRDefault="008F03B5">
            <w:pPr>
              <w:rPr>
                <w:sz w:val="2"/>
                <w:szCs w:val="2"/>
              </w:rPr>
            </w:pPr>
          </w:p>
        </w:tc>
      </w:tr>
      <w:tr w:rsidR="008F03B5">
        <w:trPr>
          <w:trHeight w:val="265"/>
        </w:trPr>
        <w:tc>
          <w:tcPr>
            <w:tcW w:w="1419" w:type="dxa"/>
            <w:vMerge/>
            <w:tcBorders>
              <w:top w:val="nil"/>
            </w:tcBorders>
          </w:tcPr>
          <w:p w:rsidR="008F03B5" w:rsidRDefault="008F03B5">
            <w:pPr>
              <w:rPr>
                <w:sz w:val="2"/>
                <w:szCs w:val="2"/>
              </w:rPr>
            </w:pPr>
          </w:p>
        </w:tc>
        <w:tc>
          <w:tcPr>
            <w:tcW w:w="567" w:type="dxa"/>
            <w:tcBorders>
              <w:top w:val="nil"/>
            </w:tcBorders>
          </w:tcPr>
          <w:p w:rsidR="008F03B5" w:rsidRDefault="008F03B5">
            <w:pPr>
              <w:pStyle w:val="TableParagraph"/>
              <w:rPr>
                <w:rFonts w:ascii="Times New Roman"/>
                <w:sz w:val="18"/>
              </w:rPr>
            </w:pPr>
          </w:p>
        </w:tc>
        <w:tc>
          <w:tcPr>
            <w:tcW w:w="1278" w:type="dxa"/>
            <w:vMerge/>
            <w:tcBorders>
              <w:top w:val="nil"/>
            </w:tcBorders>
          </w:tcPr>
          <w:p w:rsidR="008F03B5" w:rsidRDefault="008F03B5">
            <w:pPr>
              <w:rPr>
                <w:sz w:val="2"/>
                <w:szCs w:val="2"/>
              </w:rPr>
            </w:pPr>
          </w:p>
        </w:tc>
        <w:tc>
          <w:tcPr>
            <w:tcW w:w="1133" w:type="dxa"/>
            <w:tcBorders>
              <w:top w:val="nil"/>
            </w:tcBorders>
          </w:tcPr>
          <w:p w:rsidR="008F03B5" w:rsidRDefault="008F03B5">
            <w:pPr>
              <w:pStyle w:val="TableParagraph"/>
              <w:rPr>
                <w:rFonts w:ascii="Times New Roman"/>
                <w:sz w:val="18"/>
              </w:rPr>
            </w:pPr>
          </w:p>
        </w:tc>
        <w:tc>
          <w:tcPr>
            <w:tcW w:w="1136" w:type="dxa"/>
            <w:vMerge/>
            <w:tcBorders>
              <w:top w:val="nil"/>
            </w:tcBorders>
          </w:tcPr>
          <w:p w:rsidR="008F03B5" w:rsidRDefault="008F03B5">
            <w:pPr>
              <w:rPr>
                <w:sz w:val="2"/>
                <w:szCs w:val="2"/>
              </w:rPr>
            </w:pPr>
          </w:p>
        </w:tc>
        <w:tc>
          <w:tcPr>
            <w:tcW w:w="4113" w:type="dxa"/>
            <w:gridSpan w:val="6"/>
            <w:vMerge/>
            <w:tcBorders>
              <w:top w:val="nil"/>
            </w:tcBorders>
          </w:tcPr>
          <w:p w:rsidR="008F03B5" w:rsidRDefault="008F03B5">
            <w:pPr>
              <w:rPr>
                <w:sz w:val="2"/>
                <w:szCs w:val="2"/>
              </w:rPr>
            </w:pPr>
          </w:p>
        </w:tc>
      </w:tr>
      <w:tr w:rsidR="008F03B5">
        <w:trPr>
          <w:trHeight w:val="1344"/>
        </w:trPr>
        <w:tc>
          <w:tcPr>
            <w:tcW w:w="1419" w:type="dxa"/>
          </w:tcPr>
          <w:p w:rsidR="008F03B5" w:rsidRDefault="00586B9B">
            <w:pPr>
              <w:pStyle w:val="TableParagraph"/>
              <w:spacing w:line="265" w:lineRule="exact"/>
              <w:ind w:left="107"/>
              <w:rPr>
                <w:b/>
              </w:rPr>
            </w:pPr>
            <w:r>
              <w:rPr>
                <w:b/>
              </w:rPr>
              <w:t>PEARL-HF</w:t>
            </w:r>
          </w:p>
          <w:p w:rsidR="008F03B5" w:rsidRDefault="00586B9B">
            <w:pPr>
              <w:pStyle w:val="TableParagraph"/>
              <w:ind w:left="107" w:right="386"/>
              <w:rPr>
                <w:b/>
              </w:rPr>
            </w:pPr>
            <w:r>
              <w:rPr>
                <w:b/>
              </w:rPr>
              <w:t>extension study</w:t>
            </w:r>
          </w:p>
          <w:p w:rsidR="008F03B5" w:rsidRDefault="00586B9B">
            <w:pPr>
              <w:pStyle w:val="TableParagraph"/>
              <w:ind w:left="107"/>
            </w:pPr>
            <w:r>
              <w:rPr>
                <w:b/>
              </w:rPr>
              <w:t>Pitt</w:t>
            </w:r>
            <w:r>
              <w:rPr>
                <w:b/>
                <w:spacing w:val="-6"/>
              </w:rPr>
              <w:t xml:space="preserve"> </w:t>
            </w:r>
            <w:r>
              <w:rPr>
                <w:b/>
              </w:rPr>
              <w:t>2018</w:t>
            </w:r>
            <w:r>
              <w:rPr>
                <w:vertAlign w:val="superscript"/>
              </w:rPr>
              <w:t>10</w:t>
            </w:r>
          </w:p>
          <w:p w:rsidR="008F03B5" w:rsidRDefault="00586B9B">
            <w:pPr>
              <w:pStyle w:val="TableParagraph"/>
              <w:spacing w:before="1" w:line="252" w:lineRule="exact"/>
              <w:ind w:left="107"/>
            </w:pPr>
            <w:r>
              <w:t>Open-label</w:t>
            </w:r>
          </w:p>
        </w:tc>
        <w:tc>
          <w:tcPr>
            <w:tcW w:w="567" w:type="dxa"/>
          </w:tcPr>
          <w:p w:rsidR="008F03B5" w:rsidRDefault="00586B9B">
            <w:pPr>
              <w:pStyle w:val="TableParagraph"/>
              <w:spacing w:line="265" w:lineRule="exact"/>
              <w:ind w:left="107"/>
            </w:pPr>
            <w:r>
              <w:t>63</w:t>
            </w:r>
          </w:p>
        </w:tc>
        <w:tc>
          <w:tcPr>
            <w:tcW w:w="1278" w:type="dxa"/>
          </w:tcPr>
          <w:p w:rsidR="008F03B5" w:rsidRDefault="00586B9B">
            <w:pPr>
              <w:pStyle w:val="TableParagraph"/>
              <w:spacing w:line="265" w:lineRule="exact"/>
              <w:ind w:left="106"/>
            </w:pPr>
            <w:r>
              <w:t>8 weeks</w:t>
            </w:r>
          </w:p>
        </w:tc>
        <w:tc>
          <w:tcPr>
            <w:tcW w:w="1133" w:type="dxa"/>
          </w:tcPr>
          <w:p w:rsidR="008F03B5" w:rsidRDefault="00586B9B">
            <w:pPr>
              <w:pStyle w:val="TableParagraph"/>
              <w:spacing w:line="265" w:lineRule="exact"/>
              <w:ind w:left="106"/>
            </w:pPr>
            <w:r>
              <w:t>4.78</w:t>
            </w:r>
          </w:p>
        </w:tc>
        <w:tc>
          <w:tcPr>
            <w:tcW w:w="1136" w:type="dxa"/>
          </w:tcPr>
          <w:p w:rsidR="008F03B5" w:rsidRDefault="00586B9B">
            <w:pPr>
              <w:pStyle w:val="TableParagraph"/>
              <w:spacing w:line="265" w:lineRule="exact"/>
              <w:ind w:left="106"/>
            </w:pPr>
            <w:r>
              <w:t>All</w:t>
            </w:r>
          </w:p>
        </w:tc>
        <w:tc>
          <w:tcPr>
            <w:tcW w:w="459" w:type="dxa"/>
          </w:tcPr>
          <w:p w:rsidR="008F03B5" w:rsidRDefault="008F03B5">
            <w:pPr>
              <w:pStyle w:val="TableParagraph"/>
              <w:rPr>
                <w:rFonts w:ascii="Times New Roman"/>
                <w:sz w:val="20"/>
              </w:rPr>
            </w:pPr>
          </w:p>
        </w:tc>
        <w:tc>
          <w:tcPr>
            <w:tcW w:w="1276" w:type="dxa"/>
            <w:gridSpan w:val="2"/>
          </w:tcPr>
          <w:p w:rsidR="008F03B5" w:rsidRDefault="00586B9B">
            <w:pPr>
              <w:pStyle w:val="TableParagraph"/>
              <w:spacing w:line="265" w:lineRule="exact"/>
              <w:ind w:left="102"/>
            </w:pPr>
            <w:r>
              <w:t>-0.13</w:t>
            </w:r>
          </w:p>
        </w:tc>
        <w:tc>
          <w:tcPr>
            <w:tcW w:w="851" w:type="dxa"/>
          </w:tcPr>
          <w:p w:rsidR="008F03B5" w:rsidRDefault="008F03B5">
            <w:pPr>
              <w:pStyle w:val="TableParagraph"/>
              <w:rPr>
                <w:rFonts w:ascii="Times New Roman"/>
                <w:sz w:val="20"/>
              </w:rPr>
            </w:pPr>
          </w:p>
        </w:tc>
        <w:tc>
          <w:tcPr>
            <w:tcW w:w="706" w:type="dxa"/>
          </w:tcPr>
          <w:p w:rsidR="008F03B5" w:rsidRDefault="008F03B5">
            <w:pPr>
              <w:pStyle w:val="TableParagraph"/>
              <w:rPr>
                <w:rFonts w:ascii="Times New Roman"/>
                <w:sz w:val="20"/>
              </w:rPr>
            </w:pPr>
          </w:p>
        </w:tc>
        <w:tc>
          <w:tcPr>
            <w:tcW w:w="821" w:type="dxa"/>
          </w:tcPr>
          <w:p w:rsidR="008F03B5" w:rsidRDefault="008F03B5">
            <w:pPr>
              <w:pStyle w:val="TableParagraph"/>
              <w:rPr>
                <w:rFonts w:ascii="Times New Roman"/>
                <w:sz w:val="20"/>
              </w:rPr>
            </w:pPr>
          </w:p>
        </w:tc>
      </w:tr>
    </w:tbl>
    <w:p w:rsidR="008F03B5" w:rsidRDefault="008F03B5">
      <w:pPr>
        <w:pStyle w:val="a3"/>
        <w:spacing w:before="9"/>
        <w:rPr>
          <w:sz w:val="14"/>
        </w:rPr>
      </w:pPr>
    </w:p>
    <w:p w:rsidR="008F03B5" w:rsidRDefault="00586B9B">
      <w:pPr>
        <w:pStyle w:val="3"/>
        <w:spacing w:before="57"/>
      </w:pPr>
      <w:r>
        <w:t>Table 6: Studies of efficacy of Patiromer in the treatment of hyperkalaemia.</w:t>
      </w:r>
    </w:p>
    <w:p w:rsidR="008F03B5" w:rsidRDefault="008F03B5">
      <w:pPr>
        <w:sectPr w:rsidR="008F03B5">
          <w:pgSz w:w="11910" w:h="16840"/>
          <w:pgMar w:top="1540" w:right="780" w:bottom="1100" w:left="860" w:header="425" w:footer="912" w:gutter="0"/>
          <w:cols w:space="720"/>
        </w:sectPr>
      </w:pPr>
    </w:p>
    <w:p w:rsidR="008F03B5" w:rsidRDefault="00586B9B">
      <w:pPr>
        <w:pStyle w:val="a3"/>
        <w:spacing w:before="116" w:line="276" w:lineRule="auto"/>
        <w:ind w:left="217" w:right="621"/>
      </w:pPr>
      <w:r>
        <w:lastRenderedPageBreak/>
        <w:t>Patiromer was approved for the treatment of chronic hyperkalaemia in the USA in 2015 and in the EU in 2017. The major caveat is that twice daily patiromer dosing was utilized in most trials, whereas the FDA- approved dose is once daily. This modification stems from concern over the potential for drug interaction between patiromer and other co-administered medications as discussed above.</w:t>
      </w:r>
    </w:p>
    <w:p w:rsidR="008F03B5" w:rsidRDefault="009A3CBD">
      <w:pPr>
        <w:pStyle w:val="a3"/>
        <w:spacing w:before="3"/>
        <w:rPr>
          <w:sz w:val="21"/>
        </w:rPr>
      </w:pPr>
      <w:r>
        <w:pict>
          <v:shape id="_x0000_s1074" type="#_x0000_t202" style="position:absolute;margin-left:76.5pt;margin-top:15.35pt;width:452.2pt;height:222.7pt;z-index:-15724544;mso-wrap-distance-left:0;mso-wrap-distance-right:0;mso-position-horizontal-relative:page" fillcolor="#deebf7">
            <v:textbox inset="0,0,0,0">
              <w:txbxContent>
                <w:p w:rsidR="008F03B5" w:rsidRDefault="00586B9B">
                  <w:pPr>
                    <w:spacing w:before="70" w:line="278" w:lineRule="auto"/>
                    <w:ind w:left="142" w:right="365"/>
                    <w:rPr>
                      <w:b/>
                      <w:sz w:val="24"/>
                    </w:rPr>
                  </w:pPr>
                  <w:r>
                    <w:rPr>
                      <w:b/>
                      <w:sz w:val="24"/>
                    </w:rPr>
                    <w:t>NICE has approved the use of Patiromer in the treatment of chronic hyperkalaemia in patients with:</w:t>
                  </w:r>
                </w:p>
                <w:p w:rsidR="008F03B5" w:rsidRDefault="00586B9B" w:rsidP="00586B9B">
                  <w:pPr>
                    <w:numPr>
                      <w:ilvl w:val="0"/>
                      <w:numId w:val="52"/>
                    </w:numPr>
                    <w:tabs>
                      <w:tab w:val="left" w:pos="1220"/>
                      <w:tab w:val="left" w:pos="1221"/>
                    </w:tabs>
                    <w:spacing w:before="114" w:line="276" w:lineRule="auto"/>
                    <w:ind w:right="4590" w:hanging="360"/>
                    <w:rPr>
                      <w:b/>
                      <w:sz w:val="24"/>
                    </w:rPr>
                  </w:pPr>
                  <w:r>
                    <w:rPr>
                      <w:b/>
                      <w:sz w:val="24"/>
                    </w:rPr>
                    <w:t>CKD Stage 3b-5 OR Heart Failure AND</w:t>
                  </w:r>
                </w:p>
                <w:p w:rsidR="008F03B5" w:rsidRDefault="00586B9B" w:rsidP="00586B9B">
                  <w:pPr>
                    <w:numPr>
                      <w:ilvl w:val="0"/>
                      <w:numId w:val="52"/>
                    </w:numPr>
                    <w:tabs>
                      <w:tab w:val="left" w:pos="1222"/>
                      <w:tab w:val="left" w:pos="1223"/>
                    </w:tabs>
                    <w:spacing w:before="1" w:line="276" w:lineRule="auto"/>
                    <w:ind w:right="3917" w:hanging="360"/>
                    <w:rPr>
                      <w:b/>
                      <w:sz w:val="24"/>
                    </w:rPr>
                  </w:pPr>
                  <w:r>
                    <w:rPr>
                      <w:b/>
                      <w:sz w:val="24"/>
                    </w:rPr>
                    <w:t>Serum K</w:t>
                  </w:r>
                  <w:r>
                    <w:rPr>
                      <w:sz w:val="24"/>
                      <w:vertAlign w:val="superscript"/>
                    </w:rPr>
                    <w:t>+</w:t>
                  </w:r>
                  <w:r>
                    <w:rPr>
                      <w:sz w:val="24"/>
                    </w:rPr>
                    <w:t xml:space="preserve"> </w:t>
                  </w:r>
                  <w:r>
                    <w:rPr>
                      <w:b/>
                      <w:sz w:val="24"/>
                    </w:rPr>
                    <w:t>confirmed to be ≥ 6.0 mmol/l AND</w:t>
                  </w:r>
                </w:p>
                <w:p w:rsidR="008F03B5" w:rsidRDefault="00586B9B" w:rsidP="00586B9B">
                  <w:pPr>
                    <w:numPr>
                      <w:ilvl w:val="0"/>
                      <w:numId w:val="52"/>
                    </w:numPr>
                    <w:tabs>
                      <w:tab w:val="left" w:pos="1222"/>
                      <w:tab w:val="left" w:pos="1223"/>
                    </w:tabs>
                    <w:spacing w:line="276" w:lineRule="auto"/>
                    <w:ind w:right="676" w:hanging="360"/>
                    <w:rPr>
                      <w:b/>
                      <w:sz w:val="24"/>
                    </w:rPr>
                  </w:pPr>
                  <w:r>
                    <w:rPr>
                      <w:b/>
                      <w:sz w:val="24"/>
                    </w:rPr>
                    <w:t>Receiving a sub-optimal dose or not taking RAASi due to</w:t>
                  </w:r>
                  <w:r>
                    <w:rPr>
                      <w:b/>
                      <w:spacing w:val="-31"/>
                      <w:sz w:val="24"/>
                    </w:rPr>
                    <w:t xml:space="preserve"> </w:t>
                  </w:r>
                  <w:r>
                    <w:rPr>
                      <w:b/>
                      <w:sz w:val="24"/>
                    </w:rPr>
                    <w:t>hyperkalaemia AND</w:t>
                  </w:r>
                </w:p>
                <w:p w:rsidR="008F03B5" w:rsidRDefault="00586B9B" w:rsidP="00586B9B">
                  <w:pPr>
                    <w:numPr>
                      <w:ilvl w:val="0"/>
                      <w:numId w:val="52"/>
                    </w:numPr>
                    <w:tabs>
                      <w:tab w:val="left" w:pos="1222"/>
                      <w:tab w:val="left" w:pos="1223"/>
                    </w:tabs>
                    <w:spacing w:line="305" w:lineRule="exact"/>
                    <w:ind w:hanging="361"/>
                    <w:rPr>
                      <w:b/>
                      <w:sz w:val="24"/>
                    </w:rPr>
                  </w:pPr>
                  <w:r>
                    <w:rPr>
                      <w:b/>
                      <w:sz w:val="24"/>
                    </w:rPr>
                    <w:t>Not on</w:t>
                  </w:r>
                  <w:r>
                    <w:rPr>
                      <w:b/>
                      <w:spacing w:val="1"/>
                      <w:sz w:val="24"/>
                    </w:rPr>
                    <w:t xml:space="preserve"> </w:t>
                  </w:r>
                  <w:r>
                    <w:rPr>
                      <w:b/>
                      <w:sz w:val="24"/>
                    </w:rPr>
                    <w:t>dialysis</w:t>
                  </w:r>
                </w:p>
                <w:p w:rsidR="008F03B5" w:rsidRDefault="00586B9B">
                  <w:pPr>
                    <w:spacing w:before="214" w:line="460" w:lineRule="atLeast"/>
                    <w:ind w:left="142" w:right="4060"/>
                    <w:rPr>
                      <w:b/>
                      <w:sz w:val="24"/>
                    </w:rPr>
                  </w:pPr>
                  <w:r>
                    <w:rPr>
                      <w:b/>
                      <w:sz w:val="24"/>
                    </w:rPr>
                    <w:t>Patiromer should be initiated in secondary care. Stop Patiromer if RAASi therapy is discontinued.</w:t>
                  </w:r>
                </w:p>
              </w:txbxContent>
            </v:textbox>
            <w10:wrap type="topAndBottom" anchorx="page"/>
          </v:shape>
        </w:pict>
      </w:r>
    </w:p>
    <w:p w:rsidR="008F03B5" w:rsidRDefault="008F03B5">
      <w:pPr>
        <w:pStyle w:val="a3"/>
      </w:pPr>
    </w:p>
    <w:p w:rsidR="008F03B5" w:rsidRDefault="008F03B5">
      <w:pPr>
        <w:pStyle w:val="a3"/>
        <w:spacing w:before="5"/>
        <w:rPr>
          <w:sz w:val="20"/>
        </w:rPr>
      </w:pPr>
    </w:p>
    <w:p w:rsidR="008F03B5" w:rsidRDefault="00586B9B">
      <w:pPr>
        <w:pStyle w:val="a3"/>
        <w:spacing w:line="276" w:lineRule="auto"/>
        <w:ind w:left="217" w:right="342"/>
      </w:pPr>
      <w:r>
        <w:t>NICE has approved the use of patiromer in the treatment of hyperkalaemia for the above indications (text box)</w:t>
      </w:r>
      <w:r w:rsidR="00903055">
        <w:t>.</w:t>
      </w:r>
      <w:r w:rsidR="00903055">
        <w:rPr>
          <w:vertAlign w:val="superscript"/>
        </w:rPr>
        <w:t>13</w:t>
      </w:r>
      <w:r w:rsidR="00903055">
        <w:t xml:space="preserve"> </w:t>
      </w:r>
      <w:r w:rsidR="00903055">
        <w:rPr>
          <w:rFonts w:ascii="宋体" w:eastAsia="宋体" w:hAnsi="宋体" w:cs="宋体" w:hint="eastAsia"/>
        </w:rPr>
        <w:t>。。</w:t>
      </w:r>
      <w:r w:rsidR="00903055">
        <w:t>T</w:t>
      </w:r>
      <w:r>
        <w:t>he key evidence for clinical effectiveness was derived from the OPAL-HK study which demonstrated a reduction in serum K+ by a mean of 1.01 mmol/l after 4 weeks (Phase 1)</w:t>
      </w:r>
      <w:r w:rsidR="00903055">
        <w:t>.</w:t>
      </w:r>
      <w:r w:rsidR="00903055">
        <w:rPr>
          <w:vertAlign w:val="superscript"/>
        </w:rPr>
        <w:t>5</w:t>
      </w:r>
      <w:r w:rsidR="00903055">
        <w:t xml:space="preserve"> </w:t>
      </w:r>
      <w:r w:rsidR="00903055">
        <w:rPr>
          <w:rFonts w:ascii="宋体" w:eastAsia="宋体" w:hAnsi="宋体" w:cs="宋体" w:hint="eastAsia"/>
        </w:rPr>
        <w:t>。。</w:t>
      </w:r>
      <w:r w:rsidR="00903055">
        <w:t>T</w:t>
      </w:r>
      <w:r>
        <w:t>he mean serum K+ was 0.72 mmol/l higher in patients who were withdrawn compared with those who remained on patiromer (Phase 2). However, the study cohort did not include patients with clinically significant hyperkalaemia. The patiromer trials also did not demonstrate an improvement in quality of life or survival in patients with chronic hyperkalaemia.</w:t>
      </w:r>
    </w:p>
    <w:p w:rsidR="008F03B5" w:rsidRDefault="00586B9B">
      <w:pPr>
        <w:pStyle w:val="a3"/>
        <w:spacing w:before="161" w:line="276" w:lineRule="auto"/>
        <w:ind w:left="217" w:right="384"/>
      </w:pPr>
      <w:r>
        <w:t>The Scottish Medicines Consortium (SMC) did not approve patiromer for the treatment of hyperkalaemia in NHS Scotland</w:t>
      </w:r>
      <w:r w:rsidR="00903055">
        <w:t>.</w:t>
      </w:r>
      <w:r w:rsidR="00903055">
        <w:rPr>
          <w:vertAlign w:val="superscript"/>
        </w:rPr>
        <w:t>14</w:t>
      </w:r>
      <w:r w:rsidR="00903055">
        <w:t xml:space="preserve"> </w:t>
      </w:r>
      <w:r w:rsidR="00903055">
        <w:rPr>
          <w:rFonts w:ascii="宋体" w:eastAsia="宋体" w:hAnsi="宋体" w:cs="宋体" w:hint="eastAsia"/>
        </w:rPr>
        <w:t>。。</w:t>
      </w:r>
      <w:r w:rsidR="00903055">
        <w:t>T</w:t>
      </w:r>
      <w:r>
        <w:t>hey concluded that there were several weaknesses and uncertainties with the economic analysis of the OPAL-HK study given its short duration and endpoints that do not readily correlate with long- term CKD or cardiovascular outcomes.</w:t>
      </w:r>
    </w:p>
    <w:p w:rsidR="008F03B5" w:rsidRDefault="00586B9B">
      <w:pPr>
        <w:pStyle w:val="a3"/>
        <w:spacing w:before="160" w:line="276" w:lineRule="auto"/>
        <w:ind w:left="217" w:right="299"/>
      </w:pPr>
      <w:r>
        <w:t>Serum K+ should be monitored as clinically indicated</w:t>
      </w:r>
      <w:r w:rsidR="00903055">
        <w:t>.</w:t>
      </w:r>
      <w:r w:rsidR="00903055">
        <w:rPr>
          <w:vertAlign w:val="superscript"/>
        </w:rPr>
        <w:t>1</w:t>
      </w:r>
      <w:r w:rsidR="00903055">
        <w:t xml:space="preserve"> </w:t>
      </w:r>
      <w:r w:rsidR="00903055">
        <w:rPr>
          <w:rFonts w:ascii="宋体" w:eastAsia="宋体" w:hAnsi="宋体" w:cs="宋体" w:hint="eastAsia"/>
        </w:rPr>
        <w:t>。。</w:t>
      </w:r>
      <w:r w:rsidR="00903055">
        <w:t>A</w:t>
      </w:r>
      <w:r>
        <w:t xml:space="preserve"> reasonable approach would be weekly for the first month and after every dose titration, then monthly thereafter. A rebound in serum K+ occurs on cessation of patiromer, therefore withdrawal should be undertaken cautiously. The serum K+ may rise as early as two days after cessation of patiromer, especially if RAASi therapy is continued,</w:t>
      </w:r>
      <w:r>
        <w:rPr>
          <w:vertAlign w:val="superscript"/>
        </w:rPr>
        <w:t>1</w:t>
      </w:r>
      <w:r>
        <w:t xml:space="preserve"> therefore monitor serum K+ within one week after drug cessation.</w:t>
      </w:r>
    </w:p>
    <w:p w:rsidR="008F03B5" w:rsidRDefault="00586B9B">
      <w:pPr>
        <w:spacing w:before="119"/>
        <w:ind w:left="217"/>
        <w:rPr>
          <w:b/>
          <w:sz w:val="24"/>
        </w:rPr>
      </w:pPr>
      <w:r>
        <w:rPr>
          <w:b/>
          <w:color w:val="44536A"/>
          <w:sz w:val="24"/>
        </w:rPr>
        <w:t>References</w:t>
      </w:r>
    </w:p>
    <w:p w:rsidR="008F03B5" w:rsidRDefault="00586B9B" w:rsidP="00586B9B">
      <w:pPr>
        <w:pStyle w:val="a4"/>
        <w:numPr>
          <w:ilvl w:val="0"/>
          <w:numId w:val="51"/>
        </w:numPr>
        <w:tabs>
          <w:tab w:val="left" w:pos="939"/>
        </w:tabs>
        <w:spacing w:before="40" w:line="276" w:lineRule="auto"/>
        <w:ind w:right="355"/>
      </w:pPr>
      <w:r>
        <w:t>Vifor Fresenius Medical Care Renal Pharma UK. Veltassa (Patiromer): Annex 1 - Summary of Product Characteristics.</w:t>
      </w:r>
      <w:r>
        <w:rPr>
          <w:color w:val="0562C1"/>
          <w:spacing w:val="-3"/>
        </w:rPr>
        <w:t xml:space="preserve"> </w:t>
      </w:r>
      <w:hyperlink r:id="rId12">
        <w:r>
          <w:rPr>
            <w:color w:val="0562C1"/>
            <w:u w:val="single" w:color="0562C1"/>
          </w:rPr>
          <w:t>www.ema.europa.eu/en/documents/product-information/veltassa</w:t>
        </w:r>
      </w:hyperlink>
    </w:p>
    <w:p w:rsidR="008F03B5" w:rsidRPr="00C07B5E" w:rsidRDefault="008F03B5">
      <w:pPr>
        <w:spacing w:line="276" w:lineRule="auto"/>
        <w:rPr>
          <w:rFonts w:eastAsiaTheme="minorEastAsia"/>
          <w:lang w:eastAsia="zh-CN"/>
        </w:rPr>
        <w:sectPr w:rsidR="008F03B5" w:rsidRPr="00C07B5E">
          <w:pgSz w:w="11910" w:h="16840"/>
          <w:pgMar w:top="1540" w:right="780" w:bottom="1100" w:left="860" w:header="425" w:footer="912" w:gutter="0"/>
          <w:cols w:space="720"/>
        </w:sectPr>
      </w:pPr>
    </w:p>
    <w:p w:rsidR="008F03B5" w:rsidRDefault="00586B9B">
      <w:pPr>
        <w:pStyle w:val="2"/>
        <w:spacing w:before="119"/>
      </w:pPr>
      <w:bookmarkStart w:id="12" w:name="_bookmark18"/>
      <w:bookmarkEnd w:id="12"/>
      <w:r>
        <w:rPr>
          <w:color w:val="1F4E79"/>
        </w:rPr>
        <w:lastRenderedPageBreak/>
        <w:t>Treatment: Sodium zirconium cyclosilicate (Guidelines 10.1-10.3)</w:t>
      </w:r>
    </w:p>
    <w:p w:rsidR="008F03B5" w:rsidRDefault="008F03B5">
      <w:pPr>
        <w:pStyle w:val="a3"/>
        <w:rPr>
          <w:b/>
          <w:sz w:val="24"/>
        </w:rPr>
      </w:pPr>
    </w:p>
    <w:p w:rsidR="008F03B5" w:rsidRDefault="008F03B5">
      <w:pPr>
        <w:pStyle w:val="a3"/>
        <w:spacing w:before="2"/>
        <w:rPr>
          <w:b/>
          <w:sz w:val="21"/>
        </w:rPr>
      </w:pPr>
    </w:p>
    <w:p w:rsidR="008F03B5" w:rsidRDefault="00586B9B">
      <w:pPr>
        <w:pStyle w:val="3"/>
      </w:pPr>
      <w:r>
        <w:t>Guideline 10.1 – Sodium Zirconium Cyclosilicate for the management of Hyperkalaemia</w:t>
      </w:r>
    </w:p>
    <w:p w:rsidR="008F03B5" w:rsidRDefault="008F03B5">
      <w:pPr>
        <w:pStyle w:val="a3"/>
        <w:spacing w:before="6"/>
        <w:rPr>
          <w:b/>
          <w:sz w:val="19"/>
        </w:rPr>
      </w:pPr>
    </w:p>
    <w:p w:rsidR="008F03B5" w:rsidRDefault="00586B9B">
      <w:pPr>
        <w:pStyle w:val="a3"/>
        <w:spacing w:line="278" w:lineRule="auto"/>
        <w:ind w:left="217" w:right="329"/>
      </w:pPr>
      <w:r>
        <w:t>We recommend that Sodium Zirconium Cyclosilicate (SZC) is an option in out-patients for the management of persistent hyperkalaemia with a confirmed serum K+ ≥ 6.0 mmol/l in patients with CKD Stage 3b-5 (not on dialysis) or heart failure receiving a sub-optimal dose of RAASi therapy. (1A)</w:t>
      </w:r>
    </w:p>
    <w:p w:rsidR="008F03B5" w:rsidRDefault="00586B9B">
      <w:pPr>
        <w:pStyle w:val="3"/>
        <w:spacing w:before="196"/>
      </w:pPr>
      <w:r>
        <w:t>Guideline 10.2 – Sodium Zirconium Cyclosilicate for the management of Hyperkalaemia</w:t>
      </w:r>
    </w:p>
    <w:p w:rsidR="008F03B5" w:rsidRDefault="008F03B5">
      <w:pPr>
        <w:pStyle w:val="a3"/>
        <w:spacing w:before="6"/>
        <w:rPr>
          <w:b/>
          <w:sz w:val="19"/>
        </w:rPr>
      </w:pPr>
    </w:p>
    <w:p w:rsidR="008F03B5" w:rsidRDefault="00586B9B">
      <w:pPr>
        <w:pStyle w:val="a3"/>
        <w:spacing w:line="278" w:lineRule="auto"/>
        <w:ind w:left="217" w:right="513"/>
      </w:pPr>
      <w:r>
        <w:t>We recommend that treatment with Sodium Zirconium Cyclosilicate (SZC) in out-patients is discontinued if RAASi therapy is stopped. (1A)</w:t>
      </w:r>
    </w:p>
    <w:p w:rsidR="008F03B5" w:rsidRDefault="008F03B5">
      <w:pPr>
        <w:pStyle w:val="a3"/>
        <w:spacing w:before="3"/>
        <w:rPr>
          <w:sz w:val="16"/>
        </w:rPr>
      </w:pPr>
    </w:p>
    <w:p w:rsidR="008F03B5" w:rsidRDefault="00586B9B">
      <w:pPr>
        <w:pStyle w:val="3"/>
      </w:pPr>
      <w:r>
        <w:t>Guideline 10.3 – Sodium Zirconium Cyclosilicate for the management of Hyperkalaemia</w:t>
      </w:r>
    </w:p>
    <w:p w:rsidR="008F03B5" w:rsidRDefault="008F03B5">
      <w:pPr>
        <w:pStyle w:val="a3"/>
        <w:spacing w:before="8"/>
        <w:rPr>
          <w:b/>
          <w:sz w:val="19"/>
        </w:rPr>
      </w:pPr>
    </w:p>
    <w:p w:rsidR="008F03B5" w:rsidRDefault="00586B9B">
      <w:pPr>
        <w:pStyle w:val="a3"/>
        <w:ind w:left="217"/>
      </w:pPr>
      <w:r>
        <w:t>We recommend that Sodium Zirconium Cyclosilicate (SZC) is initiated in secondary care only. (1A)</w:t>
      </w:r>
    </w:p>
    <w:p w:rsidR="008F03B5" w:rsidRDefault="008F03B5">
      <w:pPr>
        <w:pStyle w:val="a3"/>
        <w:rPr>
          <w:sz w:val="23"/>
        </w:rPr>
      </w:pPr>
    </w:p>
    <w:p w:rsidR="008F03B5" w:rsidRDefault="00586B9B">
      <w:pPr>
        <w:spacing w:before="1"/>
        <w:ind w:left="217"/>
        <w:rPr>
          <w:b/>
          <w:sz w:val="24"/>
        </w:rPr>
      </w:pPr>
      <w:r>
        <w:rPr>
          <w:b/>
          <w:color w:val="44536A"/>
          <w:sz w:val="24"/>
        </w:rPr>
        <w:t>Audit measures</w:t>
      </w:r>
    </w:p>
    <w:p w:rsidR="008F03B5" w:rsidRDefault="00586B9B" w:rsidP="00586B9B">
      <w:pPr>
        <w:pStyle w:val="a4"/>
        <w:numPr>
          <w:ilvl w:val="0"/>
          <w:numId w:val="50"/>
        </w:numPr>
        <w:tabs>
          <w:tab w:val="left" w:pos="939"/>
        </w:tabs>
        <w:spacing w:before="40" w:line="273" w:lineRule="auto"/>
        <w:ind w:right="625"/>
      </w:pPr>
      <w:r>
        <w:t>The proportion of out-patients with moderate hyperkalaemia (serum K+ 6.0 - 6.4 mmol/l) treated with SZC who achieved a serum K+ ≤ 5.0 mmol/l within 48</w:t>
      </w:r>
      <w:r>
        <w:rPr>
          <w:spacing w:val="-16"/>
        </w:rPr>
        <w:t xml:space="preserve"> </w:t>
      </w:r>
      <w:r>
        <w:t>hours.</w:t>
      </w:r>
    </w:p>
    <w:p w:rsidR="008F03B5" w:rsidRDefault="00586B9B" w:rsidP="00586B9B">
      <w:pPr>
        <w:pStyle w:val="a4"/>
        <w:numPr>
          <w:ilvl w:val="0"/>
          <w:numId w:val="50"/>
        </w:numPr>
        <w:tabs>
          <w:tab w:val="left" w:pos="939"/>
        </w:tabs>
        <w:spacing w:before="7"/>
        <w:ind w:hanging="361"/>
      </w:pPr>
      <w:r>
        <w:t>The proportion of out-patients who achieve maximal dose RAASi therapy whilst taking</w:t>
      </w:r>
      <w:r>
        <w:rPr>
          <w:spacing w:val="-19"/>
        </w:rPr>
        <w:t xml:space="preserve"> </w:t>
      </w:r>
      <w:r>
        <w:t>SZC.</w:t>
      </w:r>
    </w:p>
    <w:p w:rsidR="008F03B5" w:rsidRDefault="008F03B5">
      <w:pPr>
        <w:pStyle w:val="a3"/>
      </w:pPr>
    </w:p>
    <w:p w:rsidR="008F03B5" w:rsidRDefault="008F03B5">
      <w:pPr>
        <w:pStyle w:val="a3"/>
      </w:pPr>
    </w:p>
    <w:p w:rsidR="008F03B5" w:rsidRDefault="008F03B5">
      <w:pPr>
        <w:pStyle w:val="a3"/>
        <w:spacing w:before="3"/>
        <w:rPr>
          <w:sz w:val="26"/>
        </w:rPr>
      </w:pPr>
    </w:p>
    <w:p w:rsidR="008F03B5" w:rsidRDefault="00586B9B">
      <w:pPr>
        <w:ind w:left="217"/>
        <w:rPr>
          <w:b/>
          <w:sz w:val="24"/>
        </w:rPr>
      </w:pPr>
      <w:r>
        <w:rPr>
          <w:b/>
          <w:color w:val="44536A"/>
          <w:sz w:val="24"/>
        </w:rPr>
        <w:t>Rationale (Guideline 10.1 – 10.3)</w:t>
      </w:r>
    </w:p>
    <w:p w:rsidR="008F03B5" w:rsidRDefault="00586B9B">
      <w:pPr>
        <w:pStyle w:val="a3"/>
        <w:spacing w:before="2" w:line="276" w:lineRule="auto"/>
        <w:ind w:left="217" w:right="345"/>
      </w:pPr>
      <w:r>
        <w:t>Sodium Zirconium Cyclosilicate (SZC) is a non-absorbed potassium binder that preferentially exchanges H+ and Na+ for K+ and ammonium ions throughout the entire gastrointestinal tract</w:t>
      </w:r>
      <w:r w:rsidR="00903055">
        <w:t>.</w:t>
      </w:r>
      <w:r w:rsidR="00903055">
        <w:rPr>
          <w:vertAlign w:val="superscript"/>
        </w:rPr>
        <w:t>1</w:t>
      </w:r>
      <w:r w:rsidR="00903055">
        <w:t xml:space="preserve"> </w:t>
      </w:r>
      <w:r w:rsidR="00903055">
        <w:rPr>
          <w:rFonts w:ascii="宋体" w:eastAsia="宋体" w:hAnsi="宋体" w:cs="宋体" w:hint="eastAsia"/>
        </w:rPr>
        <w:t>。。</w:t>
      </w:r>
      <w:r w:rsidR="00903055">
        <w:t>S</w:t>
      </w:r>
      <w:r>
        <w:t>ZC selectively entraps monovalent cations (i.e. K+ and ammonium) compared with divalent cations (Ca2+ and Mg2+). Therefore, unlike patiromer, SZC does not affect Mg2+ levels. SZC binding of ammonium ions increases serum bicarbonate levels, which is favourable in the context of hyperkalaemia. In-vitro studies have shown that the K+-binding capacity of SZC is up to 9 times greater than that of sodium polystyrene sulphonate (SPS)</w:t>
      </w:r>
      <w:r w:rsidR="00903055">
        <w:t>.</w:t>
      </w:r>
      <w:r w:rsidR="00903055">
        <w:rPr>
          <w:vertAlign w:val="superscript"/>
        </w:rPr>
        <w:t>2</w:t>
      </w:r>
      <w:r w:rsidR="00903055">
        <w:t xml:space="preserve"> </w:t>
      </w:r>
      <w:r w:rsidR="00903055">
        <w:rPr>
          <w:rFonts w:ascii="宋体" w:eastAsia="宋体" w:hAnsi="宋体" w:cs="宋体" w:hint="eastAsia"/>
        </w:rPr>
        <w:t>。。</w:t>
      </w:r>
      <w:r w:rsidR="00903055">
        <w:t>T</w:t>
      </w:r>
      <w:r>
        <w:t>he</w:t>
      </w:r>
      <w:r w:rsidR="00C07B5E">
        <w:t xml:space="preserve"> </w:t>
      </w:r>
      <w:r>
        <w:t>K+-exchange capacity of SZC is also &gt; 25 times more selective for K+ over Ca2+ or Mg2+ compared with SPS</w:t>
      </w:r>
      <w:r w:rsidR="00903055">
        <w:t>.</w:t>
      </w:r>
      <w:r w:rsidR="00903055">
        <w:rPr>
          <w:vertAlign w:val="superscript"/>
        </w:rPr>
        <w:t>3</w:t>
      </w:r>
      <w:r w:rsidR="00903055">
        <w:t xml:space="preserve"> </w:t>
      </w:r>
      <w:r w:rsidR="00903055">
        <w:rPr>
          <w:rFonts w:ascii="宋体" w:eastAsia="宋体" w:hAnsi="宋体" w:cs="宋体" w:hint="eastAsia"/>
        </w:rPr>
        <w:t>。。</w:t>
      </w:r>
      <w:r w:rsidR="00903055">
        <w:t>A</w:t>
      </w:r>
      <w:r>
        <w:t xml:space="preserve"> comparison of the mechanism of action of all of the oral potassium binders is shown in Appendix 1.</w:t>
      </w:r>
    </w:p>
    <w:p w:rsidR="008F03B5" w:rsidRDefault="008F03B5">
      <w:pPr>
        <w:pStyle w:val="a3"/>
        <w:spacing w:before="3"/>
        <w:rPr>
          <w:sz w:val="16"/>
        </w:rPr>
      </w:pPr>
    </w:p>
    <w:p w:rsidR="008F03B5" w:rsidRDefault="00586B9B">
      <w:pPr>
        <w:pStyle w:val="a3"/>
        <w:spacing w:line="278" w:lineRule="auto"/>
        <w:ind w:left="217" w:right="339"/>
      </w:pPr>
      <w:r>
        <w:t>SZC is generally well tolerated. The most common adverse effects are oedema (5.7%) and hypokalaemia (4.1%). SZC exchanges Na+ for K+, accounting for the potential risk of worsening oedema, hypertension and heart failure. Product information and administration is described in Appendix 3E.</w:t>
      </w:r>
    </w:p>
    <w:p w:rsidR="008F03B5" w:rsidRDefault="00586B9B" w:rsidP="00C07B5E">
      <w:pPr>
        <w:spacing w:line="276" w:lineRule="auto"/>
      </w:pPr>
      <w:r>
        <w:t>Three randomised controlled trials and one open label clinical trial have been reported. The first was a double-blind RCT to investigate the safety and efficacy of SZC across a range of doses over a 2-day period</w:t>
      </w:r>
      <w:r w:rsidR="00903055">
        <w:t>.</w:t>
      </w:r>
      <w:r w:rsidR="00903055">
        <w:rPr>
          <w:vertAlign w:val="superscript"/>
        </w:rPr>
        <w:t>4</w:t>
      </w:r>
      <w:r w:rsidR="00903055">
        <w:t xml:space="preserve"> </w:t>
      </w:r>
      <w:r w:rsidR="00903055">
        <w:rPr>
          <w:rFonts w:ascii="宋体" w:eastAsia="宋体" w:hAnsi="宋体" w:cs="宋体" w:hint="eastAsia"/>
        </w:rPr>
        <w:t>。。</w:t>
      </w:r>
      <w:r w:rsidR="00903055">
        <w:t>A</w:t>
      </w:r>
      <w:r>
        <w:t xml:space="preserve"> dose-dependent reduction in serum K+ was demonstrated. The primary endpoint of rate of decline of serum K+ was achieved at the approved dose of 10g three times daily. This was followed by two multi-national Phase III RCT trials (ZS-003, ZS-004) to evaluate the efficacy and safety of SZC over a longer duration</w:t>
      </w:r>
      <w:r w:rsidR="00903055">
        <w:t>.</w:t>
      </w:r>
      <w:r w:rsidR="00903055">
        <w:rPr>
          <w:vertAlign w:val="superscript"/>
        </w:rPr>
        <w:t>5,6</w:t>
      </w:r>
      <w:r w:rsidR="00903055">
        <w:t xml:space="preserve"> </w:t>
      </w:r>
      <w:r w:rsidR="00903055">
        <w:rPr>
          <w:rFonts w:ascii="宋体" w:eastAsia="宋体" w:hAnsi="宋体" w:cs="宋体" w:hint="eastAsia"/>
        </w:rPr>
        <w:t>。。</w:t>
      </w:r>
      <w:r w:rsidR="00903055">
        <w:t>T</w:t>
      </w:r>
      <w:r>
        <w:t>he most recent study, ZS-005, is an open-label study to assess the efficacy of SZC with longterm use (52 weeks)</w:t>
      </w:r>
      <w:r w:rsidR="00903055">
        <w:t>.</w:t>
      </w:r>
      <w:r w:rsidR="00903055">
        <w:rPr>
          <w:vertAlign w:val="superscript"/>
        </w:rPr>
        <w:t>7</w:t>
      </w:r>
      <w:r w:rsidR="00903055">
        <w:t xml:space="preserve"> </w:t>
      </w:r>
      <w:r w:rsidR="00903055">
        <w:rPr>
          <w:rFonts w:ascii="宋体" w:eastAsia="宋体" w:hAnsi="宋体" w:cs="宋体" w:hint="eastAsia"/>
        </w:rPr>
        <w:t>。。</w:t>
      </w:r>
      <w:r w:rsidR="00903055">
        <w:t>P</w:t>
      </w:r>
      <w:r>
        <w:t>atients with CKD, heart failure, diabetes mellitus and receiving RAASi medication were included in these studies. The studies were conducted in stable out-patients and excluded patients on dialysis, with life-</w:t>
      </w:r>
      <w:r w:rsidR="00C07B5E">
        <w:t xml:space="preserve"> </w:t>
      </w:r>
      <w:r>
        <w:t>threatening hyperkalaemia or diabetic ketoacidosis. There was also no restriction on dietary K+ intake in all of SZC trials.</w:t>
      </w:r>
    </w:p>
    <w:p w:rsidR="008F03B5" w:rsidRDefault="00586B9B">
      <w:pPr>
        <w:pStyle w:val="a3"/>
        <w:spacing w:before="196" w:line="276" w:lineRule="auto"/>
        <w:ind w:left="217" w:right="537"/>
      </w:pPr>
      <w:r>
        <w:lastRenderedPageBreak/>
        <w:t>The key clinical trials for SZC in the treatment of hyperkalaemia are summarised in Table 7. These studies were designed to determine the efficacy of SZC in controlling hyperkalaemia over a 48-hr induction phase, followed by sustained control during a maintenance phase of variable duration – 14 days (ZS-003), 28 days (ZS-004) and 52 weeks (ZS-005). The proportion of patients with CKD, diabetes, heart failure and taking RAASi drugs were similar in these studies (Appendix 2).</w:t>
      </w:r>
    </w:p>
    <w:p w:rsidR="008F03B5" w:rsidRDefault="008F03B5">
      <w:pPr>
        <w:pStyle w:val="a3"/>
        <w:spacing w:before="5"/>
        <w:rPr>
          <w:sz w:val="16"/>
        </w:rPr>
      </w:pPr>
    </w:p>
    <w:p w:rsidR="008F03B5" w:rsidRDefault="00586B9B" w:rsidP="00C07B5E">
      <w:pPr>
        <w:tabs>
          <w:tab w:val="left" w:pos="546"/>
        </w:tabs>
        <w:spacing w:line="278" w:lineRule="auto"/>
        <w:ind w:left="217" w:right="335"/>
      </w:pPr>
      <w:r>
        <w:t>These clinical trials have demonstrated the efficacy of SZC. The onset of action of SZC is within 1 hour after ingestion and there is a close correlation between the initial serum K+ level and the size of the treatment effect</w:t>
      </w:r>
      <w:r w:rsidR="00903055">
        <w:t>.</w:t>
      </w:r>
      <w:r w:rsidR="00903055">
        <w:rPr>
          <w:vertAlign w:val="superscript"/>
        </w:rPr>
        <w:t>1</w:t>
      </w:r>
      <w:r w:rsidR="00903055">
        <w:t xml:space="preserve"> </w:t>
      </w:r>
      <w:r w:rsidR="00903055">
        <w:rPr>
          <w:rFonts w:ascii="宋体" w:eastAsia="宋体" w:hAnsi="宋体" w:cs="宋体" w:hint="eastAsia"/>
        </w:rPr>
        <w:t>。。</w:t>
      </w:r>
      <w:r w:rsidR="00903055">
        <w:t>T</w:t>
      </w:r>
      <w:r>
        <w:t>he median time to normalisation of serum K+ was 2.2 hours</w:t>
      </w:r>
      <w:r w:rsidR="00903055">
        <w:t>.</w:t>
      </w:r>
      <w:r w:rsidR="00903055">
        <w:rPr>
          <w:vertAlign w:val="superscript"/>
        </w:rPr>
        <w:t>6</w:t>
      </w:r>
      <w:r w:rsidR="00903055">
        <w:t xml:space="preserve"> </w:t>
      </w:r>
      <w:r w:rsidR="00903055">
        <w:rPr>
          <w:rFonts w:ascii="宋体" w:eastAsia="宋体" w:hAnsi="宋体" w:cs="宋体" w:hint="eastAsia"/>
        </w:rPr>
        <w:t>。。</w:t>
      </w:r>
      <w:r w:rsidR="00903055">
        <w:t>S</w:t>
      </w:r>
      <w:r>
        <w:t>ZC lowers serum K+ by 1.1 mmol/l within 48 hours</w:t>
      </w:r>
      <w:r w:rsidR="00903055">
        <w:t>.</w:t>
      </w:r>
      <w:r w:rsidR="00903055">
        <w:rPr>
          <w:vertAlign w:val="superscript"/>
        </w:rPr>
        <w:t>6</w:t>
      </w:r>
      <w:r w:rsidR="00903055">
        <w:t xml:space="preserve"> </w:t>
      </w:r>
      <w:r w:rsidR="00903055">
        <w:rPr>
          <w:rFonts w:ascii="宋体" w:eastAsia="宋体" w:hAnsi="宋体" w:cs="宋体" w:hint="eastAsia"/>
        </w:rPr>
        <w:t>。。</w:t>
      </w:r>
      <w:r w:rsidR="00903055">
        <w:t>T</w:t>
      </w:r>
      <w:r>
        <w:t>he ZS-003 and ZS-004 clinical trials also demonstrated a greater K+-lowering effect with increasing severity of hyperkalaemia</w:t>
      </w:r>
      <w:r w:rsidR="00903055">
        <w:t>.</w:t>
      </w:r>
      <w:r w:rsidR="00903055">
        <w:rPr>
          <w:vertAlign w:val="superscript"/>
        </w:rPr>
        <w:t>5,6</w:t>
      </w:r>
      <w:r w:rsidR="00903055">
        <w:t xml:space="preserve"> </w:t>
      </w:r>
      <w:r w:rsidR="00903055">
        <w:rPr>
          <w:rFonts w:ascii="宋体" w:eastAsia="宋体" w:hAnsi="宋体" w:cs="宋体" w:hint="eastAsia"/>
        </w:rPr>
        <w:t>。。</w:t>
      </w:r>
      <w:r w:rsidR="00903055">
        <w:t>I</w:t>
      </w:r>
      <w:r>
        <w:t>n patients with a serum K+ &gt; 6.0 mmol/l, SZC lowers serum K+ by</w:t>
      </w:r>
      <w:r w:rsidR="00C07B5E">
        <w:t xml:space="preserve"> 1.5 </w:t>
      </w:r>
      <w:r>
        <w:t>mmol/l within 48 hours</w:t>
      </w:r>
      <w:r w:rsidR="00903055">
        <w:t>.</w:t>
      </w:r>
      <w:r w:rsidR="00903055" w:rsidRPr="00C07B5E">
        <w:rPr>
          <w:vertAlign w:val="superscript"/>
        </w:rPr>
        <w:t>6</w:t>
      </w:r>
      <w:r w:rsidR="00903055">
        <w:t xml:space="preserve"> </w:t>
      </w:r>
      <w:r w:rsidR="00903055">
        <w:rPr>
          <w:rFonts w:ascii="宋体" w:eastAsia="宋体" w:hAnsi="宋体" w:cs="宋体" w:hint="eastAsia"/>
        </w:rPr>
        <w:t>。。</w:t>
      </w:r>
      <w:r w:rsidR="00903055">
        <w:t>I</w:t>
      </w:r>
      <w:r>
        <w:t>n the longterm study conducted over 12 months, 87% of patients were able to continue RAASi or increase the dose and only 11% discontinued RAASi</w:t>
      </w:r>
      <w:r w:rsidRPr="00C07B5E">
        <w:rPr>
          <w:spacing w:val="-12"/>
        </w:rPr>
        <w:t xml:space="preserve"> </w:t>
      </w:r>
      <w:r>
        <w:t>therapy.</w:t>
      </w:r>
      <w:r w:rsidRPr="00C07B5E">
        <w:rPr>
          <w:vertAlign w:val="superscript"/>
        </w:rPr>
        <w:t>7</w:t>
      </w:r>
    </w:p>
    <w:p w:rsidR="008F03B5" w:rsidRDefault="008F03B5">
      <w:pPr>
        <w:pStyle w:val="a3"/>
        <w:spacing w:before="3"/>
        <w:rPr>
          <w:sz w:val="16"/>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9"/>
        <w:gridCol w:w="1277"/>
        <w:gridCol w:w="567"/>
        <w:gridCol w:w="991"/>
        <w:gridCol w:w="1419"/>
        <w:gridCol w:w="1416"/>
        <w:gridCol w:w="1136"/>
        <w:gridCol w:w="1702"/>
      </w:tblGrid>
      <w:tr w:rsidR="008F03B5">
        <w:trPr>
          <w:trHeight w:val="981"/>
        </w:trPr>
        <w:tc>
          <w:tcPr>
            <w:tcW w:w="1419" w:type="dxa"/>
            <w:shd w:val="clear" w:color="auto" w:fill="DEEAF6"/>
          </w:tcPr>
          <w:p w:rsidR="008F03B5" w:rsidRDefault="00586B9B">
            <w:pPr>
              <w:pStyle w:val="TableParagraph"/>
              <w:spacing w:line="243" w:lineRule="exact"/>
              <w:ind w:left="141"/>
              <w:rPr>
                <w:b/>
                <w:sz w:val="20"/>
              </w:rPr>
            </w:pPr>
            <w:r>
              <w:rPr>
                <w:b/>
                <w:sz w:val="20"/>
              </w:rPr>
              <w:t>STUDY</w:t>
            </w:r>
          </w:p>
        </w:tc>
        <w:tc>
          <w:tcPr>
            <w:tcW w:w="1277" w:type="dxa"/>
            <w:shd w:val="clear" w:color="auto" w:fill="DEEAF6"/>
          </w:tcPr>
          <w:p w:rsidR="008F03B5" w:rsidRDefault="00586B9B">
            <w:pPr>
              <w:pStyle w:val="TableParagraph"/>
              <w:ind w:left="359" w:firstLine="40"/>
              <w:rPr>
                <w:b/>
                <w:sz w:val="20"/>
              </w:rPr>
            </w:pPr>
            <w:r>
              <w:rPr>
                <w:b/>
                <w:sz w:val="20"/>
              </w:rPr>
              <w:t xml:space="preserve">Study </w:t>
            </w:r>
            <w:r>
              <w:rPr>
                <w:b/>
                <w:w w:val="95"/>
                <w:sz w:val="20"/>
              </w:rPr>
              <w:t>Design</w:t>
            </w:r>
          </w:p>
        </w:tc>
        <w:tc>
          <w:tcPr>
            <w:tcW w:w="567" w:type="dxa"/>
            <w:shd w:val="clear" w:color="auto" w:fill="DEEAF6"/>
          </w:tcPr>
          <w:p w:rsidR="008F03B5" w:rsidRDefault="00586B9B">
            <w:pPr>
              <w:pStyle w:val="TableParagraph"/>
              <w:spacing w:line="243" w:lineRule="exact"/>
              <w:ind w:left="106" w:right="103"/>
              <w:jc w:val="center"/>
              <w:rPr>
                <w:b/>
                <w:sz w:val="20"/>
              </w:rPr>
            </w:pPr>
            <w:r>
              <w:rPr>
                <w:b/>
                <w:sz w:val="20"/>
              </w:rPr>
              <w:t>N =</w:t>
            </w:r>
          </w:p>
        </w:tc>
        <w:tc>
          <w:tcPr>
            <w:tcW w:w="991" w:type="dxa"/>
            <w:shd w:val="clear" w:color="auto" w:fill="DEEAF6"/>
          </w:tcPr>
          <w:p w:rsidR="008F03B5" w:rsidRDefault="00586B9B">
            <w:pPr>
              <w:pStyle w:val="TableParagraph"/>
              <w:ind w:left="136" w:right="107" w:firstLine="122"/>
              <w:rPr>
                <w:b/>
                <w:sz w:val="20"/>
              </w:rPr>
            </w:pPr>
            <w:r>
              <w:rPr>
                <w:b/>
                <w:sz w:val="20"/>
              </w:rPr>
              <w:t>Study duration</w:t>
            </w:r>
          </w:p>
        </w:tc>
        <w:tc>
          <w:tcPr>
            <w:tcW w:w="1419" w:type="dxa"/>
            <w:shd w:val="clear" w:color="auto" w:fill="DEEAF6"/>
          </w:tcPr>
          <w:p w:rsidR="008F03B5" w:rsidRDefault="00586B9B">
            <w:pPr>
              <w:pStyle w:val="TableParagraph"/>
              <w:spacing w:line="243" w:lineRule="exact"/>
              <w:ind w:left="139" w:right="139"/>
              <w:jc w:val="center"/>
              <w:rPr>
                <w:b/>
                <w:sz w:val="20"/>
              </w:rPr>
            </w:pPr>
            <w:r>
              <w:rPr>
                <w:b/>
                <w:sz w:val="20"/>
              </w:rPr>
              <w:t>Dose of SZC</w:t>
            </w:r>
          </w:p>
          <w:p w:rsidR="008F03B5" w:rsidRDefault="008F03B5">
            <w:pPr>
              <w:pStyle w:val="TableParagraph"/>
              <w:rPr>
                <w:sz w:val="20"/>
              </w:rPr>
            </w:pPr>
          </w:p>
          <w:p w:rsidR="008F03B5" w:rsidRDefault="008F03B5">
            <w:pPr>
              <w:pStyle w:val="TableParagraph"/>
              <w:spacing w:before="11"/>
              <w:rPr>
                <w:sz w:val="19"/>
              </w:rPr>
            </w:pPr>
          </w:p>
          <w:p w:rsidR="008F03B5" w:rsidRDefault="00586B9B">
            <w:pPr>
              <w:pStyle w:val="TableParagraph"/>
              <w:spacing w:line="230" w:lineRule="exact"/>
              <w:ind w:left="139" w:right="136"/>
              <w:jc w:val="center"/>
              <w:rPr>
                <w:b/>
                <w:sz w:val="20"/>
              </w:rPr>
            </w:pPr>
            <w:r>
              <w:rPr>
                <w:b/>
                <w:sz w:val="20"/>
              </w:rPr>
              <w:t>(x3/day)</w:t>
            </w:r>
          </w:p>
        </w:tc>
        <w:tc>
          <w:tcPr>
            <w:tcW w:w="1416" w:type="dxa"/>
            <w:shd w:val="clear" w:color="auto" w:fill="DEEAF6"/>
          </w:tcPr>
          <w:p w:rsidR="008F03B5" w:rsidRDefault="00586B9B">
            <w:pPr>
              <w:pStyle w:val="TableParagraph"/>
              <w:ind w:left="119" w:right="112" w:firstLine="2"/>
              <w:jc w:val="center"/>
              <w:rPr>
                <w:b/>
                <w:sz w:val="20"/>
              </w:rPr>
            </w:pPr>
            <w:r>
              <w:rPr>
                <w:b/>
                <w:sz w:val="20"/>
              </w:rPr>
              <w:t>Renal function</w:t>
            </w:r>
            <w:r>
              <w:rPr>
                <w:b/>
                <w:spacing w:val="-1"/>
                <w:sz w:val="20"/>
              </w:rPr>
              <w:t xml:space="preserve"> </w:t>
            </w:r>
            <w:r>
              <w:rPr>
                <w:b/>
                <w:spacing w:val="-4"/>
                <w:sz w:val="20"/>
              </w:rPr>
              <w:t>eGFR</w:t>
            </w:r>
          </w:p>
          <w:p w:rsidR="008F03B5" w:rsidRDefault="008F03B5">
            <w:pPr>
              <w:pStyle w:val="TableParagraph"/>
              <w:spacing w:before="10"/>
              <w:rPr>
                <w:sz w:val="19"/>
              </w:rPr>
            </w:pPr>
          </w:p>
          <w:p w:rsidR="008F03B5" w:rsidRDefault="00586B9B">
            <w:pPr>
              <w:pStyle w:val="TableParagraph"/>
              <w:spacing w:line="230" w:lineRule="exact"/>
              <w:ind w:left="314" w:right="309"/>
              <w:jc w:val="center"/>
              <w:rPr>
                <w:b/>
                <w:sz w:val="20"/>
              </w:rPr>
            </w:pPr>
            <w:r>
              <w:rPr>
                <w:b/>
                <w:sz w:val="20"/>
              </w:rPr>
              <w:t>(ml/min)</w:t>
            </w:r>
          </w:p>
        </w:tc>
        <w:tc>
          <w:tcPr>
            <w:tcW w:w="1136" w:type="dxa"/>
            <w:shd w:val="clear" w:color="auto" w:fill="DEEAF6"/>
          </w:tcPr>
          <w:p w:rsidR="008F03B5" w:rsidRDefault="00586B9B">
            <w:pPr>
              <w:pStyle w:val="TableParagraph"/>
              <w:ind w:left="107" w:right="101" w:hanging="2"/>
              <w:jc w:val="center"/>
              <w:rPr>
                <w:b/>
                <w:sz w:val="20"/>
              </w:rPr>
            </w:pPr>
            <w:r>
              <w:rPr>
                <w:b/>
                <w:sz w:val="20"/>
              </w:rPr>
              <w:t>Mean Baseline K</w:t>
            </w:r>
            <w:r>
              <w:rPr>
                <w:b/>
                <w:sz w:val="20"/>
                <w:vertAlign w:val="superscript"/>
              </w:rPr>
              <w:t>+</w:t>
            </w:r>
            <w:r>
              <w:rPr>
                <w:b/>
                <w:sz w:val="20"/>
              </w:rPr>
              <w:t xml:space="preserve"> (mmol/l)</w:t>
            </w:r>
          </w:p>
        </w:tc>
        <w:tc>
          <w:tcPr>
            <w:tcW w:w="1702" w:type="dxa"/>
            <w:shd w:val="clear" w:color="auto" w:fill="DEEAF6"/>
          </w:tcPr>
          <w:p w:rsidR="008F03B5" w:rsidRDefault="00586B9B">
            <w:pPr>
              <w:pStyle w:val="TableParagraph"/>
              <w:spacing w:line="243" w:lineRule="exact"/>
              <w:ind w:left="431"/>
              <w:rPr>
                <w:b/>
                <w:sz w:val="20"/>
              </w:rPr>
            </w:pPr>
            <w:r>
              <w:rPr>
                <w:b/>
                <w:sz w:val="20"/>
              </w:rPr>
              <w:t>K</w:t>
            </w:r>
            <w:r>
              <w:rPr>
                <w:b/>
                <w:sz w:val="20"/>
                <w:vertAlign w:val="superscript"/>
              </w:rPr>
              <w:t>+</w:t>
            </w:r>
            <w:r>
              <w:rPr>
                <w:b/>
                <w:sz w:val="20"/>
              </w:rPr>
              <w:t xml:space="preserve"> Change</w:t>
            </w:r>
          </w:p>
          <w:p w:rsidR="008F03B5" w:rsidRDefault="008F03B5">
            <w:pPr>
              <w:pStyle w:val="TableParagraph"/>
              <w:rPr>
                <w:sz w:val="24"/>
              </w:rPr>
            </w:pPr>
          </w:p>
          <w:p w:rsidR="008F03B5" w:rsidRDefault="00586B9B">
            <w:pPr>
              <w:pStyle w:val="TableParagraph"/>
              <w:spacing w:before="195" w:line="230" w:lineRule="exact"/>
              <w:ind w:left="479"/>
              <w:rPr>
                <w:b/>
                <w:sz w:val="20"/>
              </w:rPr>
            </w:pPr>
            <w:r>
              <w:rPr>
                <w:b/>
                <w:sz w:val="20"/>
              </w:rPr>
              <w:t>(mmol/l)</w:t>
            </w:r>
          </w:p>
        </w:tc>
      </w:tr>
      <w:tr w:rsidR="008F03B5">
        <w:trPr>
          <w:trHeight w:val="263"/>
        </w:trPr>
        <w:tc>
          <w:tcPr>
            <w:tcW w:w="1419" w:type="dxa"/>
            <w:tcBorders>
              <w:bottom w:val="nil"/>
            </w:tcBorders>
          </w:tcPr>
          <w:p w:rsidR="008F03B5" w:rsidRDefault="00586B9B">
            <w:pPr>
              <w:pStyle w:val="TableParagraph"/>
              <w:spacing w:before="1" w:line="242" w:lineRule="exact"/>
              <w:ind w:left="141"/>
              <w:rPr>
                <w:b/>
                <w:sz w:val="20"/>
              </w:rPr>
            </w:pPr>
            <w:r>
              <w:rPr>
                <w:b/>
                <w:sz w:val="20"/>
              </w:rPr>
              <w:t xml:space="preserve">ZS-002 </w:t>
            </w:r>
            <w:r>
              <w:rPr>
                <w:b/>
                <w:sz w:val="20"/>
                <w:vertAlign w:val="superscript"/>
              </w:rPr>
              <w:t>4</w:t>
            </w:r>
          </w:p>
        </w:tc>
        <w:tc>
          <w:tcPr>
            <w:tcW w:w="1277" w:type="dxa"/>
            <w:tcBorders>
              <w:bottom w:val="nil"/>
            </w:tcBorders>
          </w:tcPr>
          <w:p w:rsidR="008F03B5" w:rsidRDefault="00586B9B">
            <w:pPr>
              <w:pStyle w:val="TableParagraph"/>
              <w:spacing w:before="1" w:line="242" w:lineRule="exact"/>
              <w:ind w:left="96" w:right="92"/>
              <w:jc w:val="center"/>
              <w:rPr>
                <w:sz w:val="20"/>
              </w:rPr>
            </w:pPr>
            <w:r>
              <w:rPr>
                <w:sz w:val="20"/>
              </w:rPr>
              <w:t>Phase II RCT</w:t>
            </w:r>
          </w:p>
        </w:tc>
        <w:tc>
          <w:tcPr>
            <w:tcW w:w="567" w:type="dxa"/>
            <w:tcBorders>
              <w:bottom w:val="nil"/>
            </w:tcBorders>
          </w:tcPr>
          <w:p w:rsidR="008F03B5" w:rsidRDefault="00586B9B">
            <w:pPr>
              <w:pStyle w:val="TableParagraph"/>
              <w:spacing w:before="1" w:line="242" w:lineRule="exact"/>
              <w:ind w:left="106" w:right="102"/>
              <w:jc w:val="center"/>
              <w:rPr>
                <w:sz w:val="20"/>
              </w:rPr>
            </w:pPr>
            <w:r>
              <w:rPr>
                <w:sz w:val="20"/>
              </w:rPr>
              <w:t>90</w:t>
            </w:r>
          </w:p>
        </w:tc>
        <w:tc>
          <w:tcPr>
            <w:tcW w:w="991" w:type="dxa"/>
            <w:tcBorders>
              <w:bottom w:val="nil"/>
            </w:tcBorders>
          </w:tcPr>
          <w:p w:rsidR="008F03B5" w:rsidRDefault="00586B9B">
            <w:pPr>
              <w:pStyle w:val="TableParagraph"/>
              <w:spacing w:before="1" w:line="242" w:lineRule="exact"/>
              <w:ind w:left="91" w:right="84"/>
              <w:jc w:val="center"/>
              <w:rPr>
                <w:sz w:val="20"/>
              </w:rPr>
            </w:pPr>
            <w:r>
              <w:rPr>
                <w:sz w:val="20"/>
              </w:rPr>
              <w:t>48 hrs</w:t>
            </w:r>
          </w:p>
        </w:tc>
        <w:tc>
          <w:tcPr>
            <w:tcW w:w="1419" w:type="dxa"/>
            <w:tcBorders>
              <w:bottom w:val="nil"/>
            </w:tcBorders>
          </w:tcPr>
          <w:p w:rsidR="008F03B5" w:rsidRDefault="00586B9B">
            <w:pPr>
              <w:pStyle w:val="TableParagraph"/>
              <w:spacing w:before="1" w:line="242" w:lineRule="exact"/>
              <w:ind w:left="139" w:right="139"/>
              <w:jc w:val="center"/>
              <w:rPr>
                <w:sz w:val="20"/>
              </w:rPr>
            </w:pPr>
            <w:r>
              <w:rPr>
                <w:sz w:val="20"/>
              </w:rPr>
              <w:t>Placebo</w:t>
            </w:r>
          </w:p>
        </w:tc>
        <w:tc>
          <w:tcPr>
            <w:tcW w:w="1416" w:type="dxa"/>
            <w:tcBorders>
              <w:bottom w:val="nil"/>
            </w:tcBorders>
          </w:tcPr>
          <w:p w:rsidR="008F03B5" w:rsidRDefault="00586B9B">
            <w:pPr>
              <w:pStyle w:val="TableParagraph"/>
              <w:spacing w:before="1" w:line="242" w:lineRule="exact"/>
              <w:ind w:right="249"/>
              <w:jc w:val="right"/>
              <w:rPr>
                <w:sz w:val="20"/>
              </w:rPr>
            </w:pPr>
            <w:r>
              <w:rPr>
                <w:sz w:val="20"/>
              </w:rPr>
              <w:t>58.1 ± 26.5</w:t>
            </w:r>
          </w:p>
        </w:tc>
        <w:tc>
          <w:tcPr>
            <w:tcW w:w="1136" w:type="dxa"/>
            <w:tcBorders>
              <w:bottom w:val="nil"/>
            </w:tcBorders>
          </w:tcPr>
          <w:p w:rsidR="008F03B5" w:rsidRDefault="00586B9B">
            <w:pPr>
              <w:pStyle w:val="TableParagraph"/>
              <w:spacing w:before="1" w:line="242" w:lineRule="exact"/>
              <w:ind w:left="196" w:right="193"/>
              <w:jc w:val="center"/>
              <w:rPr>
                <w:sz w:val="20"/>
              </w:rPr>
            </w:pPr>
            <w:r>
              <w:rPr>
                <w:sz w:val="20"/>
              </w:rPr>
              <w:t>5.1 ± 0.4</w:t>
            </w:r>
          </w:p>
        </w:tc>
        <w:tc>
          <w:tcPr>
            <w:tcW w:w="1702" w:type="dxa"/>
            <w:tcBorders>
              <w:bottom w:val="nil"/>
            </w:tcBorders>
          </w:tcPr>
          <w:p w:rsidR="008F03B5" w:rsidRDefault="00586B9B">
            <w:pPr>
              <w:pStyle w:val="TableParagraph"/>
              <w:spacing w:before="1" w:line="242" w:lineRule="exact"/>
              <w:ind w:left="129" w:right="124"/>
              <w:jc w:val="center"/>
              <w:rPr>
                <w:sz w:val="20"/>
              </w:rPr>
            </w:pPr>
            <w:r>
              <w:rPr>
                <w:sz w:val="20"/>
              </w:rPr>
              <w:t>- 0.26 ± 0.4</w:t>
            </w:r>
          </w:p>
        </w:tc>
      </w:tr>
      <w:tr w:rsidR="008F03B5">
        <w:trPr>
          <w:trHeight w:val="243"/>
        </w:trPr>
        <w:tc>
          <w:tcPr>
            <w:tcW w:w="1419" w:type="dxa"/>
            <w:tcBorders>
              <w:top w:val="nil"/>
              <w:bottom w:val="nil"/>
            </w:tcBorders>
          </w:tcPr>
          <w:p w:rsidR="008F03B5" w:rsidRDefault="00586B9B">
            <w:pPr>
              <w:pStyle w:val="TableParagraph"/>
              <w:spacing w:line="224" w:lineRule="exact"/>
              <w:ind w:left="141"/>
              <w:rPr>
                <w:sz w:val="20"/>
              </w:rPr>
            </w:pPr>
            <w:r>
              <w:rPr>
                <w:sz w:val="20"/>
              </w:rPr>
              <w:t>Ash</w:t>
            </w: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24" w:lineRule="exact"/>
              <w:ind w:left="139" w:right="138"/>
              <w:jc w:val="center"/>
              <w:rPr>
                <w:sz w:val="20"/>
              </w:rPr>
            </w:pPr>
            <w:r>
              <w:rPr>
                <w:sz w:val="20"/>
              </w:rPr>
              <w:t>0.3g</w:t>
            </w:r>
          </w:p>
        </w:tc>
        <w:tc>
          <w:tcPr>
            <w:tcW w:w="1416" w:type="dxa"/>
            <w:tcBorders>
              <w:top w:val="nil"/>
              <w:bottom w:val="nil"/>
            </w:tcBorders>
          </w:tcPr>
          <w:p w:rsidR="008F03B5" w:rsidRDefault="00586B9B">
            <w:pPr>
              <w:pStyle w:val="TableParagraph"/>
              <w:spacing w:line="224" w:lineRule="exact"/>
              <w:ind w:right="249"/>
              <w:jc w:val="right"/>
              <w:rPr>
                <w:sz w:val="20"/>
              </w:rPr>
            </w:pPr>
            <w:r>
              <w:rPr>
                <w:sz w:val="20"/>
              </w:rPr>
              <w:t>56.5 ± 24.0</w:t>
            </w:r>
          </w:p>
        </w:tc>
        <w:tc>
          <w:tcPr>
            <w:tcW w:w="1136" w:type="dxa"/>
            <w:tcBorders>
              <w:top w:val="nil"/>
              <w:bottom w:val="nil"/>
            </w:tcBorders>
          </w:tcPr>
          <w:p w:rsidR="008F03B5" w:rsidRDefault="00586B9B">
            <w:pPr>
              <w:pStyle w:val="TableParagraph"/>
              <w:spacing w:line="224" w:lineRule="exact"/>
              <w:ind w:left="196" w:right="193"/>
              <w:jc w:val="center"/>
              <w:rPr>
                <w:sz w:val="20"/>
              </w:rPr>
            </w:pPr>
            <w:r>
              <w:rPr>
                <w:sz w:val="20"/>
              </w:rPr>
              <w:t>5.2 ± 0.3</w:t>
            </w:r>
          </w:p>
        </w:tc>
        <w:tc>
          <w:tcPr>
            <w:tcW w:w="1702" w:type="dxa"/>
            <w:tcBorders>
              <w:top w:val="nil"/>
              <w:bottom w:val="nil"/>
            </w:tcBorders>
          </w:tcPr>
          <w:p w:rsidR="008F03B5" w:rsidRDefault="00586B9B">
            <w:pPr>
              <w:pStyle w:val="TableParagraph"/>
              <w:spacing w:line="224" w:lineRule="exact"/>
              <w:ind w:left="129" w:right="124"/>
              <w:jc w:val="center"/>
              <w:rPr>
                <w:sz w:val="20"/>
              </w:rPr>
            </w:pPr>
            <w:r>
              <w:rPr>
                <w:sz w:val="20"/>
              </w:rPr>
              <w:t>- 0.39 ± 0.4</w:t>
            </w:r>
          </w:p>
        </w:tc>
      </w:tr>
      <w:tr w:rsidR="008F03B5">
        <w:trPr>
          <w:trHeight w:val="245"/>
        </w:trPr>
        <w:tc>
          <w:tcPr>
            <w:tcW w:w="1419" w:type="dxa"/>
            <w:tcBorders>
              <w:top w:val="nil"/>
              <w:bottom w:val="nil"/>
            </w:tcBorders>
          </w:tcPr>
          <w:p w:rsidR="008F03B5" w:rsidRDefault="00586B9B">
            <w:pPr>
              <w:pStyle w:val="TableParagraph"/>
              <w:spacing w:line="225" w:lineRule="exact"/>
              <w:ind w:left="141"/>
              <w:rPr>
                <w:sz w:val="20"/>
              </w:rPr>
            </w:pPr>
            <w:r>
              <w:rPr>
                <w:sz w:val="20"/>
              </w:rPr>
              <w:t>2015</w:t>
            </w: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25" w:lineRule="exact"/>
              <w:ind w:left="139" w:right="136"/>
              <w:jc w:val="center"/>
              <w:rPr>
                <w:sz w:val="20"/>
              </w:rPr>
            </w:pPr>
            <w:r>
              <w:rPr>
                <w:sz w:val="20"/>
              </w:rPr>
              <w:t>3g</w:t>
            </w:r>
          </w:p>
        </w:tc>
        <w:tc>
          <w:tcPr>
            <w:tcW w:w="1416" w:type="dxa"/>
            <w:tcBorders>
              <w:top w:val="nil"/>
              <w:bottom w:val="nil"/>
            </w:tcBorders>
          </w:tcPr>
          <w:p w:rsidR="008F03B5" w:rsidRDefault="00586B9B">
            <w:pPr>
              <w:pStyle w:val="TableParagraph"/>
              <w:spacing w:line="225" w:lineRule="exact"/>
              <w:ind w:right="273"/>
              <w:jc w:val="right"/>
              <w:rPr>
                <w:sz w:val="20"/>
              </w:rPr>
            </w:pPr>
            <w:r>
              <w:rPr>
                <w:sz w:val="20"/>
              </w:rPr>
              <w:t>57.1 ±22.1</w:t>
            </w:r>
          </w:p>
        </w:tc>
        <w:tc>
          <w:tcPr>
            <w:tcW w:w="1136" w:type="dxa"/>
            <w:tcBorders>
              <w:top w:val="nil"/>
              <w:bottom w:val="nil"/>
            </w:tcBorders>
          </w:tcPr>
          <w:p w:rsidR="008F03B5" w:rsidRDefault="00586B9B">
            <w:pPr>
              <w:pStyle w:val="TableParagraph"/>
              <w:spacing w:line="225" w:lineRule="exact"/>
              <w:ind w:left="196" w:right="193"/>
              <w:jc w:val="center"/>
              <w:rPr>
                <w:sz w:val="20"/>
              </w:rPr>
            </w:pPr>
            <w:r>
              <w:rPr>
                <w:sz w:val="20"/>
              </w:rPr>
              <w:t>5.0 ± 0.3</w:t>
            </w:r>
          </w:p>
        </w:tc>
        <w:tc>
          <w:tcPr>
            <w:tcW w:w="1702" w:type="dxa"/>
            <w:tcBorders>
              <w:top w:val="nil"/>
              <w:bottom w:val="nil"/>
            </w:tcBorders>
          </w:tcPr>
          <w:p w:rsidR="008F03B5" w:rsidRDefault="00586B9B">
            <w:pPr>
              <w:pStyle w:val="TableParagraph"/>
              <w:spacing w:line="225" w:lineRule="exact"/>
              <w:ind w:left="129" w:right="124"/>
              <w:jc w:val="center"/>
              <w:rPr>
                <w:sz w:val="20"/>
              </w:rPr>
            </w:pPr>
            <w:r>
              <w:rPr>
                <w:sz w:val="20"/>
              </w:rPr>
              <w:t>- 0.42 ± 0.4</w:t>
            </w:r>
          </w:p>
        </w:tc>
      </w:tr>
      <w:tr w:rsidR="008F03B5">
        <w:trPr>
          <w:trHeight w:val="373"/>
        </w:trPr>
        <w:tc>
          <w:tcPr>
            <w:tcW w:w="1419" w:type="dxa"/>
            <w:tcBorders>
              <w:top w:val="nil"/>
            </w:tcBorders>
          </w:tcPr>
          <w:p w:rsidR="008F03B5" w:rsidRDefault="008F03B5">
            <w:pPr>
              <w:pStyle w:val="TableParagraph"/>
              <w:rPr>
                <w:rFonts w:ascii="Times New Roman"/>
                <w:sz w:val="20"/>
              </w:rPr>
            </w:pPr>
          </w:p>
        </w:tc>
        <w:tc>
          <w:tcPr>
            <w:tcW w:w="1277" w:type="dxa"/>
            <w:tcBorders>
              <w:top w:val="nil"/>
            </w:tcBorders>
          </w:tcPr>
          <w:p w:rsidR="008F03B5" w:rsidRDefault="008F03B5">
            <w:pPr>
              <w:pStyle w:val="TableParagraph"/>
              <w:rPr>
                <w:rFonts w:ascii="Times New Roman"/>
                <w:sz w:val="20"/>
              </w:rPr>
            </w:pPr>
          </w:p>
        </w:tc>
        <w:tc>
          <w:tcPr>
            <w:tcW w:w="567" w:type="dxa"/>
            <w:tcBorders>
              <w:top w:val="nil"/>
            </w:tcBorders>
          </w:tcPr>
          <w:p w:rsidR="008F03B5" w:rsidRDefault="008F03B5">
            <w:pPr>
              <w:pStyle w:val="TableParagraph"/>
              <w:rPr>
                <w:rFonts w:ascii="Times New Roman"/>
                <w:sz w:val="20"/>
              </w:rPr>
            </w:pPr>
          </w:p>
        </w:tc>
        <w:tc>
          <w:tcPr>
            <w:tcW w:w="991" w:type="dxa"/>
            <w:tcBorders>
              <w:top w:val="nil"/>
            </w:tcBorders>
          </w:tcPr>
          <w:p w:rsidR="008F03B5" w:rsidRDefault="008F03B5">
            <w:pPr>
              <w:pStyle w:val="TableParagraph"/>
              <w:rPr>
                <w:rFonts w:ascii="Times New Roman"/>
                <w:sz w:val="20"/>
              </w:rPr>
            </w:pPr>
          </w:p>
        </w:tc>
        <w:tc>
          <w:tcPr>
            <w:tcW w:w="1419" w:type="dxa"/>
            <w:tcBorders>
              <w:top w:val="nil"/>
            </w:tcBorders>
          </w:tcPr>
          <w:p w:rsidR="008F03B5" w:rsidRDefault="00586B9B">
            <w:pPr>
              <w:pStyle w:val="TableParagraph"/>
              <w:spacing w:line="226" w:lineRule="exact"/>
              <w:ind w:left="139" w:right="136"/>
              <w:jc w:val="center"/>
              <w:rPr>
                <w:sz w:val="20"/>
              </w:rPr>
            </w:pPr>
            <w:r>
              <w:rPr>
                <w:sz w:val="20"/>
              </w:rPr>
              <w:t>10g</w:t>
            </w:r>
          </w:p>
        </w:tc>
        <w:tc>
          <w:tcPr>
            <w:tcW w:w="1416" w:type="dxa"/>
            <w:tcBorders>
              <w:top w:val="nil"/>
            </w:tcBorders>
          </w:tcPr>
          <w:p w:rsidR="008F03B5" w:rsidRDefault="00586B9B">
            <w:pPr>
              <w:pStyle w:val="TableParagraph"/>
              <w:spacing w:line="226" w:lineRule="exact"/>
              <w:ind w:right="249"/>
              <w:jc w:val="right"/>
              <w:rPr>
                <w:sz w:val="20"/>
              </w:rPr>
            </w:pPr>
            <w:r>
              <w:rPr>
                <w:sz w:val="20"/>
              </w:rPr>
              <w:t>51.6 ± 22.3</w:t>
            </w:r>
          </w:p>
        </w:tc>
        <w:tc>
          <w:tcPr>
            <w:tcW w:w="1136" w:type="dxa"/>
            <w:tcBorders>
              <w:top w:val="nil"/>
            </w:tcBorders>
          </w:tcPr>
          <w:p w:rsidR="008F03B5" w:rsidRDefault="00586B9B">
            <w:pPr>
              <w:pStyle w:val="TableParagraph"/>
              <w:spacing w:line="226" w:lineRule="exact"/>
              <w:ind w:left="196" w:right="193"/>
              <w:jc w:val="center"/>
              <w:rPr>
                <w:sz w:val="20"/>
              </w:rPr>
            </w:pPr>
            <w:r>
              <w:rPr>
                <w:sz w:val="20"/>
              </w:rPr>
              <w:t>5.1 ± 0.4</w:t>
            </w:r>
          </w:p>
        </w:tc>
        <w:tc>
          <w:tcPr>
            <w:tcW w:w="1702" w:type="dxa"/>
            <w:tcBorders>
              <w:top w:val="nil"/>
            </w:tcBorders>
          </w:tcPr>
          <w:p w:rsidR="008F03B5" w:rsidRDefault="00586B9B">
            <w:pPr>
              <w:pStyle w:val="TableParagraph"/>
              <w:spacing w:line="226" w:lineRule="exact"/>
              <w:ind w:left="129" w:right="124"/>
              <w:jc w:val="center"/>
              <w:rPr>
                <w:sz w:val="20"/>
              </w:rPr>
            </w:pPr>
            <w:r>
              <w:rPr>
                <w:sz w:val="20"/>
              </w:rPr>
              <w:t>- 0.92 ± 0.5</w:t>
            </w:r>
          </w:p>
        </w:tc>
      </w:tr>
      <w:tr w:rsidR="008F03B5">
        <w:trPr>
          <w:trHeight w:val="256"/>
        </w:trPr>
        <w:tc>
          <w:tcPr>
            <w:tcW w:w="1419" w:type="dxa"/>
            <w:tcBorders>
              <w:bottom w:val="nil"/>
            </w:tcBorders>
            <w:shd w:val="clear" w:color="auto" w:fill="F1F1F1"/>
          </w:tcPr>
          <w:p w:rsidR="008F03B5" w:rsidRDefault="00586B9B">
            <w:pPr>
              <w:pStyle w:val="TableParagraph"/>
              <w:spacing w:line="237" w:lineRule="exact"/>
              <w:ind w:left="141"/>
              <w:rPr>
                <w:b/>
                <w:sz w:val="20"/>
              </w:rPr>
            </w:pPr>
            <w:r>
              <w:rPr>
                <w:b/>
                <w:sz w:val="20"/>
              </w:rPr>
              <w:t xml:space="preserve">ZS-003 </w:t>
            </w:r>
            <w:r>
              <w:rPr>
                <w:b/>
                <w:sz w:val="20"/>
                <w:vertAlign w:val="superscript"/>
              </w:rPr>
              <w:t>5</w:t>
            </w:r>
          </w:p>
        </w:tc>
        <w:tc>
          <w:tcPr>
            <w:tcW w:w="1277" w:type="dxa"/>
            <w:tcBorders>
              <w:bottom w:val="nil"/>
            </w:tcBorders>
            <w:shd w:val="clear" w:color="auto" w:fill="F1F1F1"/>
          </w:tcPr>
          <w:p w:rsidR="008F03B5" w:rsidRDefault="00586B9B">
            <w:pPr>
              <w:pStyle w:val="TableParagraph"/>
              <w:spacing w:line="237" w:lineRule="exact"/>
              <w:ind w:left="98" w:right="92"/>
              <w:jc w:val="center"/>
              <w:rPr>
                <w:sz w:val="20"/>
              </w:rPr>
            </w:pPr>
            <w:r>
              <w:rPr>
                <w:sz w:val="20"/>
              </w:rPr>
              <w:t>Phase III RCT</w:t>
            </w:r>
          </w:p>
        </w:tc>
        <w:tc>
          <w:tcPr>
            <w:tcW w:w="567" w:type="dxa"/>
            <w:tcBorders>
              <w:bottom w:val="nil"/>
            </w:tcBorders>
            <w:shd w:val="clear" w:color="auto" w:fill="F1F1F1"/>
          </w:tcPr>
          <w:p w:rsidR="008F03B5" w:rsidRDefault="00586B9B">
            <w:pPr>
              <w:pStyle w:val="TableParagraph"/>
              <w:spacing w:line="237" w:lineRule="exact"/>
              <w:ind w:left="106" w:right="106"/>
              <w:jc w:val="center"/>
              <w:rPr>
                <w:sz w:val="20"/>
              </w:rPr>
            </w:pPr>
            <w:r>
              <w:rPr>
                <w:sz w:val="20"/>
              </w:rPr>
              <w:t>753</w:t>
            </w:r>
          </w:p>
        </w:tc>
        <w:tc>
          <w:tcPr>
            <w:tcW w:w="991" w:type="dxa"/>
            <w:tcBorders>
              <w:bottom w:val="nil"/>
            </w:tcBorders>
            <w:shd w:val="clear" w:color="auto" w:fill="F1F1F1"/>
          </w:tcPr>
          <w:p w:rsidR="008F03B5" w:rsidRDefault="00586B9B">
            <w:pPr>
              <w:pStyle w:val="TableParagraph"/>
              <w:spacing w:line="237" w:lineRule="exact"/>
              <w:ind w:left="87" w:right="84"/>
              <w:jc w:val="center"/>
              <w:rPr>
                <w:sz w:val="20"/>
              </w:rPr>
            </w:pPr>
            <w:r>
              <w:rPr>
                <w:sz w:val="20"/>
              </w:rPr>
              <w:t>Stage 1</w:t>
            </w:r>
          </w:p>
        </w:tc>
        <w:tc>
          <w:tcPr>
            <w:tcW w:w="1419" w:type="dxa"/>
            <w:tcBorders>
              <w:bottom w:val="nil"/>
            </w:tcBorders>
            <w:shd w:val="clear" w:color="auto" w:fill="F1F1F1"/>
          </w:tcPr>
          <w:p w:rsidR="008F03B5" w:rsidRDefault="00586B9B">
            <w:pPr>
              <w:pStyle w:val="TableParagraph"/>
              <w:spacing w:line="237" w:lineRule="exact"/>
              <w:ind w:left="139" w:right="133"/>
              <w:jc w:val="center"/>
              <w:rPr>
                <w:sz w:val="20"/>
              </w:rPr>
            </w:pPr>
            <w:r>
              <w:rPr>
                <w:sz w:val="20"/>
              </w:rPr>
              <w:t>Induction</w:t>
            </w:r>
          </w:p>
        </w:tc>
        <w:tc>
          <w:tcPr>
            <w:tcW w:w="1416" w:type="dxa"/>
            <w:vMerge w:val="restart"/>
            <w:shd w:val="clear" w:color="auto" w:fill="F1F1F1"/>
          </w:tcPr>
          <w:p w:rsidR="008F03B5" w:rsidRDefault="008F03B5">
            <w:pPr>
              <w:pStyle w:val="TableParagraph"/>
              <w:rPr>
                <w:rFonts w:ascii="Times New Roman"/>
                <w:sz w:val="20"/>
              </w:rPr>
            </w:pPr>
          </w:p>
        </w:tc>
        <w:tc>
          <w:tcPr>
            <w:tcW w:w="1136" w:type="dxa"/>
            <w:tcBorders>
              <w:bottom w:val="nil"/>
            </w:tcBorders>
            <w:shd w:val="clear" w:color="auto" w:fill="F1F1F1"/>
          </w:tcPr>
          <w:p w:rsidR="008F03B5" w:rsidRDefault="008F03B5">
            <w:pPr>
              <w:pStyle w:val="TableParagraph"/>
              <w:rPr>
                <w:rFonts w:ascii="Times New Roman"/>
                <w:sz w:val="18"/>
              </w:rPr>
            </w:pPr>
          </w:p>
        </w:tc>
        <w:tc>
          <w:tcPr>
            <w:tcW w:w="1702" w:type="dxa"/>
            <w:tcBorders>
              <w:bottom w:val="nil"/>
            </w:tcBorders>
            <w:shd w:val="clear" w:color="auto" w:fill="F1F1F1"/>
          </w:tcPr>
          <w:p w:rsidR="008F03B5" w:rsidRDefault="008F03B5">
            <w:pPr>
              <w:pStyle w:val="TableParagraph"/>
              <w:rPr>
                <w:rFonts w:ascii="Times New Roman"/>
                <w:sz w:val="18"/>
              </w:rPr>
            </w:pPr>
          </w:p>
        </w:tc>
      </w:tr>
      <w:tr w:rsidR="008F03B5">
        <w:trPr>
          <w:trHeight w:val="234"/>
        </w:trPr>
        <w:tc>
          <w:tcPr>
            <w:tcW w:w="1419" w:type="dxa"/>
            <w:tcBorders>
              <w:top w:val="nil"/>
              <w:bottom w:val="nil"/>
            </w:tcBorders>
            <w:shd w:val="clear" w:color="auto" w:fill="F1F1F1"/>
          </w:tcPr>
          <w:p w:rsidR="008F03B5" w:rsidRDefault="00586B9B">
            <w:pPr>
              <w:pStyle w:val="TableParagraph"/>
              <w:spacing w:line="215" w:lineRule="exact"/>
              <w:ind w:left="141"/>
              <w:rPr>
                <w:sz w:val="20"/>
              </w:rPr>
            </w:pPr>
            <w:r>
              <w:rPr>
                <w:sz w:val="20"/>
              </w:rPr>
              <w:t>Packman</w:t>
            </w:r>
          </w:p>
        </w:tc>
        <w:tc>
          <w:tcPr>
            <w:tcW w:w="1277" w:type="dxa"/>
            <w:tcBorders>
              <w:top w:val="nil"/>
              <w:bottom w:val="nil"/>
            </w:tcBorders>
            <w:shd w:val="clear" w:color="auto" w:fill="F1F1F1"/>
          </w:tcPr>
          <w:p w:rsidR="008F03B5" w:rsidRDefault="008F03B5">
            <w:pPr>
              <w:pStyle w:val="TableParagraph"/>
              <w:rPr>
                <w:rFonts w:ascii="Times New Roman"/>
                <w:sz w:val="16"/>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991" w:type="dxa"/>
            <w:tcBorders>
              <w:top w:val="nil"/>
              <w:bottom w:val="nil"/>
            </w:tcBorders>
            <w:shd w:val="clear" w:color="auto" w:fill="F1F1F1"/>
          </w:tcPr>
          <w:p w:rsidR="008F03B5" w:rsidRDefault="00586B9B">
            <w:pPr>
              <w:pStyle w:val="TableParagraph"/>
              <w:spacing w:line="215" w:lineRule="exact"/>
              <w:ind w:left="91" w:right="84"/>
              <w:jc w:val="center"/>
              <w:rPr>
                <w:sz w:val="20"/>
              </w:rPr>
            </w:pPr>
            <w:r>
              <w:rPr>
                <w:sz w:val="20"/>
              </w:rPr>
              <w:t>48 hrs</w:t>
            </w:r>
          </w:p>
        </w:tc>
        <w:tc>
          <w:tcPr>
            <w:tcW w:w="1419" w:type="dxa"/>
            <w:tcBorders>
              <w:top w:val="nil"/>
              <w:bottom w:val="nil"/>
            </w:tcBorders>
            <w:shd w:val="clear" w:color="auto" w:fill="F1F1F1"/>
          </w:tcPr>
          <w:p w:rsidR="008F03B5" w:rsidRDefault="00586B9B">
            <w:pPr>
              <w:pStyle w:val="TableParagraph"/>
              <w:spacing w:line="215" w:lineRule="exact"/>
              <w:ind w:left="139" w:right="139"/>
              <w:jc w:val="center"/>
              <w:rPr>
                <w:sz w:val="20"/>
              </w:rPr>
            </w:pPr>
            <w:r>
              <w:rPr>
                <w:sz w:val="20"/>
              </w:rPr>
              <w:t>(randomised)</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8F03B5">
            <w:pPr>
              <w:pStyle w:val="TableParagraph"/>
              <w:rPr>
                <w:rFonts w:ascii="Times New Roman"/>
                <w:sz w:val="16"/>
              </w:rPr>
            </w:pPr>
          </w:p>
        </w:tc>
        <w:tc>
          <w:tcPr>
            <w:tcW w:w="1702" w:type="dxa"/>
            <w:tcBorders>
              <w:top w:val="nil"/>
              <w:bottom w:val="nil"/>
            </w:tcBorders>
            <w:shd w:val="clear" w:color="auto" w:fill="F1F1F1"/>
          </w:tcPr>
          <w:p w:rsidR="008F03B5" w:rsidRDefault="008F03B5">
            <w:pPr>
              <w:pStyle w:val="TableParagraph"/>
              <w:rPr>
                <w:rFonts w:ascii="Times New Roman"/>
                <w:sz w:val="16"/>
              </w:rPr>
            </w:pPr>
          </w:p>
        </w:tc>
      </w:tr>
      <w:tr w:rsidR="008F03B5">
        <w:trPr>
          <w:trHeight w:val="234"/>
        </w:trPr>
        <w:tc>
          <w:tcPr>
            <w:tcW w:w="1419" w:type="dxa"/>
            <w:tcBorders>
              <w:top w:val="nil"/>
              <w:bottom w:val="nil"/>
            </w:tcBorders>
            <w:shd w:val="clear" w:color="auto" w:fill="F1F1F1"/>
          </w:tcPr>
          <w:p w:rsidR="008F03B5" w:rsidRDefault="00586B9B">
            <w:pPr>
              <w:pStyle w:val="TableParagraph"/>
              <w:spacing w:line="215" w:lineRule="exact"/>
              <w:ind w:left="141"/>
              <w:rPr>
                <w:sz w:val="20"/>
              </w:rPr>
            </w:pPr>
            <w:r>
              <w:rPr>
                <w:sz w:val="20"/>
              </w:rPr>
              <w:t>2015</w:t>
            </w:r>
          </w:p>
        </w:tc>
        <w:tc>
          <w:tcPr>
            <w:tcW w:w="1277" w:type="dxa"/>
            <w:tcBorders>
              <w:top w:val="nil"/>
              <w:bottom w:val="nil"/>
            </w:tcBorders>
            <w:shd w:val="clear" w:color="auto" w:fill="F1F1F1"/>
          </w:tcPr>
          <w:p w:rsidR="008F03B5" w:rsidRDefault="008F03B5">
            <w:pPr>
              <w:pStyle w:val="TableParagraph"/>
              <w:rPr>
                <w:rFonts w:ascii="Times New Roman"/>
                <w:sz w:val="16"/>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991" w:type="dxa"/>
            <w:tcBorders>
              <w:top w:val="nil"/>
              <w:bottom w:val="nil"/>
            </w:tcBorders>
            <w:shd w:val="clear" w:color="auto" w:fill="F1F1F1"/>
          </w:tcPr>
          <w:p w:rsidR="008F03B5" w:rsidRDefault="008F03B5">
            <w:pPr>
              <w:pStyle w:val="TableParagraph"/>
              <w:rPr>
                <w:rFonts w:ascii="Times New Roman"/>
                <w:sz w:val="16"/>
              </w:rPr>
            </w:pPr>
          </w:p>
        </w:tc>
        <w:tc>
          <w:tcPr>
            <w:tcW w:w="1419" w:type="dxa"/>
            <w:tcBorders>
              <w:top w:val="nil"/>
              <w:bottom w:val="nil"/>
            </w:tcBorders>
            <w:shd w:val="clear" w:color="auto" w:fill="F1F1F1"/>
          </w:tcPr>
          <w:p w:rsidR="008F03B5" w:rsidRDefault="00586B9B">
            <w:pPr>
              <w:pStyle w:val="TableParagraph"/>
              <w:spacing w:line="215" w:lineRule="exact"/>
              <w:ind w:left="139" w:right="139"/>
              <w:jc w:val="center"/>
              <w:rPr>
                <w:sz w:val="20"/>
              </w:rPr>
            </w:pPr>
            <w:r>
              <w:rPr>
                <w:sz w:val="20"/>
              </w:rPr>
              <w:t>Placebo</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586B9B">
            <w:pPr>
              <w:pStyle w:val="TableParagraph"/>
              <w:spacing w:line="215" w:lineRule="exact"/>
              <w:ind w:left="196" w:right="193"/>
              <w:jc w:val="center"/>
              <w:rPr>
                <w:sz w:val="20"/>
              </w:rPr>
            </w:pPr>
            <w:r>
              <w:rPr>
                <w:sz w:val="20"/>
              </w:rPr>
              <w:t>5.3</w:t>
            </w:r>
          </w:p>
        </w:tc>
        <w:tc>
          <w:tcPr>
            <w:tcW w:w="1702" w:type="dxa"/>
            <w:tcBorders>
              <w:top w:val="nil"/>
              <w:bottom w:val="nil"/>
            </w:tcBorders>
            <w:shd w:val="clear" w:color="auto" w:fill="F1F1F1"/>
          </w:tcPr>
          <w:p w:rsidR="008F03B5" w:rsidRDefault="00586B9B">
            <w:pPr>
              <w:pStyle w:val="TableParagraph"/>
              <w:spacing w:line="215" w:lineRule="exact"/>
              <w:ind w:left="129" w:right="124"/>
              <w:jc w:val="center"/>
              <w:rPr>
                <w:sz w:val="20"/>
              </w:rPr>
            </w:pPr>
            <w:r>
              <w:rPr>
                <w:sz w:val="20"/>
              </w:rPr>
              <w:t>- 0.25 (0.19-0.32)</w:t>
            </w:r>
          </w:p>
        </w:tc>
      </w:tr>
      <w:tr w:rsidR="008F03B5">
        <w:trPr>
          <w:trHeight w:val="233"/>
        </w:trPr>
        <w:tc>
          <w:tcPr>
            <w:tcW w:w="1419" w:type="dxa"/>
            <w:tcBorders>
              <w:top w:val="nil"/>
              <w:bottom w:val="nil"/>
            </w:tcBorders>
            <w:shd w:val="clear" w:color="auto" w:fill="F1F1F1"/>
          </w:tcPr>
          <w:p w:rsidR="008F03B5" w:rsidRDefault="008F03B5">
            <w:pPr>
              <w:pStyle w:val="TableParagraph"/>
              <w:rPr>
                <w:rFonts w:ascii="Times New Roman"/>
                <w:sz w:val="16"/>
              </w:rPr>
            </w:pPr>
          </w:p>
        </w:tc>
        <w:tc>
          <w:tcPr>
            <w:tcW w:w="1277" w:type="dxa"/>
            <w:tcBorders>
              <w:top w:val="nil"/>
              <w:bottom w:val="nil"/>
            </w:tcBorders>
            <w:shd w:val="clear" w:color="auto" w:fill="F1F1F1"/>
          </w:tcPr>
          <w:p w:rsidR="008F03B5" w:rsidRDefault="008F03B5">
            <w:pPr>
              <w:pStyle w:val="TableParagraph"/>
              <w:rPr>
                <w:rFonts w:ascii="Times New Roman"/>
                <w:sz w:val="16"/>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991" w:type="dxa"/>
            <w:tcBorders>
              <w:top w:val="nil"/>
              <w:bottom w:val="nil"/>
            </w:tcBorders>
            <w:shd w:val="clear" w:color="auto" w:fill="F1F1F1"/>
          </w:tcPr>
          <w:p w:rsidR="008F03B5" w:rsidRDefault="008F03B5">
            <w:pPr>
              <w:pStyle w:val="TableParagraph"/>
              <w:rPr>
                <w:rFonts w:ascii="Times New Roman"/>
                <w:sz w:val="16"/>
              </w:rPr>
            </w:pPr>
          </w:p>
        </w:tc>
        <w:tc>
          <w:tcPr>
            <w:tcW w:w="1419" w:type="dxa"/>
            <w:tcBorders>
              <w:top w:val="nil"/>
              <w:bottom w:val="nil"/>
            </w:tcBorders>
            <w:shd w:val="clear" w:color="auto" w:fill="F1F1F1"/>
          </w:tcPr>
          <w:p w:rsidR="008F03B5" w:rsidRDefault="00586B9B">
            <w:pPr>
              <w:pStyle w:val="TableParagraph"/>
              <w:spacing w:line="214" w:lineRule="exact"/>
              <w:ind w:left="139" w:right="137"/>
              <w:jc w:val="center"/>
              <w:rPr>
                <w:sz w:val="20"/>
              </w:rPr>
            </w:pPr>
            <w:r>
              <w:rPr>
                <w:sz w:val="20"/>
              </w:rPr>
              <w:t>1.25g</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586B9B">
            <w:pPr>
              <w:pStyle w:val="TableParagraph"/>
              <w:spacing w:line="214" w:lineRule="exact"/>
              <w:ind w:left="196" w:right="193"/>
              <w:jc w:val="center"/>
              <w:rPr>
                <w:sz w:val="20"/>
              </w:rPr>
            </w:pPr>
            <w:r>
              <w:rPr>
                <w:sz w:val="20"/>
              </w:rPr>
              <w:t>5.4</w:t>
            </w:r>
          </w:p>
        </w:tc>
        <w:tc>
          <w:tcPr>
            <w:tcW w:w="1702" w:type="dxa"/>
            <w:tcBorders>
              <w:top w:val="nil"/>
              <w:bottom w:val="nil"/>
            </w:tcBorders>
            <w:shd w:val="clear" w:color="auto" w:fill="F1F1F1"/>
          </w:tcPr>
          <w:p w:rsidR="008F03B5" w:rsidRDefault="00586B9B">
            <w:pPr>
              <w:pStyle w:val="TableParagraph"/>
              <w:spacing w:line="214" w:lineRule="exact"/>
              <w:ind w:left="127" w:right="124"/>
              <w:jc w:val="center"/>
              <w:rPr>
                <w:sz w:val="20"/>
              </w:rPr>
            </w:pPr>
            <w:r>
              <w:rPr>
                <w:sz w:val="20"/>
              </w:rPr>
              <w:t>0.30</w:t>
            </w:r>
          </w:p>
        </w:tc>
      </w:tr>
      <w:tr w:rsidR="008F03B5">
        <w:trPr>
          <w:trHeight w:val="233"/>
        </w:trPr>
        <w:tc>
          <w:tcPr>
            <w:tcW w:w="1419" w:type="dxa"/>
            <w:tcBorders>
              <w:top w:val="nil"/>
              <w:bottom w:val="nil"/>
            </w:tcBorders>
            <w:shd w:val="clear" w:color="auto" w:fill="F1F1F1"/>
          </w:tcPr>
          <w:p w:rsidR="008F03B5" w:rsidRDefault="008F03B5">
            <w:pPr>
              <w:pStyle w:val="TableParagraph"/>
              <w:rPr>
                <w:rFonts w:ascii="Times New Roman"/>
                <w:sz w:val="16"/>
              </w:rPr>
            </w:pPr>
          </w:p>
        </w:tc>
        <w:tc>
          <w:tcPr>
            <w:tcW w:w="1277" w:type="dxa"/>
            <w:tcBorders>
              <w:top w:val="nil"/>
              <w:bottom w:val="nil"/>
            </w:tcBorders>
            <w:shd w:val="clear" w:color="auto" w:fill="F1F1F1"/>
          </w:tcPr>
          <w:p w:rsidR="008F03B5" w:rsidRDefault="008F03B5">
            <w:pPr>
              <w:pStyle w:val="TableParagraph"/>
              <w:rPr>
                <w:rFonts w:ascii="Times New Roman"/>
                <w:sz w:val="16"/>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991" w:type="dxa"/>
            <w:tcBorders>
              <w:top w:val="nil"/>
              <w:bottom w:val="nil"/>
            </w:tcBorders>
            <w:shd w:val="clear" w:color="auto" w:fill="F1F1F1"/>
          </w:tcPr>
          <w:p w:rsidR="008F03B5" w:rsidRDefault="008F03B5">
            <w:pPr>
              <w:pStyle w:val="TableParagraph"/>
              <w:rPr>
                <w:rFonts w:ascii="Times New Roman"/>
                <w:sz w:val="16"/>
              </w:rPr>
            </w:pPr>
          </w:p>
        </w:tc>
        <w:tc>
          <w:tcPr>
            <w:tcW w:w="1419" w:type="dxa"/>
            <w:tcBorders>
              <w:top w:val="nil"/>
              <w:bottom w:val="nil"/>
            </w:tcBorders>
            <w:shd w:val="clear" w:color="auto" w:fill="F1F1F1"/>
          </w:tcPr>
          <w:p w:rsidR="008F03B5" w:rsidRDefault="00586B9B">
            <w:pPr>
              <w:pStyle w:val="TableParagraph"/>
              <w:spacing w:line="214" w:lineRule="exact"/>
              <w:ind w:left="139" w:right="138"/>
              <w:jc w:val="center"/>
              <w:rPr>
                <w:sz w:val="20"/>
              </w:rPr>
            </w:pPr>
            <w:r>
              <w:rPr>
                <w:sz w:val="20"/>
              </w:rPr>
              <w:t>2.5g</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586B9B">
            <w:pPr>
              <w:pStyle w:val="TableParagraph"/>
              <w:spacing w:line="214" w:lineRule="exact"/>
              <w:ind w:left="196" w:right="193"/>
              <w:jc w:val="center"/>
              <w:rPr>
                <w:sz w:val="20"/>
              </w:rPr>
            </w:pPr>
            <w:r>
              <w:rPr>
                <w:sz w:val="20"/>
              </w:rPr>
              <w:t>5.4</w:t>
            </w:r>
          </w:p>
        </w:tc>
        <w:tc>
          <w:tcPr>
            <w:tcW w:w="1702" w:type="dxa"/>
            <w:tcBorders>
              <w:top w:val="nil"/>
              <w:bottom w:val="nil"/>
            </w:tcBorders>
            <w:shd w:val="clear" w:color="auto" w:fill="F1F1F1"/>
          </w:tcPr>
          <w:p w:rsidR="008F03B5" w:rsidRDefault="00586B9B">
            <w:pPr>
              <w:pStyle w:val="TableParagraph"/>
              <w:spacing w:line="214" w:lineRule="exact"/>
              <w:ind w:left="129" w:right="124"/>
              <w:jc w:val="center"/>
              <w:rPr>
                <w:sz w:val="20"/>
              </w:rPr>
            </w:pPr>
            <w:r>
              <w:rPr>
                <w:sz w:val="20"/>
              </w:rPr>
              <w:t>- 0.46 (0.39-0.53)</w:t>
            </w:r>
          </w:p>
        </w:tc>
      </w:tr>
      <w:tr w:rsidR="008F03B5">
        <w:trPr>
          <w:trHeight w:val="234"/>
        </w:trPr>
        <w:tc>
          <w:tcPr>
            <w:tcW w:w="1419" w:type="dxa"/>
            <w:tcBorders>
              <w:top w:val="nil"/>
              <w:bottom w:val="nil"/>
            </w:tcBorders>
            <w:shd w:val="clear" w:color="auto" w:fill="F1F1F1"/>
          </w:tcPr>
          <w:p w:rsidR="008F03B5" w:rsidRDefault="008F03B5">
            <w:pPr>
              <w:pStyle w:val="TableParagraph"/>
              <w:rPr>
                <w:rFonts w:ascii="Times New Roman"/>
                <w:sz w:val="16"/>
              </w:rPr>
            </w:pPr>
          </w:p>
        </w:tc>
        <w:tc>
          <w:tcPr>
            <w:tcW w:w="1277" w:type="dxa"/>
            <w:tcBorders>
              <w:top w:val="nil"/>
              <w:bottom w:val="nil"/>
            </w:tcBorders>
            <w:shd w:val="clear" w:color="auto" w:fill="F1F1F1"/>
          </w:tcPr>
          <w:p w:rsidR="008F03B5" w:rsidRDefault="008F03B5">
            <w:pPr>
              <w:pStyle w:val="TableParagraph"/>
              <w:rPr>
                <w:rFonts w:ascii="Times New Roman"/>
                <w:sz w:val="16"/>
              </w:rPr>
            </w:pPr>
          </w:p>
        </w:tc>
        <w:tc>
          <w:tcPr>
            <w:tcW w:w="567" w:type="dxa"/>
            <w:tcBorders>
              <w:top w:val="nil"/>
              <w:bottom w:val="nil"/>
            </w:tcBorders>
            <w:shd w:val="clear" w:color="auto" w:fill="F1F1F1"/>
          </w:tcPr>
          <w:p w:rsidR="008F03B5" w:rsidRDefault="008F03B5">
            <w:pPr>
              <w:pStyle w:val="TableParagraph"/>
              <w:rPr>
                <w:rFonts w:ascii="Times New Roman"/>
                <w:sz w:val="16"/>
              </w:rPr>
            </w:pPr>
          </w:p>
        </w:tc>
        <w:tc>
          <w:tcPr>
            <w:tcW w:w="991" w:type="dxa"/>
            <w:tcBorders>
              <w:top w:val="nil"/>
              <w:bottom w:val="nil"/>
            </w:tcBorders>
            <w:shd w:val="clear" w:color="auto" w:fill="F1F1F1"/>
          </w:tcPr>
          <w:p w:rsidR="008F03B5" w:rsidRDefault="008F03B5">
            <w:pPr>
              <w:pStyle w:val="TableParagraph"/>
              <w:rPr>
                <w:rFonts w:ascii="Times New Roman"/>
                <w:sz w:val="16"/>
              </w:rPr>
            </w:pPr>
          </w:p>
        </w:tc>
        <w:tc>
          <w:tcPr>
            <w:tcW w:w="1419" w:type="dxa"/>
            <w:tcBorders>
              <w:top w:val="nil"/>
              <w:bottom w:val="nil"/>
            </w:tcBorders>
            <w:shd w:val="clear" w:color="auto" w:fill="F1F1F1"/>
          </w:tcPr>
          <w:p w:rsidR="008F03B5" w:rsidRDefault="00586B9B">
            <w:pPr>
              <w:pStyle w:val="TableParagraph"/>
              <w:spacing w:line="215" w:lineRule="exact"/>
              <w:ind w:left="139" w:right="136"/>
              <w:jc w:val="center"/>
              <w:rPr>
                <w:sz w:val="20"/>
              </w:rPr>
            </w:pPr>
            <w:r>
              <w:rPr>
                <w:sz w:val="20"/>
              </w:rPr>
              <w:t>5g</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586B9B">
            <w:pPr>
              <w:pStyle w:val="TableParagraph"/>
              <w:spacing w:line="215" w:lineRule="exact"/>
              <w:ind w:left="196" w:right="193"/>
              <w:jc w:val="center"/>
              <w:rPr>
                <w:sz w:val="20"/>
              </w:rPr>
            </w:pPr>
            <w:r>
              <w:rPr>
                <w:sz w:val="20"/>
              </w:rPr>
              <w:t>5.3</w:t>
            </w:r>
          </w:p>
        </w:tc>
        <w:tc>
          <w:tcPr>
            <w:tcW w:w="1702" w:type="dxa"/>
            <w:tcBorders>
              <w:top w:val="nil"/>
              <w:bottom w:val="nil"/>
            </w:tcBorders>
            <w:shd w:val="clear" w:color="auto" w:fill="F1F1F1"/>
          </w:tcPr>
          <w:p w:rsidR="008F03B5" w:rsidRDefault="00586B9B">
            <w:pPr>
              <w:pStyle w:val="TableParagraph"/>
              <w:spacing w:line="215" w:lineRule="exact"/>
              <w:ind w:left="129" w:right="124"/>
              <w:jc w:val="center"/>
              <w:rPr>
                <w:sz w:val="20"/>
              </w:rPr>
            </w:pPr>
            <w:r>
              <w:rPr>
                <w:sz w:val="20"/>
              </w:rPr>
              <w:t>- 0.54 (0.47-0.62)</w:t>
            </w:r>
          </w:p>
        </w:tc>
      </w:tr>
      <w:tr w:rsidR="008F03B5">
        <w:trPr>
          <w:trHeight w:val="222"/>
        </w:trPr>
        <w:tc>
          <w:tcPr>
            <w:tcW w:w="1419" w:type="dxa"/>
            <w:tcBorders>
              <w:top w:val="nil"/>
            </w:tcBorders>
            <w:shd w:val="clear" w:color="auto" w:fill="F1F1F1"/>
          </w:tcPr>
          <w:p w:rsidR="008F03B5" w:rsidRDefault="008F03B5">
            <w:pPr>
              <w:pStyle w:val="TableParagraph"/>
              <w:rPr>
                <w:rFonts w:ascii="Times New Roman"/>
                <w:sz w:val="14"/>
              </w:rPr>
            </w:pPr>
          </w:p>
        </w:tc>
        <w:tc>
          <w:tcPr>
            <w:tcW w:w="1277" w:type="dxa"/>
            <w:tcBorders>
              <w:top w:val="nil"/>
            </w:tcBorders>
            <w:shd w:val="clear" w:color="auto" w:fill="F1F1F1"/>
          </w:tcPr>
          <w:p w:rsidR="008F03B5" w:rsidRDefault="008F03B5">
            <w:pPr>
              <w:pStyle w:val="TableParagraph"/>
              <w:rPr>
                <w:rFonts w:ascii="Times New Roman"/>
                <w:sz w:val="14"/>
              </w:rPr>
            </w:pPr>
          </w:p>
        </w:tc>
        <w:tc>
          <w:tcPr>
            <w:tcW w:w="567" w:type="dxa"/>
            <w:tcBorders>
              <w:top w:val="nil"/>
            </w:tcBorders>
            <w:shd w:val="clear" w:color="auto" w:fill="F1F1F1"/>
          </w:tcPr>
          <w:p w:rsidR="008F03B5" w:rsidRDefault="008F03B5">
            <w:pPr>
              <w:pStyle w:val="TableParagraph"/>
              <w:rPr>
                <w:rFonts w:ascii="Times New Roman"/>
                <w:sz w:val="14"/>
              </w:rPr>
            </w:pPr>
          </w:p>
        </w:tc>
        <w:tc>
          <w:tcPr>
            <w:tcW w:w="991" w:type="dxa"/>
            <w:tcBorders>
              <w:top w:val="nil"/>
            </w:tcBorders>
            <w:shd w:val="clear" w:color="auto" w:fill="F1F1F1"/>
          </w:tcPr>
          <w:p w:rsidR="008F03B5" w:rsidRDefault="008F03B5">
            <w:pPr>
              <w:pStyle w:val="TableParagraph"/>
              <w:rPr>
                <w:rFonts w:ascii="Times New Roman"/>
                <w:sz w:val="14"/>
              </w:rPr>
            </w:pPr>
          </w:p>
        </w:tc>
        <w:tc>
          <w:tcPr>
            <w:tcW w:w="1419" w:type="dxa"/>
            <w:tcBorders>
              <w:top w:val="nil"/>
            </w:tcBorders>
            <w:shd w:val="clear" w:color="auto" w:fill="F1F1F1"/>
          </w:tcPr>
          <w:p w:rsidR="008F03B5" w:rsidRDefault="00586B9B">
            <w:pPr>
              <w:pStyle w:val="TableParagraph"/>
              <w:spacing w:line="202" w:lineRule="exact"/>
              <w:ind w:left="139" w:right="136"/>
              <w:jc w:val="center"/>
              <w:rPr>
                <w:sz w:val="20"/>
              </w:rPr>
            </w:pPr>
            <w:r>
              <w:rPr>
                <w:sz w:val="20"/>
              </w:rPr>
              <w:t>10g</w:t>
            </w:r>
          </w:p>
        </w:tc>
        <w:tc>
          <w:tcPr>
            <w:tcW w:w="1416" w:type="dxa"/>
            <w:vMerge/>
            <w:tcBorders>
              <w:top w:val="nil"/>
            </w:tcBorders>
            <w:shd w:val="clear" w:color="auto" w:fill="F1F1F1"/>
          </w:tcPr>
          <w:p w:rsidR="008F03B5" w:rsidRDefault="008F03B5">
            <w:pPr>
              <w:rPr>
                <w:sz w:val="2"/>
                <w:szCs w:val="2"/>
              </w:rPr>
            </w:pPr>
          </w:p>
        </w:tc>
        <w:tc>
          <w:tcPr>
            <w:tcW w:w="1136" w:type="dxa"/>
            <w:tcBorders>
              <w:top w:val="nil"/>
            </w:tcBorders>
            <w:shd w:val="clear" w:color="auto" w:fill="F1F1F1"/>
          </w:tcPr>
          <w:p w:rsidR="008F03B5" w:rsidRDefault="00586B9B">
            <w:pPr>
              <w:pStyle w:val="TableParagraph"/>
              <w:spacing w:line="202" w:lineRule="exact"/>
              <w:ind w:left="196" w:right="193"/>
              <w:jc w:val="center"/>
              <w:rPr>
                <w:sz w:val="20"/>
              </w:rPr>
            </w:pPr>
            <w:r>
              <w:rPr>
                <w:sz w:val="20"/>
              </w:rPr>
              <w:t>5.3</w:t>
            </w:r>
          </w:p>
        </w:tc>
        <w:tc>
          <w:tcPr>
            <w:tcW w:w="1702" w:type="dxa"/>
            <w:tcBorders>
              <w:top w:val="nil"/>
            </w:tcBorders>
            <w:shd w:val="clear" w:color="auto" w:fill="F1F1F1"/>
          </w:tcPr>
          <w:p w:rsidR="008F03B5" w:rsidRDefault="00586B9B">
            <w:pPr>
              <w:pStyle w:val="TableParagraph"/>
              <w:spacing w:line="202" w:lineRule="exact"/>
              <w:ind w:left="129" w:right="124"/>
              <w:jc w:val="center"/>
              <w:rPr>
                <w:sz w:val="20"/>
              </w:rPr>
            </w:pPr>
            <w:r>
              <w:rPr>
                <w:sz w:val="20"/>
              </w:rPr>
              <w:t>- 0.73 (0.65-0.82)</w:t>
            </w:r>
          </w:p>
        </w:tc>
      </w:tr>
      <w:tr w:rsidR="008F03B5">
        <w:trPr>
          <w:trHeight w:val="255"/>
        </w:trPr>
        <w:tc>
          <w:tcPr>
            <w:tcW w:w="1419" w:type="dxa"/>
            <w:vMerge w:val="restart"/>
            <w:shd w:val="clear" w:color="auto" w:fill="F1F1F1"/>
          </w:tcPr>
          <w:p w:rsidR="008F03B5" w:rsidRDefault="008F03B5">
            <w:pPr>
              <w:pStyle w:val="TableParagraph"/>
              <w:rPr>
                <w:rFonts w:ascii="Times New Roman"/>
                <w:sz w:val="20"/>
              </w:rPr>
            </w:pPr>
          </w:p>
        </w:tc>
        <w:tc>
          <w:tcPr>
            <w:tcW w:w="1277" w:type="dxa"/>
            <w:vMerge w:val="restart"/>
            <w:shd w:val="clear" w:color="auto" w:fill="F1F1F1"/>
          </w:tcPr>
          <w:p w:rsidR="008F03B5" w:rsidRDefault="008F03B5">
            <w:pPr>
              <w:pStyle w:val="TableParagraph"/>
              <w:rPr>
                <w:rFonts w:ascii="Times New Roman"/>
                <w:sz w:val="20"/>
              </w:rPr>
            </w:pPr>
          </w:p>
        </w:tc>
        <w:tc>
          <w:tcPr>
            <w:tcW w:w="567" w:type="dxa"/>
            <w:vMerge w:val="restart"/>
            <w:shd w:val="clear" w:color="auto" w:fill="F1F1F1"/>
          </w:tcPr>
          <w:p w:rsidR="008F03B5" w:rsidRDefault="008F03B5">
            <w:pPr>
              <w:pStyle w:val="TableParagraph"/>
              <w:rPr>
                <w:rFonts w:ascii="Times New Roman"/>
                <w:sz w:val="20"/>
              </w:rPr>
            </w:pPr>
          </w:p>
        </w:tc>
        <w:tc>
          <w:tcPr>
            <w:tcW w:w="991" w:type="dxa"/>
            <w:tcBorders>
              <w:bottom w:val="nil"/>
            </w:tcBorders>
            <w:shd w:val="clear" w:color="auto" w:fill="F1F1F1"/>
          </w:tcPr>
          <w:p w:rsidR="008F03B5" w:rsidRDefault="00586B9B">
            <w:pPr>
              <w:pStyle w:val="TableParagraph"/>
              <w:spacing w:line="236" w:lineRule="exact"/>
              <w:ind w:left="87" w:right="84"/>
              <w:jc w:val="center"/>
              <w:rPr>
                <w:sz w:val="20"/>
              </w:rPr>
            </w:pPr>
            <w:r>
              <w:rPr>
                <w:sz w:val="20"/>
              </w:rPr>
              <w:t>Stage 2</w:t>
            </w:r>
          </w:p>
        </w:tc>
        <w:tc>
          <w:tcPr>
            <w:tcW w:w="1419" w:type="dxa"/>
            <w:tcBorders>
              <w:bottom w:val="nil"/>
            </w:tcBorders>
            <w:shd w:val="clear" w:color="auto" w:fill="F1F1F1"/>
          </w:tcPr>
          <w:p w:rsidR="008F03B5" w:rsidRDefault="00586B9B">
            <w:pPr>
              <w:pStyle w:val="TableParagraph"/>
              <w:spacing w:line="236" w:lineRule="exact"/>
              <w:ind w:left="139" w:right="135"/>
              <w:jc w:val="center"/>
              <w:rPr>
                <w:sz w:val="20"/>
              </w:rPr>
            </w:pPr>
            <w:r>
              <w:rPr>
                <w:sz w:val="20"/>
              </w:rPr>
              <w:t>Maintenance</w:t>
            </w:r>
          </w:p>
        </w:tc>
        <w:tc>
          <w:tcPr>
            <w:tcW w:w="1416" w:type="dxa"/>
            <w:vMerge w:val="restart"/>
            <w:shd w:val="clear" w:color="auto" w:fill="F1F1F1"/>
          </w:tcPr>
          <w:p w:rsidR="008F03B5" w:rsidRDefault="008F03B5">
            <w:pPr>
              <w:pStyle w:val="TableParagraph"/>
              <w:rPr>
                <w:rFonts w:ascii="Times New Roman"/>
                <w:sz w:val="20"/>
              </w:rPr>
            </w:pPr>
          </w:p>
        </w:tc>
        <w:tc>
          <w:tcPr>
            <w:tcW w:w="1136" w:type="dxa"/>
            <w:tcBorders>
              <w:bottom w:val="nil"/>
            </w:tcBorders>
            <w:shd w:val="clear" w:color="auto" w:fill="F1F1F1"/>
          </w:tcPr>
          <w:p w:rsidR="008F03B5" w:rsidRDefault="008F03B5">
            <w:pPr>
              <w:pStyle w:val="TableParagraph"/>
              <w:rPr>
                <w:rFonts w:ascii="Times New Roman"/>
                <w:sz w:val="18"/>
              </w:rPr>
            </w:pPr>
          </w:p>
        </w:tc>
        <w:tc>
          <w:tcPr>
            <w:tcW w:w="1702" w:type="dxa"/>
            <w:tcBorders>
              <w:bottom w:val="nil"/>
            </w:tcBorders>
            <w:shd w:val="clear" w:color="auto" w:fill="F1F1F1"/>
          </w:tcPr>
          <w:p w:rsidR="008F03B5" w:rsidRDefault="008F03B5">
            <w:pPr>
              <w:pStyle w:val="TableParagraph"/>
              <w:rPr>
                <w:rFonts w:ascii="Times New Roman"/>
                <w:sz w:val="18"/>
              </w:rPr>
            </w:pPr>
          </w:p>
        </w:tc>
      </w:tr>
      <w:tr w:rsidR="008F03B5">
        <w:trPr>
          <w:trHeight w:val="233"/>
        </w:trPr>
        <w:tc>
          <w:tcPr>
            <w:tcW w:w="1419" w:type="dxa"/>
            <w:vMerge/>
            <w:tcBorders>
              <w:top w:val="nil"/>
            </w:tcBorders>
            <w:shd w:val="clear" w:color="auto" w:fill="F1F1F1"/>
          </w:tcPr>
          <w:p w:rsidR="008F03B5" w:rsidRDefault="008F03B5">
            <w:pPr>
              <w:rPr>
                <w:sz w:val="2"/>
                <w:szCs w:val="2"/>
              </w:rPr>
            </w:pPr>
          </w:p>
        </w:tc>
        <w:tc>
          <w:tcPr>
            <w:tcW w:w="1277" w:type="dxa"/>
            <w:vMerge/>
            <w:tcBorders>
              <w:top w:val="nil"/>
            </w:tcBorders>
            <w:shd w:val="clear" w:color="auto" w:fill="F1F1F1"/>
          </w:tcPr>
          <w:p w:rsidR="008F03B5" w:rsidRDefault="008F03B5">
            <w:pPr>
              <w:rPr>
                <w:sz w:val="2"/>
                <w:szCs w:val="2"/>
              </w:rPr>
            </w:pPr>
          </w:p>
        </w:tc>
        <w:tc>
          <w:tcPr>
            <w:tcW w:w="567" w:type="dxa"/>
            <w:vMerge/>
            <w:tcBorders>
              <w:top w:val="nil"/>
            </w:tcBorders>
            <w:shd w:val="clear" w:color="auto" w:fill="F1F1F1"/>
          </w:tcPr>
          <w:p w:rsidR="008F03B5" w:rsidRDefault="008F03B5">
            <w:pPr>
              <w:rPr>
                <w:sz w:val="2"/>
                <w:szCs w:val="2"/>
              </w:rPr>
            </w:pPr>
          </w:p>
        </w:tc>
        <w:tc>
          <w:tcPr>
            <w:tcW w:w="991" w:type="dxa"/>
            <w:tcBorders>
              <w:top w:val="nil"/>
              <w:bottom w:val="nil"/>
            </w:tcBorders>
            <w:shd w:val="clear" w:color="auto" w:fill="F1F1F1"/>
          </w:tcPr>
          <w:p w:rsidR="008F03B5" w:rsidRDefault="00586B9B">
            <w:pPr>
              <w:pStyle w:val="TableParagraph"/>
              <w:spacing w:line="214" w:lineRule="exact"/>
              <w:ind w:left="88" w:right="84"/>
              <w:jc w:val="center"/>
              <w:rPr>
                <w:sz w:val="20"/>
              </w:rPr>
            </w:pPr>
            <w:r>
              <w:rPr>
                <w:sz w:val="20"/>
              </w:rPr>
              <w:t>Days</w:t>
            </w:r>
          </w:p>
        </w:tc>
        <w:tc>
          <w:tcPr>
            <w:tcW w:w="1419" w:type="dxa"/>
            <w:tcBorders>
              <w:top w:val="nil"/>
              <w:bottom w:val="nil"/>
            </w:tcBorders>
            <w:shd w:val="clear" w:color="auto" w:fill="F1F1F1"/>
          </w:tcPr>
          <w:p w:rsidR="008F03B5" w:rsidRDefault="00586B9B">
            <w:pPr>
              <w:pStyle w:val="TableParagraph"/>
              <w:spacing w:line="214" w:lineRule="exact"/>
              <w:ind w:left="139" w:right="139"/>
              <w:jc w:val="center"/>
              <w:rPr>
                <w:sz w:val="20"/>
              </w:rPr>
            </w:pPr>
            <w:r>
              <w:rPr>
                <w:sz w:val="20"/>
              </w:rPr>
              <w:t>(randomised)</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586B9B">
            <w:pPr>
              <w:pStyle w:val="TableParagraph"/>
              <w:spacing w:line="214" w:lineRule="exact"/>
              <w:ind w:left="196" w:right="193"/>
              <w:jc w:val="center"/>
              <w:rPr>
                <w:sz w:val="20"/>
              </w:rPr>
            </w:pPr>
            <w:r>
              <w:rPr>
                <w:sz w:val="20"/>
              </w:rPr>
              <w:t>3.5 – 4.9</w:t>
            </w:r>
          </w:p>
        </w:tc>
        <w:tc>
          <w:tcPr>
            <w:tcW w:w="1702" w:type="dxa"/>
            <w:tcBorders>
              <w:top w:val="nil"/>
              <w:bottom w:val="nil"/>
            </w:tcBorders>
            <w:shd w:val="clear" w:color="auto" w:fill="F1F1F1"/>
          </w:tcPr>
          <w:p w:rsidR="008F03B5" w:rsidRDefault="008F03B5">
            <w:pPr>
              <w:pStyle w:val="TableParagraph"/>
              <w:rPr>
                <w:rFonts w:ascii="Times New Roman"/>
                <w:sz w:val="16"/>
              </w:rPr>
            </w:pPr>
          </w:p>
        </w:tc>
      </w:tr>
      <w:tr w:rsidR="008F03B5">
        <w:trPr>
          <w:trHeight w:val="234"/>
        </w:trPr>
        <w:tc>
          <w:tcPr>
            <w:tcW w:w="1419" w:type="dxa"/>
            <w:vMerge/>
            <w:tcBorders>
              <w:top w:val="nil"/>
            </w:tcBorders>
            <w:shd w:val="clear" w:color="auto" w:fill="F1F1F1"/>
          </w:tcPr>
          <w:p w:rsidR="008F03B5" w:rsidRDefault="008F03B5">
            <w:pPr>
              <w:rPr>
                <w:sz w:val="2"/>
                <w:szCs w:val="2"/>
              </w:rPr>
            </w:pPr>
          </w:p>
        </w:tc>
        <w:tc>
          <w:tcPr>
            <w:tcW w:w="1277" w:type="dxa"/>
            <w:vMerge/>
            <w:tcBorders>
              <w:top w:val="nil"/>
            </w:tcBorders>
            <w:shd w:val="clear" w:color="auto" w:fill="F1F1F1"/>
          </w:tcPr>
          <w:p w:rsidR="008F03B5" w:rsidRDefault="008F03B5">
            <w:pPr>
              <w:rPr>
                <w:sz w:val="2"/>
                <w:szCs w:val="2"/>
              </w:rPr>
            </w:pPr>
          </w:p>
        </w:tc>
        <w:tc>
          <w:tcPr>
            <w:tcW w:w="567" w:type="dxa"/>
            <w:vMerge/>
            <w:tcBorders>
              <w:top w:val="nil"/>
            </w:tcBorders>
            <w:shd w:val="clear" w:color="auto" w:fill="F1F1F1"/>
          </w:tcPr>
          <w:p w:rsidR="008F03B5" w:rsidRDefault="008F03B5">
            <w:pPr>
              <w:rPr>
                <w:sz w:val="2"/>
                <w:szCs w:val="2"/>
              </w:rPr>
            </w:pPr>
          </w:p>
        </w:tc>
        <w:tc>
          <w:tcPr>
            <w:tcW w:w="991" w:type="dxa"/>
            <w:tcBorders>
              <w:top w:val="nil"/>
              <w:bottom w:val="nil"/>
            </w:tcBorders>
            <w:shd w:val="clear" w:color="auto" w:fill="F1F1F1"/>
          </w:tcPr>
          <w:p w:rsidR="008F03B5" w:rsidRDefault="00586B9B">
            <w:pPr>
              <w:pStyle w:val="TableParagraph"/>
              <w:spacing w:line="215" w:lineRule="exact"/>
              <w:ind w:left="88" w:right="84"/>
              <w:jc w:val="center"/>
              <w:rPr>
                <w:sz w:val="20"/>
              </w:rPr>
            </w:pPr>
            <w:r>
              <w:rPr>
                <w:sz w:val="20"/>
              </w:rPr>
              <w:t>3-14</w:t>
            </w:r>
          </w:p>
        </w:tc>
        <w:tc>
          <w:tcPr>
            <w:tcW w:w="1419" w:type="dxa"/>
            <w:tcBorders>
              <w:top w:val="nil"/>
              <w:bottom w:val="nil"/>
            </w:tcBorders>
            <w:shd w:val="clear" w:color="auto" w:fill="F1F1F1"/>
          </w:tcPr>
          <w:p w:rsidR="008F03B5" w:rsidRDefault="00586B9B">
            <w:pPr>
              <w:pStyle w:val="TableParagraph"/>
              <w:spacing w:line="215" w:lineRule="exact"/>
              <w:ind w:left="139" w:right="139"/>
              <w:jc w:val="center"/>
              <w:rPr>
                <w:sz w:val="20"/>
              </w:rPr>
            </w:pPr>
            <w:r>
              <w:rPr>
                <w:sz w:val="20"/>
              </w:rPr>
              <w:t>Placebo</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8F03B5">
            <w:pPr>
              <w:pStyle w:val="TableParagraph"/>
              <w:rPr>
                <w:rFonts w:ascii="Times New Roman"/>
                <w:sz w:val="16"/>
              </w:rPr>
            </w:pPr>
          </w:p>
        </w:tc>
        <w:tc>
          <w:tcPr>
            <w:tcW w:w="1702" w:type="dxa"/>
            <w:tcBorders>
              <w:top w:val="nil"/>
              <w:bottom w:val="nil"/>
            </w:tcBorders>
            <w:shd w:val="clear" w:color="auto" w:fill="F1F1F1"/>
          </w:tcPr>
          <w:p w:rsidR="008F03B5" w:rsidRDefault="00586B9B">
            <w:pPr>
              <w:pStyle w:val="TableParagraph"/>
              <w:spacing w:line="215" w:lineRule="exact"/>
              <w:ind w:left="126" w:right="124"/>
              <w:jc w:val="center"/>
              <w:rPr>
                <w:sz w:val="20"/>
              </w:rPr>
            </w:pPr>
            <w:r>
              <w:rPr>
                <w:sz w:val="20"/>
              </w:rPr>
              <w:t>+ 0.47%/ hr</w:t>
            </w:r>
          </w:p>
        </w:tc>
      </w:tr>
      <w:tr w:rsidR="008F03B5">
        <w:trPr>
          <w:trHeight w:val="222"/>
        </w:trPr>
        <w:tc>
          <w:tcPr>
            <w:tcW w:w="1419" w:type="dxa"/>
            <w:vMerge/>
            <w:tcBorders>
              <w:top w:val="nil"/>
            </w:tcBorders>
            <w:shd w:val="clear" w:color="auto" w:fill="F1F1F1"/>
          </w:tcPr>
          <w:p w:rsidR="008F03B5" w:rsidRDefault="008F03B5">
            <w:pPr>
              <w:rPr>
                <w:sz w:val="2"/>
                <w:szCs w:val="2"/>
              </w:rPr>
            </w:pPr>
          </w:p>
        </w:tc>
        <w:tc>
          <w:tcPr>
            <w:tcW w:w="1277" w:type="dxa"/>
            <w:vMerge/>
            <w:tcBorders>
              <w:top w:val="nil"/>
            </w:tcBorders>
            <w:shd w:val="clear" w:color="auto" w:fill="F1F1F1"/>
          </w:tcPr>
          <w:p w:rsidR="008F03B5" w:rsidRDefault="008F03B5">
            <w:pPr>
              <w:rPr>
                <w:sz w:val="2"/>
                <w:szCs w:val="2"/>
              </w:rPr>
            </w:pPr>
          </w:p>
        </w:tc>
        <w:tc>
          <w:tcPr>
            <w:tcW w:w="567" w:type="dxa"/>
            <w:vMerge/>
            <w:tcBorders>
              <w:top w:val="nil"/>
            </w:tcBorders>
            <w:shd w:val="clear" w:color="auto" w:fill="F1F1F1"/>
          </w:tcPr>
          <w:p w:rsidR="008F03B5" w:rsidRDefault="008F03B5">
            <w:pPr>
              <w:rPr>
                <w:sz w:val="2"/>
                <w:szCs w:val="2"/>
              </w:rPr>
            </w:pPr>
          </w:p>
        </w:tc>
        <w:tc>
          <w:tcPr>
            <w:tcW w:w="991" w:type="dxa"/>
            <w:tcBorders>
              <w:top w:val="nil"/>
              <w:bottom w:val="nil"/>
            </w:tcBorders>
            <w:shd w:val="clear" w:color="auto" w:fill="F1F1F1"/>
          </w:tcPr>
          <w:p w:rsidR="008F03B5" w:rsidRDefault="008F03B5">
            <w:pPr>
              <w:pStyle w:val="TableParagraph"/>
              <w:rPr>
                <w:rFonts w:ascii="Times New Roman"/>
                <w:sz w:val="14"/>
              </w:rPr>
            </w:pPr>
          </w:p>
        </w:tc>
        <w:tc>
          <w:tcPr>
            <w:tcW w:w="1419" w:type="dxa"/>
            <w:tcBorders>
              <w:top w:val="nil"/>
            </w:tcBorders>
            <w:shd w:val="clear" w:color="auto" w:fill="F1F1F1"/>
          </w:tcPr>
          <w:p w:rsidR="008F03B5" w:rsidRDefault="00586B9B">
            <w:pPr>
              <w:pStyle w:val="TableParagraph"/>
              <w:spacing w:line="203" w:lineRule="exact"/>
              <w:ind w:left="139" w:right="136"/>
              <w:jc w:val="center"/>
              <w:rPr>
                <w:sz w:val="20"/>
              </w:rPr>
            </w:pPr>
            <w:r>
              <w:rPr>
                <w:sz w:val="20"/>
              </w:rPr>
              <w:t>SZC 5g</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8F03B5">
            <w:pPr>
              <w:pStyle w:val="TableParagraph"/>
              <w:rPr>
                <w:rFonts w:ascii="Times New Roman"/>
                <w:sz w:val="14"/>
              </w:rPr>
            </w:pPr>
          </w:p>
        </w:tc>
        <w:tc>
          <w:tcPr>
            <w:tcW w:w="1702" w:type="dxa"/>
            <w:tcBorders>
              <w:top w:val="nil"/>
            </w:tcBorders>
            <w:shd w:val="clear" w:color="auto" w:fill="F1F1F1"/>
          </w:tcPr>
          <w:p w:rsidR="008F03B5" w:rsidRDefault="00586B9B">
            <w:pPr>
              <w:pStyle w:val="TableParagraph"/>
              <w:spacing w:line="203" w:lineRule="exact"/>
              <w:ind w:left="126" w:right="124"/>
              <w:jc w:val="center"/>
              <w:rPr>
                <w:sz w:val="20"/>
              </w:rPr>
            </w:pPr>
            <w:r>
              <w:rPr>
                <w:sz w:val="20"/>
              </w:rPr>
              <w:t>+ 0.09%/ hr</w:t>
            </w:r>
          </w:p>
        </w:tc>
      </w:tr>
      <w:tr w:rsidR="008F03B5">
        <w:trPr>
          <w:trHeight w:val="256"/>
        </w:trPr>
        <w:tc>
          <w:tcPr>
            <w:tcW w:w="1419" w:type="dxa"/>
            <w:vMerge/>
            <w:tcBorders>
              <w:top w:val="nil"/>
            </w:tcBorders>
            <w:shd w:val="clear" w:color="auto" w:fill="F1F1F1"/>
          </w:tcPr>
          <w:p w:rsidR="008F03B5" w:rsidRDefault="008F03B5">
            <w:pPr>
              <w:rPr>
                <w:sz w:val="2"/>
                <w:szCs w:val="2"/>
              </w:rPr>
            </w:pPr>
          </w:p>
        </w:tc>
        <w:tc>
          <w:tcPr>
            <w:tcW w:w="1277" w:type="dxa"/>
            <w:vMerge/>
            <w:tcBorders>
              <w:top w:val="nil"/>
            </w:tcBorders>
            <w:shd w:val="clear" w:color="auto" w:fill="F1F1F1"/>
          </w:tcPr>
          <w:p w:rsidR="008F03B5" w:rsidRDefault="008F03B5">
            <w:pPr>
              <w:rPr>
                <w:sz w:val="2"/>
                <w:szCs w:val="2"/>
              </w:rPr>
            </w:pPr>
          </w:p>
        </w:tc>
        <w:tc>
          <w:tcPr>
            <w:tcW w:w="567" w:type="dxa"/>
            <w:vMerge/>
            <w:tcBorders>
              <w:top w:val="nil"/>
            </w:tcBorders>
            <w:shd w:val="clear" w:color="auto" w:fill="F1F1F1"/>
          </w:tcPr>
          <w:p w:rsidR="008F03B5" w:rsidRDefault="008F03B5">
            <w:pPr>
              <w:rPr>
                <w:sz w:val="2"/>
                <w:szCs w:val="2"/>
              </w:rPr>
            </w:pPr>
          </w:p>
        </w:tc>
        <w:tc>
          <w:tcPr>
            <w:tcW w:w="991" w:type="dxa"/>
            <w:tcBorders>
              <w:top w:val="nil"/>
              <w:bottom w:val="nil"/>
            </w:tcBorders>
            <w:shd w:val="clear" w:color="auto" w:fill="F1F1F1"/>
          </w:tcPr>
          <w:p w:rsidR="008F03B5" w:rsidRDefault="008F03B5">
            <w:pPr>
              <w:pStyle w:val="TableParagraph"/>
              <w:rPr>
                <w:rFonts w:ascii="Times New Roman"/>
                <w:sz w:val="18"/>
              </w:rPr>
            </w:pPr>
          </w:p>
        </w:tc>
        <w:tc>
          <w:tcPr>
            <w:tcW w:w="1419" w:type="dxa"/>
            <w:tcBorders>
              <w:bottom w:val="nil"/>
            </w:tcBorders>
            <w:shd w:val="clear" w:color="auto" w:fill="F1F1F1"/>
          </w:tcPr>
          <w:p w:rsidR="008F03B5" w:rsidRDefault="00586B9B">
            <w:pPr>
              <w:pStyle w:val="TableParagraph"/>
              <w:spacing w:line="237" w:lineRule="exact"/>
              <w:ind w:left="139" w:right="139"/>
              <w:jc w:val="center"/>
              <w:rPr>
                <w:sz w:val="20"/>
              </w:rPr>
            </w:pPr>
            <w:r>
              <w:rPr>
                <w:sz w:val="20"/>
              </w:rPr>
              <w:t>Placebo</w:t>
            </w:r>
          </w:p>
        </w:tc>
        <w:tc>
          <w:tcPr>
            <w:tcW w:w="1416" w:type="dxa"/>
            <w:vMerge/>
            <w:tcBorders>
              <w:top w:val="nil"/>
            </w:tcBorders>
            <w:shd w:val="clear" w:color="auto" w:fill="F1F1F1"/>
          </w:tcPr>
          <w:p w:rsidR="008F03B5" w:rsidRDefault="008F03B5">
            <w:pPr>
              <w:rPr>
                <w:sz w:val="2"/>
                <w:szCs w:val="2"/>
              </w:rPr>
            </w:pPr>
          </w:p>
        </w:tc>
        <w:tc>
          <w:tcPr>
            <w:tcW w:w="1136" w:type="dxa"/>
            <w:tcBorders>
              <w:top w:val="nil"/>
              <w:bottom w:val="nil"/>
            </w:tcBorders>
            <w:shd w:val="clear" w:color="auto" w:fill="F1F1F1"/>
          </w:tcPr>
          <w:p w:rsidR="008F03B5" w:rsidRDefault="008F03B5">
            <w:pPr>
              <w:pStyle w:val="TableParagraph"/>
              <w:rPr>
                <w:rFonts w:ascii="Times New Roman"/>
                <w:sz w:val="18"/>
              </w:rPr>
            </w:pPr>
          </w:p>
        </w:tc>
        <w:tc>
          <w:tcPr>
            <w:tcW w:w="1702" w:type="dxa"/>
            <w:tcBorders>
              <w:bottom w:val="nil"/>
            </w:tcBorders>
            <w:shd w:val="clear" w:color="auto" w:fill="F1F1F1"/>
          </w:tcPr>
          <w:p w:rsidR="008F03B5" w:rsidRDefault="00586B9B">
            <w:pPr>
              <w:pStyle w:val="TableParagraph"/>
              <w:spacing w:line="237" w:lineRule="exact"/>
              <w:ind w:left="126" w:right="124"/>
              <w:jc w:val="center"/>
              <w:rPr>
                <w:sz w:val="20"/>
              </w:rPr>
            </w:pPr>
            <w:r>
              <w:rPr>
                <w:sz w:val="20"/>
              </w:rPr>
              <w:t>+ 1.04%/ hr</w:t>
            </w:r>
          </w:p>
        </w:tc>
      </w:tr>
      <w:tr w:rsidR="008F03B5">
        <w:trPr>
          <w:trHeight w:val="219"/>
        </w:trPr>
        <w:tc>
          <w:tcPr>
            <w:tcW w:w="1419" w:type="dxa"/>
            <w:vMerge/>
            <w:tcBorders>
              <w:top w:val="nil"/>
            </w:tcBorders>
            <w:shd w:val="clear" w:color="auto" w:fill="F1F1F1"/>
          </w:tcPr>
          <w:p w:rsidR="008F03B5" w:rsidRDefault="008F03B5">
            <w:pPr>
              <w:rPr>
                <w:sz w:val="2"/>
                <w:szCs w:val="2"/>
              </w:rPr>
            </w:pPr>
          </w:p>
        </w:tc>
        <w:tc>
          <w:tcPr>
            <w:tcW w:w="1277" w:type="dxa"/>
            <w:vMerge/>
            <w:tcBorders>
              <w:top w:val="nil"/>
            </w:tcBorders>
            <w:shd w:val="clear" w:color="auto" w:fill="F1F1F1"/>
          </w:tcPr>
          <w:p w:rsidR="008F03B5" w:rsidRDefault="008F03B5">
            <w:pPr>
              <w:rPr>
                <w:sz w:val="2"/>
                <w:szCs w:val="2"/>
              </w:rPr>
            </w:pPr>
          </w:p>
        </w:tc>
        <w:tc>
          <w:tcPr>
            <w:tcW w:w="567" w:type="dxa"/>
            <w:vMerge/>
            <w:tcBorders>
              <w:top w:val="nil"/>
            </w:tcBorders>
            <w:shd w:val="clear" w:color="auto" w:fill="F1F1F1"/>
          </w:tcPr>
          <w:p w:rsidR="008F03B5" w:rsidRDefault="008F03B5">
            <w:pPr>
              <w:rPr>
                <w:sz w:val="2"/>
                <w:szCs w:val="2"/>
              </w:rPr>
            </w:pPr>
          </w:p>
        </w:tc>
        <w:tc>
          <w:tcPr>
            <w:tcW w:w="991" w:type="dxa"/>
            <w:tcBorders>
              <w:top w:val="nil"/>
            </w:tcBorders>
            <w:shd w:val="clear" w:color="auto" w:fill="F1F1F1"/>
          </w:tcPr>
          <w:p w:rsidR="008F03B5" w:rsidRDefault="008F03B5">
            <w:pPr>
              <w:pStyle w:val="TableParagraph"/>
              <w:rPr>
                <w:rFonts w:ascii="Times New Roman"/>
                <w:sz w:val="14"/>
              </w:rPr>
            </w:pPr>
          </w:p>
        </w:tc>
        <w:tc>
          <w:tcPr>
            <w:tcW w:w="1419" w:type="dxa"/>
            <w:tcBorders>
              <w:top w:val="nil"/>
            </w:tcBorders>
            <w:shd w:val="clear" w:color="auto" w:fill="F1F1F1"/>
          </w:tcPr>
          <w:p w:rsidR="008F03B5" w:rsidRDefault="00586B9B">
            <w:pPr>
              <w:pStyle w:val="TableParagraph"/>
              <w:spacing w:line="200" w:lineRule="exact"/>
              <w:ind w:left="139" w:right="136"/>
              <w:jc w:val="center"/>
              <w:rPr>
                <w:sz w:val="20"/>
              </w:rPr>
            </w:pPr>
            <w:r>
              <w:rPr>
                <w:sz w:val="20"/>
              </w:rPr>
              <w:t>SZC 10g</w:t>
            </w:r>
          </w:p>
        </w:tc>
        <w:tc>
          <w:tcPr>
            <w:tcW w:w="1416" w:type="dxa"/>
            <w:vMerge/>
            <w:tcBorders>
              <w:top w:val="nil"/>
            </w:tcBorders>
            <w:shd w:val="clear" w:color="auto" w:fill="F1F1F1"/>
          </w:tcPr>
          <w:p w:rsidR="008F03B5" w:rsidRDefault="008F03B5">
            <w:pPr>
              <w:rPr>
                <w:sz w:val="2"/>
                <w:szCs w:val="2"/>
              </w:rPr>
            </w:pPr>
          </w:p>
        </w:tc>
        <w:tc>
          <w:tcPr>
            <w:tcW w:w="1136" w:type="dxa"/>
            <w:tcBorders>
              <w:top w:val="nil"/>
            </w:tcBorders>
            <w:shd w:val="clear" w:color="auto" w:fill="F1F1F1"/>
          </w:tcPr>
          <w:p w:rsidR="008F03B5" w:rsidRDefault="008F03B5">
            <w:pPr>
              <w:pStyle w:val="TableParagraph"/>
              <w:rPr>
                <w:rFonts w:ascii="Times New Roman"/>
                <w:sz w:val="14"/>
              </w:rPr>
            </w:pPr>
          </w:p>
        </w:tc>
        <w:tc>
          <w:tcPr>
            <w:tcW w:w="1702" w:type="dxa"/>
            <w:tcBorders>
              <w:top w:val="nil"/>
            </w:tcBorders>
            <w:shd w:val="clear" w:color="auto" w:fill="F1F1F1"/>
          </w:tcPr>
          <w:p w:rsidR="008F03B5" w:rsidRDefault="00586B9B">
            <w:pPr>
              <w:pStyle w:val="TableParagraph"/>
              <w:spacing w:line="200" w:lineRule="exact"/>
              <w:ind w:left="126" w:right="124"/>
              <w:jc w:val="center"/>
              <w:rPr>
                <w:sz w:val="20"/>
              </w:rPr>
            </w:pPr>
            <w:r>
              <w:rPr>
                <w:sz w:val="20"/>
              </w:rPr>
              <w:t>+ 0.14%/ hr</w:t>
            </w:r>
          </w:p>
        </w:tc>
      </w:tr>
      <w:tr w:rsidR="008F03B5">
        <w:trPr>
          <w:trHeight w:val="261"/>
        </w:trPr>
        <w:tc>
          <w:tcPr>
            <w:tcW w:w="1419" w:type="dxa"/>
            <w:tcBorders>
              <w:bottom w:val="nil"/>
            </w:tcBorders>
          </w:tcPr>
          <w:p w:rsidR="008F03B5" w:rsidRDefault="00586B9B">
            <w:pPr>
              <w:pStyle w:val="TableParagraph"/>
              <w:spacing w:line="242" w:lineRule="exact"/>
              <w:ind w:left="141"/>
              <w:rPr>
                <w:b/>
                <w:sz w:val="20"/>
              </w:rPr>
            </w:pPr>
            <w:r>
              <w:rPr>
                <w:b/>
                <w:sz w:val="20"/>
              </w:rPr>
              <w:t xml:space="preserve">ZS-004 </w:t>
            </w:r>
            <w:r>
              <w:rPr>
                <w:b/>
                <w:sz w:val="20"/>
                <w:vertAlign w:val="superscript"/>
              </w:rPr>
              <w:t>6</w:t>
            </w:r>
          </w:p>
        </w:tc>
        <w:tc>
          <w:tcPr>
            <w:tcW w:w="1277" w:type="dxa"/>
            <w:tcBorders>
              <w:bottom w:val="nil"/>
            </w:tcBorders>
          </w:tcPr>
          <w:p w:rsidR="008F03B5" w:rsidRDefault="00586B9B">
            <w:pPr>
              <w:pStyle w:val="TableParagraph"/>
              <w:spacing w:line="242" w:lineRule="exact"/>
              <w:ind w:left="98" w:right="92"/>
              <w:jc w:val="center"/>
              <w:rPr>
                <w:sz w:val="20"/>
              </w:rPr>
            </w:pPr>
            <w:r>
              <w:rPr>
                <w:sz w:val="20"/>
              </w:rPr>
              <w:t>Phase III RCT</w:t>
            </w:r>
          </w:p>
        </w:tc>
        <w:tc>
          <w:tcPr>
            <w:tcW w:w="567" w:type="dxa"/>
            <w:tcBorders>
              <w:bottom w:val="nil"/>
            </w:tcBorders>
          </w:tcPr>
          <w:p w:rsidR="008F03B5" w:rsidRDefault="00586B9B">
            <w:pPr>
              <w:pStyle w:val="TableParagraph"/>
              <w:spacing w:line="242" w:lineRule="exact"/>
              <w:ind w:left="106" w:right="106"/>
              <w:jc w:val="center"/>
              <w:rPr>
                <w:sz w:val="20"/>
              </w:rPr>
            </w:pPr>
            <w:r>
              <w:rPr>
                <w:sz w:val="20"/>
              </w:rPr>
              <w:t>258</w:t>
            </w:r>
          </w:p>
        </w:tc>
        <w:tc>
          <w:tcPr>
            <w:tcW w:w="991" w:type="dxa"/>
            <w:tcBorders>
              <w:bottom w:val="nil"/>
            </w:tcBorders>
          </w:tcPr>
          <w:p w:rsidR="008F03B5" w:rsidRDefault="00586B9B">
            <w:pPr>
              <w:pStyle w:val="TableParagraph"/>
              <w:spacing w:line="242" w:lineRule="exact"/>
              <w:ind w:left="87" w:right="84"/>
              <w:jc w:val="center"/>
              <w:rPr>
                <w:sz w:val="20"/>
              </w:rPr>
            </w:pPr>
            <w:r>
              <w:rPr>
                <w:sz w:val="20"/>
              </w:rPr>
              <w:t>Stage 1</w:t>
            </w:r>
          </w:p>
        </w:tc>
        <w:tc>
          <w:tcPr>
            <w:tcW w:w="1419" w:type="dxa"/>
            <w:tcBorders>
              <w:bottom w:val="nil"/>
            </w:tcBorders>
          </w:tcPr>
          <w:p w:rsidR="008F03B5" w:rsidRDefault="00586B9B">
            <w:pPr>
              <w:pStyle w:val="TableParagraph"/>
              <w:spacing w:line="242" w:lineRule="exact"/>
              <w:ind w:left="139" w:right="133"/>
              <w:jc w:val="center"/>
              <w:rPr>
                <w:sz w:val="20"/>
              </w:rPr>
            </w:pPr>
            <w:r>
              <w:rPr>
                <w:sz w:val="20"/>
              </w:rPr>
              <w:t>Induction</w:t>
            </w:r>
          </w:p>
        </w:tc>
        <w:tc>
          <w:tcPr>
            <w:tcW w:w="1416" w:type="dxa"/>
            <w:tcBorders>
              <w:bottom w:val="nil"/>
            </w:tcBorders>
          </w:tcPr>
          <w:p w:rsidR="008F03B5" w:rsidRDefault="008F03B5">
            <w:pPr>
              <w:pStyle w:val="TableParagraph"/>
              <w:rPr>
                <w:rFonts w:ascii="Times New Roman"/>
                <w:sz w:val="18"/>
              </w:rPr>
            </w:pPr>
          </w:p>
        </w:tc>
        <w:tc>
          <w:tcPr>
            <w:tcW w:w="1136" w:type="dxa"/>
            <w:tcBorders>
              <w:bottom w:val="nil"/>
            </w:tcBorders>
          </w:tcPr>
          <w:p w:rsidR="008F03B5" w:rsidRDefault="008F03B5">
            <w:pPr>
              <w:pStyle w:val="TableParagraph"/>
              <w:rPr>
                <w:rFonts w:ascii="Times New Roman"/>
                <w:sz w:val="18"/>
              </w:rPr>
            </w:pPr>
          </w:p>
        </w:tc>
        <w:tc>
          <w:tcPr>
            <w:tcW w:w="1702" w:type="dxa"/>
            <w:tcBorders>
              <w:bottom w:val="nil"/>
            </w:tcBorders>
          </w:tcPr>
          <w:p w:rsidR="008F03B5" w:rsidRDefault="008F03B5">
            <w:pPr>
              <w:pStyle w:val="TableParagraph"/>
              <w:rPr>
                <w:rFonts w:ascii="Times New Roman"/>
                <w:sz w:val="18"/>
              </w:rPr>
            </w:pPr>
          </w:p>
        </w:tc>
      </w:tr>
      <w:tr w:rsidR="008F03B5">
        <w:trPr>
          <w:trHeight w:val="244"/>
        </w:trPr>
        <w:tc>
          <w:tcPr>
            <w:tcW w:w="1419" w:type="dxa"/>
            <w:tcBorders>
              <w:top w:val="nil"/>
              <w:bottom w:val="nil"/>
            </w:tcBorders>
          </w:tcPr>
          <w:p w:rsidR="008F03B5" w:rsidRDefault="00586B9B">
            <w:pPr>
              <w:pStyle w:val="TableParagraph"/>
              <w:spacing w:line="225" w:lineRule="exact"/>
              <w:ind w:left="141"/>
              <w:rPr>
                <w:b/>
                <w:sz w:val="20"/>
              </w:rPr>
            </w:pPr>
            <w:r>
              <w:rPr>
                <w:b/>
                <w:sz w:val="20"/>
              </w:rPr>
              <w:t>HARMONIZE</w:t>
            </w: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586B9B">
            <w:pPr>
              <w:pStyle w:val="TableParagraph"/>
              <w:spacing w:line="225" w:lineRule="exact"/>
              <w:ind w:left="91" w:right="84"/>
              <w:jc w:val="center"/>
              <w:rPr>
                <w:sz w:val="20"/>
              </w:rPr>
            </w:pPr>
            <w:r>
              <w:rPr>
                <w:sz w:val="20"/>
              </w:rPr>
              <w:t>48 hrs</w:t>
            </w:r>
          </w:p>
        </w:tc>
        <w:tc>
          <w:tcPr>
            <w:tcW w:w="1419" w:type="dxa"/>
            <w:tcBorders>
              <w:top w:val="nil"/>
              <w:bottom w:val="nil"/>
            </w:tcBorders>
          </w:tcPr>
          <w:p w:rsidR="008F03B5" w:rsidRDefault="00586B9B">
            <w:pPr>
              <w:pStyle w:val="TableParagraph"/>
              <w:spacing w:line="225" w:lineRule="exact"/>
              <w:ind w:left="139" w:right="136"/>
              <w:jc w:val="center"/>
              <w:rPr>
                <w:sz w:val="20"/>
              </w:rPr>
            </w:pPr>
            <w:r>
              <w:rPr>
                <w:sz w:val="20"/>
              </w:rPr>
              <w:t>(open label)</w:t>
            </w:r>
          </w:p>
        </w:tc>
        <w:tc>
          <w:tcPr>
            <w:tcW w:w="1416" w:type="dxa"/>
            <w:tcBorders>
              <w:top w:val="nil"/>
              <w:bottom w:val="nil"/>
            </w:tcBorders>
          </w:tcPr>
          <w:p w:rsidR="008F03B5" w:rsidRDefault="008F03B5">
            <w:pPr>
              <w:pStyle w:val="TableParagraph"/>
              <w:rPr>
                <w:rFonts w:ascii="Times New Roman"/>
                <w:sz w:val="16"/>
              </w:rPr>
            </w:pPr>
          </w:p>
        </w:tc>
        <w:tc>
          <w:tcPr>
            <w:tcW w:w="1136" w:type="dxa"/>
            <w:tcBorders>
              <w:top w:val="nil"/>
              <w:bottom w:val="nil"/>
            </w:tcBorders>
          </w:tcPr>
          <w:p w:rsidR="008F03B5" w:rsidRDefault="008F03B5">
            <w:pPr>
              <w:pStyle w:val="TableParagraph"/>
              <w:rPr>
                <w:rFonts w:ascii="Times New Roman"/>
                <w:sz w:val="16"/>
              </w:rPr>
            </w:pPr>
          </w:p>
        </w:tc>
        <w:tc>
          <w:tcPr>
            <w:tcW w:w="1702" w:type="dxa"/>
            <w:tcBorders>
              <w:top w:val="nil"/>
              <w:bottom w:val="nil"/>
            </w:tcBorders>
          </w:tcPr>
          <w:p w:rsidR="008F03B5" w:rsidRDefault="008F03B5">
            <w:pPr>
              <w:pStyle w:val="TableParagraph"/>
              <w:rPr>
                <w:rFonts w:ascii="Times New Roman"/>
                <w:sz w:val="16"/>
              </w:rPr>
            </w:pPr>
          </w:p>
        </w:tc>
      </w:tr>
      <w:tr w:rsidR="008F03B5">
        <w:trPr>
          <w:trHeight w:val="244"/>
        </w:trPr>
        <w:tc>
          <w:tcPr>
            <w:tcW w:w="1419" w:type="dxa"/>
            <w:tcBorders>
              <w:top w:val="nil"/>
              <w:bottom w:val="nil"/>
            </w:tcBorders>
          </w:tcPr>
          <w:p w:rsidR="008F03B5" w:rsidRDefault="00586B9B">
            <w:pPr>
              <w:pStyle w:val="TableParagraph"/>
              <w:spacing w:line="225" w:lineRule="exact"/>
              <w:ind w:left="141"/>
              <w:rPr>
                <w:sz w:val="20"/>
              </w:rPr>
            </w:pPr>
            <w:r>
              <w:rPr>
                <w:sz w:val="20"/>
              </w:rPr>
              <w:t>Kosiborod</w:t>
            </w: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25" w:lineRule="exact"/>
              <w:ind w:left="139" w:right="136"/>
              <w:jc w:val="center"/>
              <w:rPr>
                <w:sz w:val="20"/>
              </w:rPr>
            </w:pPr>
            <w:r>
              <w:rPr>
                <w:sz w:val="20"/>
              </w:rPr>
              <w:t>10g</w:t>
            </w:r>
          </w:p>
        </w:tc>
        <w:tc>
          <w:tcPr>
            <w:tcW w:w="1416" w:type="dxa"/>
            <w:tcBorders>
              <w:top w:val="nil"/>
              <w:bottom w:val="nil"/>
            </w:tcBorders>
          </w:tcPr>
          <w:p w:rsidR="008F03B5" w:rsidRDefault="00586B9B">
            <w:pPr>
              <w:pStyle w:val="TableParagraph"/>
              <w:spacing w:line="225" w:lineRule="exact"/>
              <w:ind w:right="249"/>
              <w:jc w:val="right"/>
              <w:rPr>
                <w:sz w:val="20"/>
              </w:rPr>
            </w:pPr>
            <w:r>
              <w:rPr>
                <w:sz w:val="20"/>
              </w:rPr>
              <w:t>46.3 ± 30.5</w:t>
            </w:r>
          </w:p>
        </w:tc>
        <w:tc>
          <w:tcPr>
            <w:tcW w:w="1136" w:type="dxa"/>
            <w:tcBorders>
              <w:top w:val="nil"/>
              <w:bottom w:val="nil"/>
            </w:tcBorders>
          </w:tcPr>
          <w:p w:rsidR="008F03B5" w:rsidRDefault="00586B9B">
            <w:pPr>
              <w:pStyle w:val="TableParagraph"/>
              <w:spacing w:line="225" w:lineRule="exact"/>
              <w:ind w:left="196" w:right="193"/>
              <w:jc w:val="center"/>
              <w:rPr>
                <w:sz w:val="20"/>
              </w:rPr>
            </w:pPr>
            <w:r>
              <w:rPr>
                <w:sz w:val="20"/>
              </w:rPr>
              <w:t>5.6 ± 0.4</w:t>
            </w:r>
          </w:p>
        </w:tc>
        <w:tc>
          <w:tcPr>
            <w:tcW w:w="1702" w:type="dxa"/>
            <w:tcBorders>
              <w:top w:val="nil"/>
              <w:bottom w:val="nil"/>
            </w:tcBorders>
          </w:tcPr>
          <w:p w:rsidR="008F03B5" w:rsidRDefault="00586B9B">
            <w:pPr>
              <w:pStyle w:val="TableParagraph"/>
              <w:spacing w:line="225" w:lineRule="exact"/>
              <w:ind w:left="127" w:right="124"/>
              <w:jc w:val="center"/>
              <w:rPr>
                <w:sz w:val="20"/>
              </w:rPr>
            </w:pPr>
            <w:r>
              <w:rPr>
                <w:sz w:val="20"/>
              </w:rPr>
              <w:t>- 1.1 (1.0-1.1)</w:t>
            </w:r>
          </w:p>
        </w:tc>
      </w:tr>
      <w:tr w:rsidR="008F03B5">
        <w:trPr>
          <w:trHeight w:val="236"/>
        </w:trPr>
        <w:tc>
          <w:tcPr>
            <w:tcW w:w="1419" w:type="dxa"/>
            <w:tcBorders>
              <w:top w:val="nil"/>
              <w:bottom w:val="nil"/>
            </w:tcBorders>
          </w:tcPr>
          <w:p w:rsidR="008F03B5" w:rsidRDefault="00586B9B">
            <w:pPr>
              <w:pStyle w:val="TableParagraph"/>
              <w:spacing w:line="217" w:lineRule="exact"/>
              <w:ind w:left="141"/>
              <w:rPr>
                <w:sz w:val="20"/>
              </w:rPr>
            </w:pPr>
            <w:r>
              <w:rPr>
                <w:sz w:val="20"/>
              </w:rPr>
              <w:t>2014</w:t>
            </w: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tcBorders>
          </w:tcPr>
          <w:p w:rsidR="008F03B5" w:rsidRDefault="008F03B5">
            <w:pPr>
              <w:pStyle w:val="TableParagraph"/>
              <w:rPr>
                <w:rFonts w:ascii="Times New Roman"/>
                <w:sz w:val="16"/>
              </w:rPr>
            </w:pPr>
          </w:p>
        </w:tc>
        <w:tc>
          <w:tcPr>
            <w:tcW w:w="1419" w:type="dxa"/>
            <w:tcBorders>
              <w:top w:val="nil"/>
            </w:tcBorders>
          </w:tcPr>
          <w:p w:rsidR="008F03B5" w:rsidRDefault="008F03B5">
            <w:pPr>
              <w:pStyle w:val="TableParagraph"/>
              <w:rPr>
                <w:rFonts w:ascii="Times New Roman"/>
                <w:sz w:val="16"/>
              </w:rPr>
            </w:pPr>
          </w:p>
        </w:tc>
        <w:tc>
          <w:tcPr>
            <w:tcW w:w="1416" w:type="dxa"/>
            <w:tcBorders>
              <w:top w:val="nil"/>
            </w:tcBorders>
          </w:tcPr>
          <w:p w:rsidR="008F03B5" w:rsidRDefault="008F03B5">
            <w:pPr>
              <w:pStyle w:val="TableParagraph"/>
              <w:rPr>
                <w:rFonts w:ascii="Times New Roman"/>
                <w:sz w:val="16"/>
              </w:rPr>
            </w:pPr>
          </w:p>
        </w:tc>
        <w:tc>
          <w:tcPr>
            <w:tcW w:w="1136" w:type="dxa"/>
            <w:tcBorders>
              <w:top w:val="nil"/>
            </w:tcBorders>
          </w:tcPr>
          <w:p w:rsidR="008F03B5" w:rsidRDefault="008F03B5">
            <w:pPr>
              <w:pStyle w:val="TableParagraph"/>
              <w:rPr>
                <w:rFonts w:ascii="Times New Roman"/>
                <w:sz w:val="16"/>
              </w:rPr>
            </w:pPr>
          </w:p>
        </w:tc>
        <w:tc>
          <w:tcPr>
            <w:tcW w:w="1702" w:type="dxa"/>
            <w:tcBorders>
              <w:top w:val="nil"/>
            </w:tcBorders>
          </w:tcPr>
          <w:p w:rsidR="008F03B5" w:rsidRDefault="008F03B5">
            <w:pPr>
              <w:pStyle w:val="TableParagraph"/>
              <w:rPr>
                <w:rFonts w:ascii="Times New Roman"/>
                <w:sz w:val="16"/>
              </w:rPr>
            </w:pPr>
          </w:p>
        </w:tc>
      </w:tr>
      <w:tr w:rsidR="008F03B5">
        <w:trPr>
          <w:trHeight w:val="261"/>
        </w:trPr>
        <w:tc>
          <w:tcPr>
            <w:tcW w:w="1419" w:type="dxa"/>
            <w:tcBorders>
              <w:top w:val="nil"/>
              <w:bottom w:val="nil"/>
            </w:tcBorders>
          </w:tcPr>
          <w:p w:rsidR="008F03B5" w:rsidRDefault="008F03B5">
            <w:pPr>
              <w:pStyle w:val="TableParagraph"/>
              <w:rPr>
                <w:rFonts w:ascii="Times New Roman"/>
                <w:sz w:val="18"/>
              </w:rPr>
            </w:pPr>
          </w:p>
        </w:tc>
        <w:tc>
          <w:tcPr>
            <w:tcW w:w="1277" w:type="dxa"/>
            <w:tcBorders>
              <w:top w:val="nil"/>
              <w:bottom w:val="nil"/>
            </w:tcBorders>
          </w:tcPr>
          <w:p w:rsidR="008F03B5" w:rsidRDefault="008F03B5">
            <w:pPr>
              <w:pStyle w:val="TableParagraph"/>
              <w:rPr>
                <w:rFonts w:ascii="Times New Roman"/>
                <w:sz w:val="18"/>
              </w:rPr>
            </w:pPr>
          </w:p>
        </w:tc>
        <w:tc>
          <w:tcPr>
            <w:tcW w:w="567" w:type="dxa"/>
            <w:tcBorders>
              <w:top w:val="nil"/>
              <w:bottom w:val="nil"/>
            </w:tcBorders>
          </w:tcPr>
          <w:p w:rsidR="008F03B5" w:rsidRDefault="008F03B5">
            <w:pPr>
              <w:pStyle w:val="TableParagraph"/>
              <w:rPr>
                <w:rFonts w:ascii="Times New Roman"/>
                <w:sz w:val="18"/>
              </w:rPr>
            </w:pPr>
          </w:p>
        </w:tc>
        <w:tc>
          <w:tcPr>
            <w:tcW w:w="991" w:type="dxa"/>
            <w:tcBorders>
              <w:bottom w:val="nil"/>
            </w:tcBorders>
          </w:tcPr>
          <w:p w:rsidR="008F03B5" w:rsidRDefault="00586B9B">
            <w:pPr>
              <w:pStyle w:val="TableParagraph"/>
              <w:spacing w:line="242" w:lineRule="exact"/>
              <w:ind w:left="87" w:right="84"/>
              <w:jc w:val="center"/>
              <w:rPr>
                <w:sz w:val="20"/>
              </w:rPr>
            </w:pPr>
            <w:r>
              <w:rPr>
                <w:sz w:val="20"/>
              </w:rPr>
              <w:t>Stage 2</w:t>
            </w:r>
          </w:p>
        </w:tc>
        <w:tc>
          <w:tcPr>
            <w:tcW w:w="1419" w:type="dxa"/>
            <w:tcBorders>
              <w:bottom w:val="nil"/>
            </w:tcBorders>
          </w:tcPr>
          <w:p w:rsidR="008F03B5" w:rsidRDefault="00586B9B">
            <w:pPr>
              <w:pStyle w:val="TableParagraph"/>
              <w:spacing w:line="242" w:lineRule="exact"/>
              <w:ind w:left="139" w:right="135"/>
              <w:jc w:val="center"/>
              <w:rPr>
                <w:sz w:val="20"/>
              </w:rPr>
            </w:pPr>
            <w:r>
              <w:rPr>
                <w:sz w:val="20"/>
              </w:rPr>
              <w:t>Maintenance</w:t>
            </w:r>
          </w:p>
        </w:tc>
        <w:tc>
          <w:tcPr>
            <w:tcW w:w="1416" w:type="dxa"/>
            <w:tcBorders>
              <w:bottom w:val="nil"/>
            </w:tcBorders>
          </w:tcPr>
          <w:p w:rsidR="008F03B5" w:rsidRDefault="008F03B5">
            <w:pPr>
              <w:pStyle w:val="TableParagraph"/>
              <w:rPr>
                <w:rFonts w:ascii="Times New Roman"/>
                <w:sz w:val="18"/>
              </w:rPr>
            </w:pPr>
          </w:p>
        </w:tc>
        <w:tc>
          <w:tcPr>
            <w:tcW w:w="1136" w:type="dxa"/>
            <w:tcBorders>
              <w:bottom w:val="nil"/>
            </w:tcBorders>
          </w:tcPr>
          <w:p w:rsidR="008F03B5" w:rsidRDefault="008F03B5">
            <w:pPr>
              <w:pStyle w:val="TableParagraph"/>
              <w:rPr>
                <w:rFonts w:ascii="Times New Roman"/>
                <w:sz w:val="18"/>
              </w:rPr>
            </w:pPr>
          </w:p>
        </w:tc>
        <w:tc>
          <w:tcPr>
            <w:tcW w:w="1702" w:type="dxa"/>
            <w:tcBorders>
              <w:bottom w:val="nil"/>
            </w:tcBorders>
          </w:tcPr>
          <w:p w:rsidR="008F03B5" w:rsidRDefault="008F03B5">
            <w:pPr>
              <w:pStyle w:val="TableParagraph"/>
              <w:rPr>
                <w:rFonts w:ascii="Times New Roman"/>
                <w:sz w:val="18"/>
              </w:rPr>
            </w:pPr>
          </w:p>
        </w:tc>
      </w:tr>
      <w:tr w:rsidR="008F03B5">
        <w:trPr>
          <w:trHeight w:val="243"/>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586B9B">
            <w:pPr>
              <w:pStyle w:val="TableParagraph"/>
              <w:spacing w:line="224" w:lineRule="exact"/>
              <w:ind w:left="91" w:right="82"/>
              <w:jc w:val="center"/>
              <w:rPr>
                <w:sz w:val="20"/>
              </w:rPr>
            </w:pPr>
            <w:r>
              <w:rPr>
                <w:sz w:val="20"/>
              </w:rPr>
              <w:t>28 days</w:t>
            </w:r>
          </w:p>
        </w:tc>
        <w:tc>
          <w:tcPr>
            <w:tcW w:w="1419" w:type="dxa"/>
            <w:tcBorders>
              <w:top w:val="nil"/>
              <w:bottom w:val="nil"/>
            </w:tcBorders>
          </w:tcPr>
          <w:p w:rsidR="008F03B5" w:rsidRDefault="00586B9B">
            <w:pPr>
              <w:pStyle w:val="TableParagraph"/>
              <w:spacing w:line="224" w:lineRule="exact"/>
              <w:ind w:left="139" w:right="139"/>
              <w:jc w:val="center"/>
              <w:rPr>
                <w:sz w:val="20"/>
              </w:rPr>
            </w:pPr>
            <w:r>
              <w:rPr>
                <w:sz w:val="20"/>
              </w:rPr>
              <w:t>(randomised)</w:t>
            </w:r>
          </w:p>
        </w:tc>
        <w:tc>
          <w:tcPr>
            <w:tcW w:w="1416" w:type="dxa"/>
            <w:tcBorders>
              <w:top w:val="nil"/>
              <w:bottom w:val="nil"/>
            </w:tcBorders>
          </w:tcPr>
          <w:p w:rsidR="008F03B5" w:rsidRDefault="008F03B5">
            <w:pPr>
              <w:pStyle w:val="TableParagraph"/>
              <w:rPr>
                <w:rFonts w:ascii="Times New Roman"/>
                <w:sz w:val="16"/>
              </w:rPr>
            </w:pPr>
          </w:p>
        </w:tc>
        <w:tc>
          <w:tcPr>
            <w:tcW w:w="1136" w:type="dxa"/>
            <w:tcBorders>
              <w:top w:val="nil"/>
              <w:bottom w:val="nil"/>
            </w:tcBorders>
          </w:tcPr>
          <w:p w:rsidR="008F03B5" w:rsidRDefault="008F03B5">
            <w:pPr>
              <w:pStyle w:val="TableParagraph"/>
              <w:rPr>
                <w:rFonts w:ascii="Times New Roman"/>
                <w:sz w:val="16"/>
              </w:rPr>
            </w:pPr>
          </w:p>
        </w:tc>
        <w:tc>
          <w:tcPr>
            <w:tcW w:w="1702" w:type="dxa"/>
            <w:tcBorders>
              <w:top w:val="nil"/>
              <w:bottom w:val="nil"/>
            </w:tcBorders>
          </w:tcPr>
          <w:p w:rsidR="008F03B5" w:rsidRDefault="008F03B5">
            <w:pPr>
              <w:pStyle w:val="TableParagraph"/>
              <w:rPr>
                <w:rFonts w:ascii="Times New Roman"/>
                <w:sz w:val="16"/>
              </w:rPr>
            </w:pPr>
          </w:p>
        </w:tc>
      </w:tr>
      <w:tr w:rsidR="008F03B5">
        <w:trPr>
          <w:trHeight w:val="243"/>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24" w:lineRule="exact"/>
              <w:ind w:left="139" w:right="139"/>
              <w:jc w:val="center"/>
              <w:rPr>
                <w:sz w:val="20"/>
              </w:rPr>
            </w:pPr>
            <w:r>
              <w:rPr>
                <w:sz w:val="20"/>
              </w:rPr>
              <w:t>Placebo</w:t>
            </w:r>
          </w:p>
        </w:tc>
        <w:tc>
          <w:tcPr>
            <w:tcW w:w="1416" w:type="dxa"/>
            <w:tcBorders>
              <w:top w:val="nil"/>
              <w:bottom w:val="nil"/>
            </w:tcBorders>
          </w:tcPr>
          <w:p w:rsidR="008F03B5" w:rsidRDefault="00586B9B">
            <w:pPr>
              <w:pStyle w:val="TableParagraph"/>
              <w:spacing w:line="224" w:lineRule="exact"/>
              <w:ind w:right="249"/>
              <w:jc w:val="right"/>
              <w:rPr>
                <w:sz w:val="20"/>
              </w:rPr>
            </w:pPr>
            <w:r>
              <w:rPr>
                <w:sz w:val="20"/>
              </w:rPr>
              <w:t>48.0 ± 28.8</w:t>
            </w:r>
          </w:p>
        </w:tc>
        <w:tc>
          <w:tcPr>
            <w:tcW w:w="1136" w:type="dxa"/>
            <w:tcBorders>
              <w:top w:val="nil"/>
              <w:bottom w:val="nil"/>
            </w:tcBorders>
          </w:tcPr>
          <w:p w:rsidR="008F03B5" w:rsidRDefault="00586B9B">
            <w:pPr>
              <w:pStyle w:val="TableParagraph"/>
              <w:spacing w:line="224" w:lineRule="exact"/>
              <w:ind w:left="196" w:right="193"/>
              <w:jc w:val="center"/>
              <w:rPr>
                <w:sz w:val="20"/>
              </w:rPr>
            </w:pPr>
            <w:r>
              <w:rPr>
                <w:sz w:val="20"/>
              </w:rPr>
              <w:t>4.6 ± 0.4</w:t>
            </w:r>
          </w:p>
        </w:tc>
        <w:tc>
          <w:tcPr>
            <w:tcW w:w="1702" w:type="dxa"/>
            <w:tcBorders>
              <w:top w:val="nil"/>
              <w:bottom w:val="nil"/>
            </w:tcBorders>
          </w:tcPr>
          <w:p w:rsidR="008F03B5" w:rsidRDefault="00586B9B">
            <w:pPr>
              <w:pStyle w:val="TableParagraph"/>
              <w:spacing w:line="224" w:lineRule="exact"/>
              <w:ind w:left="127" w:right="124"/>
              <w:jc w:val="center"/>
              <w:rPr>
                <w:sz w:val="20"/>
              </w:rPr>
            </w:pPr>
            <w:r>
              <w:rPr>
                <w:sz w:val="20"/>
              </w:rPr>
              <w:t>- 0.4 (0.3-0.6)</w:t>
            </w:r>
          </w:p>
        </w:tc>
      </w:tr>
      <w:tr w:rsidR="008F03B5">
        <w:trPr>
          <w:trHeight w:val="244"/>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25" w:lineRule="exact"/>
              <w:ind w:left="139" w:right="136"/>
              <w:jc w:val="center"/>
              <w:rPr>
                <w:sz w:val="20"/>
              </w:rPr>
            </w:pPr>
            <w:r>
              <w:rPr>
                <w:sz w:val="20"/>
              </w:rPr>
              <w:t>5g</w:t>
            </w:r>
          </w:p>
        </w:tc>
        <w:tc>
          <w:tcPr>
            <w:tcW w:w="1416" w:type="dxa"/>
            <w:tcBorders>
              <w:top w:val="nil"/>
              <w:bottom w:val="nil"/>
            </w:tcBorders>
          </w:tcPr>
          <w:p w:rsidR="008F03B5" w:rsidRDefault="00586B9B">
            <w:pPr>
              <w:pStyle w:val="TableParagraph"/>
              <w:spacing w:line="225" w:lineRule="exact"/>
              <w:ind w:right="249"/>
              <w:jc w:val="right"/>
              <w:rPr>
                <w:sz w:val="20"/>
              </w:rPr>
            </w:pPr>
            <w:r>
              <w:rPr>
                <w:sz w:val="20"/>
              </w:rPr>
              <w:t>48.0 ± 30.7</w:t>
            </w:r>
          </w:p>
        </w:tc>
        <w:tc>
          <w:tcPr>
            <w:tcW w:w="1136" w:type="dxa"/>
            <w:tcBorders>
              <w:top w:val="nil"/>
              <w:bottom w:val="nil"/>
            </w:tcBorders>
          </w:tcPr>
          <w:p w:rsidR="008F03B5" w:rsidRDefault="00586B9B">
            <w:pPr>
              <w:pStyle w:val="TableParagraph"/>
              <w:spacing w:line="225" w:lineRule="exact"/>
              <w:ind w:left="196" w:right="193"/>
              <w:jc w:val="center"/>
              <w:rPr>
                <w:sz w:val="20"/>
              </w:rPr>
            </w:pPr>
            <w:r>
              <w:rPr>
                <w:sz w:val="20"/>
              </w:rPr>
              <w:t>4.5 ± 0.4</w:t>
            </w:r>
          </w:p>
        </w:tc>
        <w:tc>
          <w:tcPr>
            <w:tcW w:w="1702" w:type="dxa"/>
            <w:tcBorders>
              <w:top w:val="nil"/>
              <w:bottom w:val="nil"/>
            </w:tcBorders>
          </w:tcPr>
          <w:p w:rsidR="008F03B5" w:rsidRDefault="00586B9B">
            <w:pPr>
              <w:pStyle w:val="TableParagraph"/>
              <w:spacing w:line="225" w:lineRule="exact"/>
              <w:ind w:left="127" w:right="124"/>
              <w:jc w:val="center"/>
              <w:rPr>
                <w:sz w:val="20"/>
              </w:rPr>
            </w:pPr>
            <w:r>
              <w:rPr>
                <w:sz w:val="20"/>
              </w:rPr>
              <w:t>- 0.8 (0.6-0.9)</w:t>
            </w:r>
          </w:p>
        </w:tc>
      </w:tr>
      <w:tr w:rsidR="008F03B5">
        <w:trPr>
          <w:trHeight w:val="243"/>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24" w:lineRule="exact"/>
              <w:ind w:left="139" w:right="136"/>
              <w:jc w:val="center"/>
              <w:rPr>
                <w:sz w:val="20"/>
              </w:rPr>
            </w:pPr>
            <w:r>
              <w:rPr>
                <w:sz w:val="20"/>
              </w:rPr>
              <w:t>10g</w:t>
            </w:r>
          </w:p>
        </w:tc>
        <w:tc>
          <w:tcPr>
            <w:tcW w:w="1416" w:type="dxa"/>
            <w:tcBorders>
              <w:top w:val="nil"/>
              <w:bottom w:val="nil"/>
            </w:tcBorders>
          </w:tcPr>
          <w:p w:rsidR="008F03B5" w:rsidRDefault="00586B9B">
            <w:pPr>
              <w:pStyle w:val="TableParagraph"/>
              <w:spacing w:line="224" w:lineRule="exact"/>
              <w:ind w:right="249"/>
              <w:jc w:val="right"/>
              <w:rPr>
                <w:sz w:val="20"/>
              </w:rPr>
            </w:pPr>
            <w:r>
              <w:rPr>
                <w:sz w:val="20"/>
              </w:rPr>
              <w:t>44.7 ± 30.7</w:t>
            </w:r>
          </w:p>
        </w:tc>
        <w:tc>
          <w:tcPr>
            <w:tcW w:w="1136" w:type="dxa"/>
            <w:tcBorders>
              <w:top w:val="nil"/>
              <w:bottom w:val="nil"/>
            </w:tcBorders>
          </w:tcPr>
          <w:p w:rsidR="008F03B5" w:rsidRDefault="00586B9B">
            <w:pPr>
              <w:pStyle w:val="TableParagraph"/>
              <w:spacing w:line="224" w:lineRule="exact"/>
              <w:ind w:left="196" w:right="193"/>
              <w:jc w:val="center"/>
              <w:rPr>
                <w:sz w:val="20"/>
              </w:rPr>
            </w:pPr>
            <w:r>
              <w:rPr>
                <w:sz w:val="20"/>
              </w:rPr>
              <w:t>4.4 ± 0.4</w:t>
            </w:r>
          </w:p>
        </w:tc>
        <w:tc>
          <w:tcPr>
            <w:tcW w:w="1702" w:type="dxa"/>
            <w:tcBorders>
              <w:top w:val="nil"/>
              <w:bottom w:val="nil"/>
            </w:tcBorders>
          </w:tcPr>
          <w:p w:rsidR="008F03B5" w:rsidRDefault="00586B9B">
            <w:pPr>
              <w:pStyle w:val="TableParagraph"/>
              <w:spacing w:line="224" w:lineRule="exact"/>
              <w:ind w:left="127" w:right="124"/>
              <w:jc w:val="center"/>
              <w:rPr>
                <w:sz w:val="20"/>
              </w:rPr>
            </w:pPr>
            <w:r>
              <w:rPr>
                <w:sz w:val="20"/>
              </w:rPr>
              <w:t>- 1.1 (0.9-1.3)</w:t>
            </w:r>
          </w:p>
        </w:tc>
      </w:tr>
      <w:tr w:rsidR="008F03B5">
        <w:trPr>
          <w:trHeight w:val="302"/>
        </w:trPr>
        <w:tc>
          <w:tcPr>
            <w:tcW w:w="1419" w:type="dxa"/>
            <w:tcBorders>
              <w:top w:val="nil"/>
            </w:tcBorders>
          </w:tcPr>
          <w:p w:rsidR="008F03B5" w:rsidRDefault="008F03B5">
            <w:pPr>
              <w:pStyle w:val="TableParagraph"/>
              <w:rPr>
                <w:rFonts w:ascii="Times New Roman"/>
                <w:sz w:val="20"/>
              </w:rPr>
            </w:pPr>
          </w:p>
        </w:tc>
        <w:tc>
          <w:tcPr>
            <w:tcW w:w="1277" w:type="dxa"/>
            <w:tcBorders>
              <w:top w:val="nil"/>
            </w:tcBorders>
          </w:tcPr>
          <w:p w:rsidR="008F03B5" w:rsidRDefault="008F03B5">
            <w:pPr>
              <w:pStyle w:val="TableParagraph"/>
              <w:rPr>
                <w:rFonts w:ascii="Times New Roman"/>
                <w:sz w:val="20"/>
              </w:rPr>
            </w:pPr>
          </w:p>
        </w:tc>
        <w:tc>
          <w:tcPr>
            <w:tcW w:w="567" w:type="dxa"/>
            <w:tcBorders>
              <w:top w:val="nil"/>
            </w:tcBorders>
          </w:tcPr>
          <w:p w:rsidR="008F03B5" w:rsidRDefault="008F03B5">
            <w:pPr>
              <w:pStyle w:val="TableParagraph"/>
              <w:rPr>
                <w:rFonts w:ascii="Times New Roman"/>
                <w:sz w:val="20"/>
              </w:rPr>
            </w:pPr>
          </w:p>
        </w:tc>
        <w:tc>
          <w:tcPr>
            <w:tcW w:w="991" w:type="dxa"/>
            <w:tcBorders>
              <w:top w:val="nil"/>
            </w:tcBorders>
          </w:tcPr>
          <w:p w:rsidR="008F03B5" w:rsidRDefault="008F03B5">
            <w:pPr>
              <w:pStyle w:val="TableParagraph"/>
              <w:rPr>
                <w:rFonts w:ascii="Times New Roman"/>
                <w:sz w:val="20"/>
              </w:rPr>
            </w:pPr>
          </w:p>
        </w:tc>
        <w:tc>
          <w:tcPr>
            <w:tcW w:w="1419" w:type="dxa"/>
            <w:tcBorders>
              <w:top w:val="nil"/>
            </w:tcBorders>
          </w:tcPr>
          <w:p w:rsidR="008F03B5" w:rsidRDefault="00586B9B">
            <w:pPr>
              <w:pStyle w:val="TableParagraph"/>
              <w:spacing w:line="225" w:lineRule="exact"/>
              <w:ind w:left="139" w:right="136"/>
              <w:jc w:val="center"/>
              <w:rPr>
                <w:sz w:val="20"/>
              </w:rPr>
            </w:pPr>
            <w:r>
              <w:rPr>
                <w:sz w:val="20"/>
              </w:rPr>
              <w:t>15g</w:t>
            </w:r>
          </w:p>
        </w:tc>
        <w:tc>
          <w:tcPr>
            <w:tcW w:w="1416" w:type="dxa"/>
            <w:tcBorders>
              <w:top w:val="nil"/>
            </w:tcBorders>
          </w:tcPr>
          <w:p w:rsidR="008F03B5" w:rsidRDefault="00586B9B">
            <w:pPr>
              <w:pStyle w:val="TableParagraph"/>
              <w:spacing w:line="225" w:lineRule="exact"/>
              <w:ind w:right="249"/>
              <w:jc w:val="right"/>
              <w:rPr>
                <w:sz w:val="20"/>
              </w:rPr>
            </w:pPr>
            <w:r>
              <w:rPr>
                <w:sz w:val="20"/>
              </w:rPr>
              <w:t>44.9 ± 29.5</w:t>
            </w:r>
          </w:p>
        </w:tc>
        <w:tc>
          <w:tcPr>
            <w:tcW w:w="1136" w:type="dxa"/>
            <w:tcBorders>
              <w:top w:val="nil"/>
            </w:tcBorders>
          </w:tcPr>
          <w:p w:rsidR="008F03B5" w:rsidRDefault="00586B9B">
            <w:pPr>
              <w:pStyle w:val="TableParagraph"/>
              <w:spacing w:line="225" w:lineRule="exact"/>
              <w:ind w:left="196" w:right="193"/>
              <w:jc w:val="center"/>
              <w:rPr>
                <w:sz w:val="20"/>
              </w:rPr>
            </w:pPr>
            <w:r>
              <w:rPr>
                <w:sz w:val="20"/>
              </w:rPr>
              <w:t>4.5 ± 0.4</w:t>
            </w:r>
          </w:p>
        </w:tc>
        <w:tc>
          <w:tcPr>
            <w:tcW w:w="1702" w:type="dxa"/>
            <w:tcBorders>
              <w:top w:val="nil"/>
            </w:tcBorders>
          </w:tcPr>
          <w:p w:rsidR="008F03B5" w:rsidRDefault="00586B9B">
            <w:pPr>
              <w:pStyle w:val="TableParagraph"/>
              <w:spacing w:line="225" w:lineRule="exact"/>
              <w:ind w:left="127" w:right="124"/>
              <w:jc w:val="center"/>
              <w:rPr>
                <w:sz w:val="20"/>
              </w:rPr>
            </w:pPr>
            <w:r>
              <w:rPr>
                <w:sz w:val="20"/>
              </w:rPr>
              <w:t>- 1.2 (1.0-1.4)</w:t>
            </w:r>
          </w:p>
        </w:tc>
      </w:tr>
    </w:tbl>
    <w:p w:rsidR="008F03B5" w:rsidRDefault="008F03B5">
      <w:pPr>
        <w:spacing w:line="225" w:lineRule="exact"/>
        <w:jc w:val="center"/>
        <w:rPr>
          <w:sz w:val="20"/>
        </w:rPr>
        <w:sectPr w:rsidR="008F03B5">
          <w:pgSz w:w="11910" w:h="16840"/>
          <w:pgMar w:top="1540" w:right="780" w:bottom="1100" w:left="860" w:header="425" w:footer="912" w:gutter="0"/>
          <w:cols w:space="720"/>
        </w:sectPr>
      </w:pPr>
    </w:p>
    <w:p w:rsidR="008F03B5" w:rsidRDefault="008F03B5">
      <w:pPr>
        <w:pStyle w:val="a3"/>
        <w:spacing w:before="9" w:after="1"/>
        <w:rPr>
          <w:sz w:val="9"/>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9"/>
        <w:gridCol w:w="1277"/>
        <w:gridCol w:w="567"/>
        <w:gridCol w:w="991"/>
        <w:gridCol w:w="1419"/>
        <w:gridCol w:w="1416"/>
        <w:gridCol w:w="1136"/>
        <w:gridCol w:w="1702"/>
      </w:tblGrid>
      <w:tr w:rsidR="008F03B5">
        <w:trPr>
          <w:trHeight w:val="976"/>
        </w:trPr>
        <w:tc>
          <w:tcPr>
            <w:tcW w:w="1419" w:type="dxa"/>
            <w:shd w:val="clear" w:color="auto" w:fill="DEEAF6"/>
          </w:tcPr>
          <w:p w:rsidR="008F03B5" w:rsidRDefault="00586B9B">
            <w:pPr>
              <w:pStyle w:val="TableParagraph"/>
              <w:spacing w:line="243" w:lineRule="exact"/>
              <w:ind w:left="141"/>
              <w:rPr>
                <w:b/>
                <w:sz w:val="20"/>
              </w:rPr>
            </w:pPr>
            <w:r>
              <w:rPr>
                <w:b/>
                <w:sz w:val="20"/>
              </w:rPr>
              <w:t>STUDY</w:t>
            </w:r>
          </w:p>
        </w:tc>
        <w:tc>
          <w:tcPr>
            <w:tcW w:w="1277" w:type="dxa"/>
            <w:shd w:val="clear" w:color="auto" w:fill="DEEAF6"/>
          </w:tcPr>
          <w:p w:rsidR="008F03B5" w:rsidRDefault="00586B9B">
            <w:pPr>
              <w:pStyle w:val="TableParagraph"/>
              <w:ind w:left="359" w:firstLine="40"/>
              <w:rPr>
                <w:b/>
                <w:sz w:val="20"/>
              </w:rPr>
            </w:pPr>
            <w:r>
              <w:rPr>
                <w:b/>
                <w:sz w:val="20"/>
              </w:rPr>
              <w:t xml:space="preserve">Study </w:t>
            </w:r>
            <w:r>
              <w:rPr>
                <w:b/>
                <w:w w:val="95"/>
                <w:sz w:val="20"/>
              </w:rPr>
              <w:t>Design</w:t>
            </w:r>
          </w:p>
        </w:tc>
        <w:tc>
          <w:tcPr>
            <w:tcW w:w="567" w:type="dxa"/>
            <w:shd w:val="clear" w:color="auto" w:fill="DEEAF6"/>
          </w:tcPr>
          <w:p w:rsidR="008F03B5" w:rsidRDefault="00586B9B">
            <w:pPr>
              <w:pStyle w:val="TableParagraph"/>
              <w:spacing w:line="243" w:lineRule="exact"/>
              <w:ind w:left="106" w:right="103"/>
              <w:jc w:val="center"/>
              <w:rPr>
                <w:b/>
                <w:sz w:val="20"/>
              </w:rPr>
            </w:pPr>
            <w:r>
              <w:rPr>
                <w:b/>
                <w:sz w:val="20"/>
              </w:rPr>
              <w:t>N =</w:t>
            </w:r>
          </w:p>
        </w:tc>
        <w:tc>
          <w:tcPr>
            <w:tcW w:w="991" w:type="dxa"/>
            <w:shd w:val="clear" w:color="auto" w:fill="DEEAF6"/>
          </w:tcPr>
          <w:p w:rsidR="008F03B5" w:rsidRDefault="00586B9B">
            <w:pPr>
              <w:pStyle w:val="TableParagraph"/>
              <w:ind w:left="136" w:right="107" w:firstLine="122"/>
              <w:rPr>
                <w:b/>
                <w:sz w:val="20"/>
              </w:rPr>
            </w:pPr>
            <w:r>
              <w:rPr>
                <w:b/>
                <w:sz w:val="20"/>
              </w:rPr>
              <w:t>Study duration</w:t>
            </w:r>
          </w:p>
        </w:tc>
        <w:tc>
          <w:tcPr>
            <w:tcW w:w="1419" w:type="dxa"/>
            <w:shd w:val="clear" w:color="auto" w:fill="DEEAF6"/>
          </w:tcPr>
          <w:p w:rsidR="008F03B5" w:rsidRDefault="00586B9B">
            <w:pPr>
              <w:pStyle w:val="TableParagraph"/>
              <w:spacing w:line="243" w:lineRule="exact"/>
              <w:ind w:left="139" w:right="139"/>
              <w:jc w:val="center"/>
              <w:rPr>
                <w:b/>
                <w:sz w:val="20"/>
              </w:rPr>
            </w:pPr>
            <w:r>
              <w:rPr>
                <w:b/>
                <w:sz w:val="20"/>
              </w:rPr>
              <w:t>Dose of SZC</w:t>
            </w:r>
          </w:p>
          <w:p w:rsidR="008F03B5" w:rsidRDefault="008F03B5">
            <w:pPr>
              <w:pStyle w:val="TableParagraph"/>
              <w:rPr>
                <w:sz w:val="20"/>
              </w:rPr>
            </w:pPr>
          </w:p>
          <w:p w:rsidR="008F03B5" w:rsidRDefault="008F03B5">
            <w:pPr>
              <w:pStyle w:val="TableParagraph"/>
              <w:spacing w:before="11"/>
              <w:rPr>
                <w:sz w:val="19"/>
              </w:rPr>
            </w:pPr>
          </w:p>
          <w:p w:rsidR="008F03B5" w:rsidRDefault="00586B9B">
            <w:pPr>
              <w:pStyle w:val="TableParagraph"/>
              <w:spacing w:line="225" w:lineRule="exact"/>
              <w:ind w:left="139" w:right="136"/>
              <w:jc w:val="center"/>
              <w:rPr>
                <w:b/>
                <w:sz w:val="20"/>
              </w:rPr>
            </w:pPr>
            <w:r>
              <w:rPr>
                <w:b/>
                <w:sz w:val="20"/>
              </w:rPr>
              <w:t>(x3/day)</w:t>
            </w:r>
          </w:p>
        </w:tc>
        <w:tc>
          <w:tcPr>
            <w:tcW w:w="1416" w:type="dxa"/>
            <w:shd w:val="clear" w:color="auto" w:fill="DEEAF6"/>
          </w:tcPr>
          <w:p w:rsidR="008F03B5" w:rsidRDefault="00586B9B">
            <w:pPr>
              <w:pStyle w:val="TableParagraph"/>
              <w:ind w:left="119" w:right="112" w:firstLine="1"/>
              <w:jc w:val="center"/>
              <w:rPr>
                <w:b/>
                <w:sz w:val="20"/>
              </w:rPr>
            </w:pPr>
            <w:r>
              <w:rPr>
                <w:b/>
                <w:sz w:val="20"/>
              </w:rPr>
              <w:t>Renal function</w:t>
            </w:r>
            <w:r>
              <w:rPr>
                <w:b/>
                <w:spacing w:val="-1"/>
                <w:sz w:val="20"/>
              </w:rPr>
              <w:t xml:space="preserve"> </w:t>
            </w:r>
            <w:r>
              <w:rPr>
                <w:b/>
                <w:spacing w:val="-4"/>
                <w:sz w:val="20"/>
              </w:rPr>
              <w:t>eGFR</w:t>
            </w:r>
          </w:p>
          <w:p w:rsidR="008F03B5" w:rsidRDefault="008F03B5">
            <w:pPr>
              <w:pStyle w:val="TableParagraph"/>
              <w:spacing w:before="10"/>
              <w:rPr>
                <w:sz w:val="19"/>
              </w:rPr>
            </w:pPr>
          </w:p>
          <w:p w:rsidR="008F03B5" w:rsidRDefault="00586B9B">
            <w:pPr>
              <w:pStyle w:val="TableParagraph"/>
              <w:spacing w:line="225" w:lineRule="exact"/>
              <w:ind w:left="314" w:right="309"/>
              <w:jc w:val="center"/>
              <w:rPr>
                <w:b/>
                <w:sz w:val="20"/>
              </w:rPr>
            </w:pPr>
            <w:r>
              <w:rPr>
                <w:b/>
                <w:sz w:val="20"/>
              </w:rPr>
              <w:t>(ml/min)</w:t>
            </w:r>
          </w:p>
        </w:tc>
        <w:tc>
          <w:tcPr>
            <w:tcW w:w="1136" w:type="dxa"/>
            <w:shd w:val="clear" w:color="auto" w:fill="DEEAF6"/>
          </w:tcPr>
          <w:p w:rsidR="008F03B5" w:rsidRDefault="00586B9B">
            <w:pPr>
              <w:pStyle w:val="TableParagraph"/>
              <w:ind w:left="107" w:right="101" w:hanging="2"/>
              <w:jc w:val="center"/>
              <w:rPr>
                <w:b/>
                <w:sz w:val="20"/>
              </w:rPr>
            </w:pPr>
            <w:r>
              <w:rPr>
                <w:b/>
                <w:sz w:val="20"/>
              </w:rPr>
              <w:t>Mean Baseline K</w:t>
            </w:r>
            <w:r>
              <w:rPr>
                <w:b/>
                <w:sz w:val="20"/>
                <w:vertAlign w:val="superscript"/>
              </w:rPr>
              <w:t>+</w:t>
            </w:r>
            <w:r>
              <w:rPr>
                <w:b/>
                <w:sz w:val="20"/>
              </w:rPr>
              <w:t xml:space="preserve"> (mmol/l)</w:t>
            </w:r>
          </w:p>
        </w:tc>
        <w:tc>
          <w:tcPr>
            <w:tcW w:w="1702" w:type="dxa"/>
            <w:shd w:val="clear" w:color="auto" w:fill="DEEAF6"/>
          </w:tcPr>
          <w:p w:rsidR="008F03B5" w:rsidRDefault="00586B9B">
            <w:pPr>
              <w:pStyle w:val="TableParagraph"/>
              <w:spacing w:line="243" w:lineRule="exact"/>
              <w:ind w:left="431"/>
              <w:rPr>
                <w:b/>
                <w:sz w:val="20"/>
              </w:rPr>
            </w:pPr>
            <w:r>
              <w:rPr>
                <w:b/>
                <w:sz w:val="20"/>
              </w:rPr>
              <w:t>K</w:t>
            </w:r>
            <w:r>
              <w:rPr>
                <w:b/>
                <w:sz w:val="20"/>
                <w:vertAlign w:val="superscript"/>
              </w:rPr>
              <w:t>+</w:t>
            </w:r>
            <w:r>
              <w:rPr>
                <w:b/>
                <w:sz w:val="20"/>
              </w:rPr>
              <w:t xml:space="preserve"> Change</w:t>
            </w:r>
          </w:p>
          <w:p w:rsidR="008F03B5" w:rsidRDefault="008F03B5">
            <w:pPr>
              <w:pStyle w:val="TableParagraph"/>
              <w:rPr>
                <w:sz w:val="24"/>
              </w:rPr>
            </w:pPr>
          </w:p>
          <w:p w:rsidR="008F03B5" w:rsidRDefault="00586B9B">
            <w:pPr>
              <w:pStyle w:val="TableParagraph"/>
              <w:spacing w:before="195" w:line="225" w:lineRule="exact"/>
              <w:ind w:left="479"/>
              <w:rPr>
                <w:b/>
                <w:sz w:val="20"/>
              </w:rPr>
            </w:pPr>
            <w:r>
              <w:rPr>
                <w:b/>
                <w:sz w:val="20"/>
              </w:rPr>
              <w:t>(mmol/l)</w:t>
            </w:r>
          </w:p>
        </w:tc>
      </w:tr>
      <w:tr w:rsidR="008F03B5">
        <w:trPr>
          <w:trHeight w:val="976"/>
        </w:trPr>
        <w:tc>
          <w:tcPr>
            <w:tcW w:w="1419" w:type="dxa"/>
            <w:shd w:val="clear" w:color="auto" w:fill="F1F1F1"/>
          </w:tcPr>
          <w:p w:rsidR="008F03B5" w:rsidRDefault="00586B9B">
            <w:pPr>
              <w:pStyle w:val="TableParagraph"/>
              <w:spacing w:line="243" w:lineRule="exact"/>
              <w:ind w:left="141"/>
              <w:rPr>
                <w:b/>
                <w:sz w:val="20"/>
              </w:rPr>
            </w:pPr>
            <w:r>
              <w:rPr>
                <w:b/>
                <w:sz w:val="20"/>
              </w:rPr>
              <w:t>ZS-004E</w:t>
            </w:r>
            <w:r>
              <w:rPr>
                <w:b/>
                <w:sz w:val="20"/>
                <w:vertAlign w:val="superscript"/>
              </w:rPr>
              <w:t>1</w:t>
            </w:r>
          </w:p>
        </w:tc>
        <w:tc>
          <w:tcPr>
            <w:tcW w:w="1277" w:type="dxa"/>
            <w:shd w:val="clear" w:color="auto" w:fill="F1F1F1"/>
          </w:tcPr>
          <w:p w:rsidR="008F03B5" w:rsidRDefault="00586B9B">
            <w:pPr>
              <w:pStyle w:val="TableParagraph"/>
              <w:ind w:left="361" w:right="127" w:hanging="226"/>
              <w:rPr>
                <w:sz w:val="20"/>
              </w:rPr>
            </w:pPr>
            <w:r>
              <w:rPr>
                <w:sz w:val="20"/>
              </w:rPr>
              <w:t>Extension of ZS-004</w:t>
            </w:r>
          </w:p>
        </w:tc>
        <w:tc>
          <w:tcPr>
            <w:tcW w:w="567" w:type="dxa"/>
            <w:shd w:val="clear" w:color="auto" w:fill="F1F1F1"/>
          </w:tcPr>
          <w:p w:rsidR="008F03B5" w:rsidRDefault="00586B9B">
            <w:pPr>
              <w:pStyle w:val="TableParagraph"/>
              <w:spacing w:line="243" w:lineRule="exact"/>
              <w:ind w:left="106" w:right="106"/>
              <w:jc w:val="center"/>
              <w:rPr>
                <w:sz w:val="20"/>
              </w:rPr>
            </w:pPr>
            <w:r>
              <w:rPr>
                <w:sz w:val="20"/>
              </w:rPr>
              <w:t>123</w:t>
            </w:r>
          </w:p>
        </w:tc>
        <w:tc>
          <w:tcPr>
            <w:tcW w:w="991" w:type="dxa"/>
            <w:shd w:val="clear" w:color="auto" w:fill="F1F1F1"/>
          </w:tcPr>
          <w:p w:rsidR="008F03B5" w:rsidRDefault="00586B9B">
            <w:pPr>
              <w:pStyle w:val="TableParagraph"/>
              <w:spacing w:line="243" w:lineRule="exact"/>
              <w:ind w:left="89" w:right="84"/>
              <w:jc w:val="center"/>
              <w:rPr>
                <w:sz w:val="20"/>
              </w:rPr>
            </w:pPr>
            <w:r>
              <w:rPr>
                <w:sz w:val="20"/>
              </w:rPr>
              <w:t>11 mths</w:t>
            </w:r>
          </w:p>
        </w:tc>
        <w:tc>
          <w:tcPr>
            <w:tcW w:w="1419" w:type="dxa"/>
            <w:shd w:val="clear" w:color="auto" w:fill="F1F1F1"/>
          </w:tcPr>
          <w:p w:rsidR="008F03B5" w:rsidRDefault="00586B9B">
            <w:pPr>
              <w:pStyle w:val="TableParagraph"/>
              <w:ind w:left="124" w:right="120" w:firstLine="45"/>
              <w:jc w:val="both"/>
              <w:rPr>
                <w:sz w:val="20"/>
              </w:rPr>
            </w:pPr>
            <w:r>
              <w:rPr>
                <w:sz w:val="20"/>
              </w:rPr>
              <w:t xml:space="preserve">Maintenance (open label) 10g once </w:t>
            </w:r>
            <w:r>
              <w:rPr>
                <w:spacing w:val="-3"/>
                <w:sz w:val="20"/>
              </w:rPr>
              <w:t>daily</w:t>
            </w:r>
          </w:p>
        </w:tc>
        <w:tc>
          <w:tcPr>
            <w:tcW w:w="1416" w:type="dxa"/>
            <w:shd w:val="clear" w:color="auto" w:fill="F1F1F1"/>
          </w:tcPr>
          <w:p w:rsidR="008F03B5" w:rsidRDefault="008F03B5">
            <w:pPr>
              <w:pStyle w:val="TableParagraph"/>
              <w:spacing w:before="11"/>
              <w:rPr>
                <w:sz w:val="19"/>
              </w:rPr>
            </w:pPr>
          </w:p>
          <w:p w:rsidR="008F03B5" w:rsidRDefault="00586B9B">
            <w:pPr>
              <w:pStyle w:val="TableParagraph"/>
              <w:spacing w:before="1"/>
              <w:ind w:left="256"/>
              <w:rPr>
                <w:sz w:val="20"/>
              </w:rPr>
            </w:pPr>
            <w:r>
              <w:rPr>
                <w:sz w:val="20"/>
              </w:rPr>
              <w:t>46.3 ± 30.5</w:t>
            </w:r>
          </w:p>
        </w:tc>
        <w:tc>
          <w:tcPr>
            <w:tcW w:w="1136" w:type="dxa"/>
            <w:shd w:val="clear" w:color="auto" w:fill="F1F1F1"/>
          </w:tcPr>
          <w:p w:rsidR="008F03B5" w:rsidRDefault="008F03B5">
            <w:pPr>
              <w:pStyle w:val="TableParagraph"/>
              <w:spacing w:before="11"/>
              <w:rPr>
                <w:sz w:val="19"/>
              </w:rPr>
            </w:pPr>
          </w:p>
          <w:p w:rsidR="008F03B5" w:rsidRDefault="00586B9B">
            <w:pPr>
              <w:pStyle w:val="TableParagraph"/>
              <w:spacing w:before="1"/>
              <w:ind w:left="196" w:right="193"/>
              <w:jc w:val="center"/>
              <w:rPr>
                <w:sz w:val="20"/>
              </w:rPr>
            </w:pPr>
            <w:r>
              <w:rPr>
                <w:sz w:val="20"/>
              </w:rPr>
              <w:t>4.6</w:t>
            </w:r>
          </w:p>
        </w:tc>
        <w:tc>
          <w:tcPr>
            <w:tcW w:w="1702" w:type="dxa"/>
            <w:shd w:val="clear" w:color="auto" w:fill="F1F1F1"/>
          </w:tcPr>
          <w:p w:rsidR="008F03B5" w:rsidRDefault="008F03B5">
            <w:pPr>
              <w:pStyle w:val="TableParagraph"/>
              <w:spacing w:before="11"/>
              <w:rPr>
                <w:sz w:val="19"/>
              </w:rPr>
            </w:pPr>
          </w:p>
          <w:p w:rsidR="008F03B5" w:rsidRDefault="00586B9B">
            <w:pPr>
              <w:pStyle w:val="TableParagraph"/>
              <w:spacing w:before="1"/>
              <w:ind w:left="191" w:right="184" w:firstLine="3"/>
              <w:jc w:val="center"/>
              <w:rPr>
                <w:sz w:val="20"/>
              </w:rPr>
            </w:pPr>
            <w:r>
              <w:rPr>
                <w:sz w:val="20"/>
              </w:rPr>
              <w:t xml:space="preserve">88% of patients achieved K &lt; </w:t>
            </w:r>
            <w:r>
              <w:rPr>
                <w:spacing w:val="-6"/>
                <w:sz w:val="20"/>
              </w:rPr>
              <w:t>5.1</w:t>
            </w:r>
          </w:p>
          <w:p w:rsidR="008F03B5" w:rsidRDefault="00586B9B">
            <w:pPr>
              <w:pStyle w:val="TableParagraph"/>
              <w:spacing w:line="224" w:lineRule="exact"/>
              <w:ind w:left="127" w:right="124"/>
              <w:jc w:val="center"/>
              <w:rPr>
                <w:sz w:val="20"/>
              </w:rPr>
            </w:pPr>
            <w:r>
              <w:rPr>
                <w:sz w:val="20"/>
              </w:rPr>
              <w:t>mmol/l</w:t>
            </w:r>
          </w:p>
        </w:tc>
      </w:tr>
      <w:tr w:rsidR="008F03B5">
        <w:trPr>
          <w:trHeight w:val="599"/>
        </w:trPr>
        <w:tc>
          <w:tcPr>
            <w:tcW w:w="1419" w:type="dxa"/>
            <w:vMerge w:val="restart"/>
          </w:tcPr>
          <w:p w:rsidR="008F03B5" w:rsidRDefault="00586B9B">
            <w:pPr>
              <w:pStyle w:val="TableParagraph"/>
              <w:spacing w:line="243" w:lineRule="exact"/>
              <w:ind w:left="141"/>
              <w:rPr>
                <w:b/>
                <w:sz w:val="20"/>
              </w:rPr>
            </w:pPr>
            <w:r>
              <w:rPr>
                <w:b/>
                <w:sz w:val="20"/>
              </w:rPr>
              <w:t xml:space="preserve">ZS-005 </w:t>
            </w:r>
            <w:r>
              <w:rPr>
                <w:b/>
                <w:sz w:val="20"/>
                <w:vertAlign w:val="superscript"/>
              </w:rPr>
              <w:t>7</w:t>
            </w:r>
          </w:p>
          <w:p w:rsidR="008F03B5" w:rsidRDefault="00586B9B">
            <w:pPr>
              <w:pStyle w:val="TableParagraph"/>
              <w:ind w:left="141" w:right="184"/>
              <w:rPr>
                <w:sz w:val="20"/>
              </w:rPr>
            </w:pPr>
            <w:r>
              <w:rPr>
                <w:w w:val="95"/>
                <w:sz w:val="20"/>
              </w:rPr>
              <w:t xml:space="preserve">Spinowitz </w:t>
            </w:r>
            <w:r>
              <w:rPr>
                <w:sz w:val="20"/>
              </w:rPr>
              <w:t>2019</w:t>
            </w:r>
          </w:p>
        </w:tc>
        <w:tc>
          <w:tcPr>
            <w:tcW w:w="1277" w:type="dxa"/>
            <w:vMerge w:val="restart"/>
          </w:tcPr>
          <w:p w:rsidR="008F03B5" w:rsidRDefault="00586B9B">
            <w:pPr>
              <w:pStyle w:val="TableParagraph"/>
              <w:ind w:left="157" w:right="149" w:hanging="4"/>
              <w:jc w:val="center"/>
              <w:rPr>
                <w:sz w:val="20"/>
              </w:rPr>
            </w:pPr>
            <w:r>
              <w:rPr>
                <w:sz w:val="20"/>
              </w:rPr>
              <w:t>Phase III Open-label Prospective (single arm)</w:t>
            </w:r>
          </w:p>
        </w:tc>
        <w:tc>
          <w:tcPr>
            <w:tcW w:w="567" w:type="dxa"/>
            <w:vMerge w:val="restart"/>
          </w:tcPr>
          <w:p w:rsidR="008F03B5" w:rsidRDefault="00586B9B">
            <w:pPr>
              <w:pStyle w:val="TableParagraph"/>
              <w:spacing w:line="243" w:lineRule="exact"/>
              <w:ind w:left="127"/>
              <w:rPr>
                <w:sz w:val="20"/>
              </w:rPr>
            </w:pPr>
            <w:r>
              <w:rPr>
                <w:sz w:val="20"/>
              </w:rPr>
              <w:t>751</w:t>
            </w:r>
          </w:p>
        </w:tc>
        <w:tc>
          <w:tcPr>
            <w:tcW w:w="991" w:type="dxa"/>
          </w:tcPr>
          <w:p w:rsidR="008F03B5" w:rsidRDefault="00586B9B">
            <w:pPr>
              <w:pStyle w:val="TableParagraph"/>
              <w:spacing w:line="243" w:lineRule="exact"/>
              <w:ind w:left="91" w:right="84"/>
              <w:jc w:val="center"/>
              <w:rPr>
                <w:sz w:val="20"/>
              </w:rPr>
            </w:pPr>
            <w:r>
              <w:rPr>
                <w:sz w:val="20"/>
              </w:rPr>
              <w:t>24-72 hrs</w:t>
            </w:r>
          </w:p>
        </w:tc>
        <w:tc>
          <w:tcPr>
            <w:tcW w:w="1419" w:type="dxa"/>
          </w:tcPr>
          <w:p w:rsidR="008F03B5" w:rsidRDefault="00586B9B">
            <w:pPr>
              <w:pStyle w:val="TableParagraph"/>
              <w:ind w:left="558" w:right="182" w:hanging="351"/>
              <w:rPr>
                <w:sz w:val="20"/>
              </w:rPr>
            </w:pPr>
            <w:r>
              <w:rPr>
                <w:sz w:val="20"/>
              </w:rPr>
              <w:t>Acute Phase 10g</w:t>
            </w:r>
          </w:p>
        </w:tc>
        <w:tc>
          <w:tcPr>
            <w:tcW w:w="1416" w:type="dxa"/>
          </w:tcPr>
          <w:p w:rsidR="008F03B5" w:rsidRDefault="00586B9B">
            <w:pPr>
              <w:pStyle w:val="TableParagraph"/>
              <w:spacing w:line="243" w:lineRule="exact"/>
              <w:ind w:left="234"/>
              <w:rPr>
                <w:sz w:val="20"/>
              </w:rPr>
            </w:pPr>
            <w:r>
              <w:rPr>
                <w:sz w:val="20"/>
              </w:rPr>
              <w:t>&lt; 60:</w:t>
            </w:r>
            <w:r>
              <w:rPr>
                <w:spacing w:val="-4"/>
                <w:sz w:val="20"/>
              </w:rPr>
              <w:t xml:space="preserve"> </w:t>
            </w:r>
            <w:r>
              <w:rPr>
                <w:sz w:val="20"/>
              </w:rPr>
              <w:t>73.5%</w:t>
            </w:r>
          </w:p>
          <w:p w:rsidR="008F03B5" w:rsidRDefault="00586B9B">
            <w:pPr>
              <w:pStyle w:val="TableParagraph"/>
              <w:ind w:left="234"/>
              <w:rPr>
                <w:sz w:val="20"/>
              </w:rPr>
            </w:pPr>
            <w:r>
              <w:rPr>
                <w:sz w:val="20"/>
              </w:rPr>
              <w:t>≥ 60:</w:t>
            </w:r>
            <w:r>
              <w:rPr>
                <w:spacing w:val="-4"/>
                <w:sz w:val="20"/>
              </w:rPr>
              <w:t xml:space="preserve"> </w:t>
            </w:r>
            <w:r>
              <w:rPr>
                <w:sz w:val="20"/>
              </w:rPr>
              <w:t>25.3%</w:t>
            </w:r>
          </w:p>
        </w:tc>
        <w:tc>
          <w:tcPr>
            <w:tcW w:w="1136" w:type="dxa"/>
          </w:tcPr>
          <w:p w:rsidR="008F03B5" w:rsidRDefault="008F03B5">
            <w:pPr>
              <w:pStyle w:val="TableParagraph"/>
              <w:spacing w:before="11"/>
              <w:rPr>
                <w:sz w:val="19"/>
              </w:rPr>
            </w:pPr>
          </w:p>
          <w:p w:rsidR="008F03B5" w:rsidRDefault="00586B9B">
            <w:pPr>
              <w:pStyle w:val="TableParagraph"/>
              <w:spacing w:before="1"/>
              <w:ind w:left="196" w:right="193"/>
              <w:jc w:val="center"/>
              <w:rPr>
                <w:sz w:val="20"/>
              </w:rPr>
            </w:pPr>
            <w:r>
              <w:rPr>
                <w:sz w:val="20"/>
              </w:rPr>
              <w:t>5.6</w:t>
            </w:r>
          </w:p>
        </w:tc>
        <w:tc>
          <w:tcPr>
            <w:tcW w:w="1702" w:type="dxa"/>
          </w:tcPr>
          <w:p w:rsidR="008F03B5" w:rsidRDefault="008F03B5">
            <w:pPr>
              <w:pStyle w:val="TableParagraph"/>
              <w:spacing w:before="11"/>
              <w:rPr>
                <w:sz w:val="19"/>
              </w:rPr>
            </w:pPr>
          </w:p>
          <w:p w:rsidR="008F03B5" w:rsidRDefault="00586B9B">
            <w:pPr>
              <w:pStyle w:val="TableParagraph"/>
              <w:spacing w:before="1"/>
              <w:ind w:left="127" w:right="124"/>
              <w:jc w:val="center"/>
              <w:rPr>
                <w:sz w:val="20"/>
              </w:rPr>
            </w:pPr>
            <w:r>
              <w:rPr>
                <w:sz w:val="20"/>
              </w:rPr>
              <w:t>- 0.8</w:t>
            </w:r>
          </w:p>
        </w:tc>
      </w:tr>
      <w:tr w:rsidR="008F03B5">
        <w:trPr>
          <w:trHeight w:val="1464"/>
        </w:trPr>
        <w:tc>
          <w:tcPr>
            <w:tcW w:w="1419" w:type="dxa"/>
            <w:vMerge/>
            <w:tcBorders>
              <w:top w:val="nil"/>
            </w:tcBorders>
          </w:tcPr>
          <w:p w:rsidR="008F03B5" w:rsidRDefault="008F03B5">
            <w:pPr>
              <w:rPr>
                <w:sz w:val="2"/>
                <w:szCs w:val="2"/>
              </w:rPr>
            </w:pPr>
          </w:p>
        </w:tc>
        <w:tc>
          <w:tcPr>
            <w:tcW w:w="1277" w:type="dxa"/>
            <w:vMerge/>
            <w:tcBorders>
              <w:top w:val="nil"/>
            </w:tcBorders>
          </w:tcPr>
          <w:p w:rsidR="008F03B5" w:rsidRDefault="008F03B5">
            <w:pPr>
              <w:rPr>
                <w:sz w:val="2"/>
                <w:szCs w:val="2"/>
              </w:rPr>
            </w:pPr>
          </w:p>
        </w:tc>
        <w:tc>
          <w:tcPr>
            <w:tcW w:w="567" w:type="dxa"/>
            <w:vMerge/>
            <w:tcBorders>
              <w:top w:val="nil"/>
            </w:tcBorders>
          </w:tcPr>
          <w:p w:rsidR="008F03B5" w:rsidRDefault="008F03B5">
            <w:pPr>
              <w:rPr>
                <w:sz w:val="2"/>
                <w:szCs w:val="2"/>
              </w:rPr>
            </w:pPr>
          </w:p>
        </w:tc>
        <w:tc>
          <w:tcPr>
            <w:tcW w:w="991" w:type="dxa"/>
          </w:tcPr>
          <w:p w:rsidR="008F03B5" w:rsidRDefault="00586B9B">
            <w:pPr>
              <w:pStyle w:val="TableParagraph"/>
              <w:spacing w:line="243" w:lineRule="exact"/>
              <w:ind w:left="89" w:right="84"/>
              <w:jc w:val="center"/>
              <w:rPr>
                <w:sz w:val="20"/>
              </w:rPr>
            </w:pPr>
            <w:r>
              <w:rPr>
                <w:sz w:val="20"/>
              </w:rPr>
              <w:t>12 mths</w:t>
            </w:r>
          </w:p>
        </w:tc>
        <w:tc>
          <w:tcPr>
            <w:tcW w:w="1419" w:type="dxa"/>
          </w:tcPr>
          <w:p w:rsidR="008F03B5" w:rsidRDefault="00586B9B">
            <w:pPr>
              <w:pStyle w:val="TableParagraph"/>
              <w:ind w:left="139" w:right="135"/>
              <w:jc w:val="center"/>
              <w:rPr>
                <w:sz w:val="20"/>
              </w:rPr>
            </w:pPr>
            <w:r>
              <w:rPr>
                <w:w w:val="95"/>
                <w:sz w:val="20"/>
              </w:rPr>
              <w:t xml:space="preserve">Extended </w:t>
            </w:r>
            <w:r>
              <w:rPr>
                <w:sz w:val="20"/>
              </w:rPr>
              <w:t>Phase</w:t>
            </w:r>
          </w:p>
          <w:p w:rsidR="008F03B5" w:rsidRDefault="00586B9B">
            <w:pPr>
              <w:pStyle w:val="TableParagraph"/>
              <w:spacing w:before="1"/>
              <w:ind w:left="139" w:right="135"/>
              <w:jc w:val="center"/>
              <w:rPr>
                <w:sz w:val="20"/>
              </w:rPr>
            </w:pPr>
            <w:r>
              <w:rPr>
                <w:sz w:val="20"/>
              </w:rPr>
              <w:t>5g once daily titrated to</w:t>
            </w:r>
          </w:p>
          <w:p w:rsidR="008F03B5" w:rsidRDefault="00586B9B">
            <w:pPr>
              <w:pStyle w:val="TableParagraph"/>
              <w:spacing w:line="243" w:lineRule="exact"/>
              <w:ind w:left="98" w:right="97"/>
              <w:jc w:val="center"/>
              <w:rPr>
                <w:sz w:val="20"/>
              </w:rPr>
            </w:pPr>
            <w:r>
              <w:rPr>
                <w:sz w:val="20"/>
              </w:rPr>
              <w:t>10 or 15g/</w:t>
            </w:r>
            <w:r>
              <w:rPr>
                <w:spacing w:val="-7"/>
                <w:sz w:val="20"/>
              </w:rPr>
              <w:t xml:space="preserve"> </w:t>
            </w:r>
            <w:r>
              <w:rPr>
                <w:sz w:val="20"/>
              </w:rPr>
              <w:t>day</w:t>
            </w:r>
          </w:p>
          <w:p w:rsidR="008F03B5" w:rsidRDefault="00586B9B">
            <w:pPr>
              <w:pStyle w:val="TableParagraph"/>
              <w:spacing w:line="223" w:lineRule="exact"/>
              <w:ind w:left="98" w:right="95"/>
              <w:jc w:val="center"/>
              <w:rPr>
                <w:sz w:val="20"/>
              </w:rPr>
            </w:pPr>
            <w:r>
              <w:rPr>
                <w:sz w:val="20"/>
              </w:rPr>
              <w:t>OR 5g alt</w:t>
            </w:r>
            <w:r>
              <w:rPr>
                <w:spacing w:val="-5"/>
                <w:sz w:val="20"/>
              </w:rPr>
              <w:t xml:space="preserve"> </w:t>
            </w:r>
            <w:r>
              <w:rPr>
                <w:sz w:val="20"/>
              </w:rPr>
              <w:t>days</w:t>
            </w:r>
          </w:p>
        </w:tc>
        <w:tc>
          <w:tcPr>
            <w:tcW w:w="1416" w:type="dxa"/>
          </w:tcPr>
          <w:p w:rsidR="008F03B5" w:rsidRDefault="008F03B5">
            <w:pPr>
              <w:pStyle w:val="TableParagraph"/>
              <w:rPr>
                <w:rFonts w:ascii="Times New Roman"/>
                <w:sz w:val="20"/>
              </w:rPr>
            </w:pPr>
          </w:p>
        </w:tc>
        <w:tc>
          <w:tcPr>
            <w:tcW w:w="1136" w:type="dxa"/>
          </w:tcPr>
          <w:p w:rsidR="008F03B5" w:rsidRDefault="008F03B5">
            <w:pPr>
              <w:pStyle w:val="TableParagraph"/>
              <w:spacing w:before="11"/>
              <w:rPr>
                <w:sz w:val="19"/>
              </w:rPr>
            </w:pPr>
          </w:p>
          <w:p w:rsidR="008F03B5" w:rsidRDefault="00586B9B">
            <w:pPr>
              <w:pStyle w:val="TableParagraph"/>
              <w:spacing w:before="1"/>
              <w:ind w:left="196" w:right="193"/>
              <w:jc w:val="center"/>
              <w:rPr>
                <w:sz w:val="20"/>
              </w:rPr>
            </w:pPr>
            <w:r>
              <w:rPr>
                <w:sz w:val="20"/>
              </w:rPr>
              <w:t>5.6</w:t>
            </w:r>
          </w:p>
        </w:tc>
        <w:tc>
          <w:tcPr>
            <w:tcW w:w="1702" w:type="dxa"/>
          </w:tcPr>
          <w:p w:rsidR="008F03B5" w:rsidRDefault="008F03B5">
            <w:pPr>
              <w:pStyle w:val="TableParagraph"/>
              <w:spacing w:before="11"/>
              <w:rPr>
                <w:sz w:val="19"/>
              </w:rPr>
            </w:pPr>
          </w:p>
          <w:p w:rsidR="008F03B5" w:rsidRDefault="00586B9B">
            <w:pPr>
              <w:pStyle w:val="TableParagraph"/>
              <w:spacing w:before="1"/>
              <w:ind w:left="127" w:right="124"/>
              <w:jc w:val="center"/>
              <w:rPr>
                <w:sz w:val="20"/>
              </w:rPr>
            </w:pPr>
            <w:r>
              <w:rPr>
                <w:sz w:val="20"/>
              </w:rPr>
              <w:t>- 1.0</w:t>
            </w:r>
          </w:p>
        </w:tc>
      </w:tr>
      <w:tr w:rsidR="008F03B5">
        <w:trPr>
          <w:trHeight w:val="258"/>
        </w:trPr>
        <w:tc>
          <w:tcPr>
            <w:tcW w:w="1419" w:type="dxa"/>
            <w:tcBorders>
              <w:bottom w:val="nil"/>
            </w:tcBorders>
          </w:tcPr>
          <w:p w:rsidR="008F03B5" w:rsidRDefault="00586B9B">
            <w:pPr>
              <w:pStyle w:val="TableParagraph"/>
              <w:spacing w:before="1" w:line="237" w:lineRule="exact"/>
              <w:ind w:left="141"/>
              <w:rPr>
                <w:b/>
                <w:sz w:val="20"/>
              </w:rPr>
            </w:pPr>
            <w:r>
              <w:rPr>
                <w:b/>
                <w:sz w:val="20"/>
              </w:rPr>
              <w:t>HARMONIZE-</w:t>
            </w:r>
          </w:p>
        </w:tc>
        <w:tc>
          <w:tcPr>
            <w:tcW w:w="1277" w:type="dxa"/>
            <w:tcBorders>
              <w:bottom w:val="nil"/>
            </w:tcBorders>
          </w:tcPr>
          <w:p w:rsidR="008F03B5" w:rsidRDefault="00586B9B">
            <w:pPr>
              <w:pStyle w:val="TableParagraph"/>
              <w:spacing w:before="1" w:line="237" w:lineRule="exact"/>
              <w:ind w:left="119"/>
              <w:rPr>
                <w:sz w:val="20"/>
              </w:rPr>
            </w:pPr>
            <w:r>
              <w:rPr>
                <w:sz w:val="20"/>
              </w:rPr>
              <w:t>Phase III RCT</w:t>
            </w:r>
          </w:p>
        </w:tc>
        <w:tc>
          <w:tcPr>
            <w:tcW w:w="567" w:type="dxa"/>
            <w:tcBorders>
              <w:bottom w:val="nil"/>
            </w:tcBorders>
          </w:tcPr>
          <w:p w:rsidR="008F03B5" w:rsidRDefault="00586B9B">
            <w:pPr>
              <w:pStyle w:val="TableParagraph"/>
              <w:spacing w:before="1" w:line="237" w:lineRule="exact"/>
              <w:ind w:left="106" w:right="106"/>
              <w:jc w:val="center"/>
              <w:rPr>
                <w:sz w:val="20"/>
              </w:rPr>
            </w:pPr>
            <w:r>
              <w:rPr>
                <w:sz w:val="20"/>
              </w:rPr>
              <w:t>267</w:t>
            </w:r>
          </w:p>
        </w:tc>
        <w:tc>
          <w:tcPr>
            <w:tcW w:w="991" w:type="dxa"/>
            <w:tcBorders>
              <w:bottom w:val="nil"/>
            </w:tcBorders>
          </w:tcPr>
          <w:p w:rsidR="008F03B5" w:rsidRDefault="00586B9B">
            <w:pPr>
              <w:pStyle w:val="TableParagraph"/>
              <w:spacing w:before="1" w:line="237" w:lineRule="exact"/>
              <w:ind w:left="91" w:right="84"/>
              <w:jc w:val="center"/>
              <w:rPr>
                <w:sz w:val="20"/>
              </w:rPr>
            </w:pPr>
            <w:r>
              <w:rPr>
                <w:sz w:val="20"/>
              </w:rPr>
              <w:t>48 hrs</w:t>
            </w:r>
          </w:p>
        </w:tc>
        <w:tc>
          <w:tcPr>
            <w:tcW w:w="1419" w:type="dxa"/>
            <w:tcBorders>
              <w:bottom w:val="nil"/>
            </w:tcBorders>
          </w:tcPr>
          <w:p w:rsidR="008F03B5" w:rsidRDefault="00586B9B">
            <w:pPr>
              <w:pStyle w:val="TableParagraph"/>
              <w:spacing w:before="1" w:line="237" w:lineRule="exact"/>
              <w:ind w:left="139" w:right="137"/>
              <w:jc w:val="center"/>
              <w:rPr>
                <w:sz w:val="20"/>
              </w:rPr>
            </w:pPr>
            <w:r>
              <w:rPr>
                <w:sz w:val="20"/>
              </w:rPr>
              <w:t>Correction</w:t>
            </w:r>
          </w:p>
        </w:tc>
        <w:tc>
          <w:tcPr>
            <w:tcW w:w="1416" w:type="dxa"/>
            <w:vMerge w:val="restart"/>
          </w:tcPr>
          <w:p w:rsidR="008F03B5" w:rsidRDefault="008F03B5">
            <w:pPr>
              <w:pStyle w:val="TableParagraph"/>
              <w:rPr>
                <w:rFonts w:ascii="Times New Roman"/>
                <w:sz w:val="20"/>
              </w:rPr>
            </w:pPr>
          </w:p>
        </w:tc>
        <w:tc>
          <w:tcPr>
            <w:tcW w:w="1136" w:type="dxa"/>
            <w:tcBorders>
              <w:bottom w:val="nil"/>
            </w:tcBorders>
          </w:tcPr>
          <w:p w:rsidR="008F03B5" w:rsidRDefault="00586B9B">
            <w:pPr>
              <w:pStyle w:val="TableParagraph"/>
              <w:spacing w:before="1" w:line="237" w:lineRule="exact"/>
              <w:ind w:left="196" w:right="193"/>
              <w:jc w:val="center"/>
              <w:rPr>
                <w:sz w:val="20"/>
              </w:rPr>
            </w:pPr>
            <w:r>
              <w:rPr>
                <w:sz w:val="20"/>
              </w:rPr>
              <w:t>5.7 ± 0.5</w:t>
            </w:r>
          </w:p>
        </w:tc>
        <w:tc>
          <w:tcPr>
            <w:tcW w:w="1702" w:type="dxa"/>
            <w:tcBorders>
              <w:bottom w:val="nil"/>
            </w:tcBorders>
          </w:tcPr>
          <w:p w:rsidR="008F03B5" w:rsidRDefault="00586B9B">
            <w:pPr>
              <w:pStyle w:val="TableParagraph"/>
              <w:spacing w:before="1" w:line="237" w:lineRule="exact"/>
              <w:ind w:left="129" w:right="123"/>
              <w:jc w:val="center"/>
              <w:rPr>
                <w:sz w:val="20"/>
              </w:rPr>
            </w:pPr>
            <w:r>
              <w:rPr>
                <w:sz w:val="20"/>
              </w:rPr>
              <w:t>-1.28</w:t>
            </w:r>
          </w:p>
        </w:tc>
      </w:tr>
      <w:tr w:rsidR="008F03B5">
        <w:trPr>
          <w:trHeight w:val="233"/>
        </w:trPr>
        <w:tc>
          <w:tcPr>
            <w:tcW w:w="1419" w:type="dxa"/>
            <w:tcBorders>
              <w:top w:val="nil"/>
              <w:bottom w:val="nil"/>
            </w:tcBorders>
          </w:tcPr>
          <w:p w:rsidR="008F03B5" w:rsidRDefault="00586B9B">
            <w:pPr>
              <w:pStyle w:val="TableParagraph"/>
              <w:spacing w:line="214" w:lineRule="exact"/>
              <w:ind w:left="141"/>
              <w:rPr>
                <w:b/>
                <w:sz w:val="20"/>
              </w:rPr>
            </w:pPr>
            <w:r>
              <w:rPr>
                <w:b/>
                <w:sz w:val="20"/>
              </w:rPr>
              <w:t xml:space="preserve">GLOBAL </w:t>
            </w:r>
            <w:r>
              <w:rPr>
                <w:b/>
                <w:sz w:val="20"/>
                <w:vertAlign w:val="superscript"/>
              </w:rPr>
              <w:t>8</w:t>
            </w: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14" w:lineRule="exact"/>
              <w:ind w:left="139" w:right="137"/>
              <w:jc w:val="center"/>
              <w:rPr>
                <w:sz w:val="20"/>
              </w:rPr>
            </w:pPr>
            <w:r>
              <w:rPr>
                <w:sz w:val="20"/>
              </w:rPr>
              <w:t>Phase</w:t>
            </w:r>
          </w:p>
        </w:tc>
        <w:tc>
          <w:tcPr>
            <w:tcW w:w="1416" w:type="dxa"/>
            <w:vMerge/>
            <w:tcBorders>
              <w:top w:val="nil"/>
            </w:tcBorders>
          </w:tcPr>
          <w:p w:rsidR="008F03B5" w:rsidRDefault="008F03B5">
            <w:pPr>
              <w:rPr>
                <w:sz w:val="2"/>
                <w:szCs w:val="2"/>
              </w:rPr>
            </w:pPr>
          </w:p>
        </w:tc>
        <w:tc>
          <w:tcPr>
            <w:tcW w:w="1136" w:type="dxa"/>
            <w:tcBorders>
              <w:top w:val="nil"/>
              <w:bottom w:val="nil"/>
            </w:tcBorders>
          </w:tcPr>
          <w:p w:rsidR="008F03B5" w:rsidRDefault="008F03B5">
            <w:pPr>
              <w:pStyle w:val="TableParagraph"/>
              <w:rPr>
                <w:rFonts w:ascii="Times New Roman"/>
                <w:sz w:val="16"/>
              </w:rPr>
            </w:pPr>
          </w:p>
        </w:tc>
        <w:tc>
          <w:tcPr>
            <w:tcW w:w="1702" w:type="dxa"/>
            <w:tcBorders>
              <w:top w:val="nil"/>
              <w:bottom w:val="nil"/>
            </w:tcBorders>
          </w:tcPr>
          <w:p w:rsidR="008F03B5" w:rsidRDefault="008F03B5">
            <w:pPr>
              <w:pStyle w:val="TableParagraph"/>
              <w:rPr>
                <w:rFonts w:ascii="Times New Roman"/>
                <w:sz w:val="16"/>
              </w:rPr>
            </w:pPr>
          </w:p>
        </w:tc>
      </w:tr>
      <w:tr w:rsidR="008F03B5">
        <w:trPr>
          <w:trHeight w:val="222"/>
        </w:trPr>
        <w:tc>
          <w:tcPr>
            <w:tcW w:w="1419" w:type="dxa"/>
            <w:tcBorders>
              <w:top w:val="nil"/>
              <w:bottom w:val="nil"/>
            </w:tcBorders>
          </w:tcPr>
          <w:p w:rsidR="008F03B5" w:rsidRDefault="00586B9B">
            <w:pPr>
              <w:pStyle w:val="TableParagraph"/>
              <w:spacing w:line="202" w:lineRule="exact"/>
              <w:ind w:left="141"/>
              <w:rPr>
                <w:sz w:val="20"/>
              </w:rPr>
            </w:pPr>
            <w:r>
              <w:rPr>
                <w:sz w:val="20"/>
              </w:rPr>
              <w:t>Zannad</w:t>
            </w:r>
          </w:p>
        </w:tc>
        <w:tc>
          <w:tcPr>
            <w:tcW w:w="1277" w:type="dxa"/>
            <w:tcBorders>
              <w:top w:val="nil"/>
              <w:bottom w:val="nil"/>
            </w:tcBorders>
          </w:tcPr>
          <w:p w:rsidR="008F03B5" w:rsidRDefault="008F03B5">
            <w:pPr>
              <w:pStyle w:val="TableParagraph"/>
              <w:rPr>
                <w:rFonts w:ascii="Times New Roman"/>
                <w:sz w:val="14"/>
              </w:rPr>
            </w:pPr>
          </w:p>
        </w:tc>
        <w:tc>
          <w:tcPr>
            <w:tcW w:w="567" w:type="dxa"/>
            <w:tcBorders>
              <w:top w:val="nil"/>
              <w:bottom w:val="nil"/>
            </w:tcBorders>
          </w:tcPr>
          <w:p w:rsidR="008F03B5" w:rsidRDefault="008F03B5">
            <w:pPr>
              <w:pStyle w:val="TableParagraph"/>
              <w:rPr>
                <w:rFonts w:ascii="Times New Roman"/>
                <w:sz w:val="14"/>
              </w:rPr>
            </w:pPr>
          </w:p>
        </w:tc>
        <w:tc>
          <w:tcPr>
            <w:tcW w:w="991" w:type="dxa"/>
            <w:tcBorders>
              <w:top w:val="nil"/>
            </w:tcBorders>
          </w:tcPr>
          <w:p w:rsidR="008F03B5" w:rsidRDefault="008F03B5">
            <w:pPr>
              <w:pStyle w:val="TableParagraph"/>
              <w:rPr>
                <w:rFonts w:ascii="Times New Roman"/>
                <w:sz w:val="14"/>
              </w:rPr>
            </w:pPr>
          </w:p>
        </w:tc>
        <w:tc>
          <w:tcPr>
            <w:tcW w:w="1419" w:type="dxa"/>
            <w:tcBorders>
              <w:top w:val="nil"/>
            </w:tcBorders>
          </w:tcPr>
          <w:p w:rsidR="008F03B5" w:rsidRDefault="00586B9B">
            <w:pPr>
              <w:pStyle w:val="TableParagraph"/>
              <w:spacing w:line="202" w:lineRule="exact"/>
              <w:ind w:left="139" w:right="137"/>
              <w:jc w:val="center"/>
              <w:rPr>
                <w:sz w:val="20"/>
              </w:rPr>
            </w:pPr>
            <w:r>
              <w:rPr>
                <w:sz w:val="20"/>
              </w:rPr>
              <w:t>10g tds</w:t>
            </w:r>
          </w:p>
        </w:tc>
        <w:tc>
          <w:tcPr>
            <w:tcW w:w="1416" w:type="dxa"/>
            <w:vMerge/>
            <w:tcBorders>
              <w:top w:val="nil"/>
            </w:tcBorders>
          </w:tcPr>
          <w:p w:rsidR="008F03B5" w:rsidRDefault="008F03B5">
            <w:pPr>
              <w:rPr>
                <w:sz w:val="2"/>
                <w:szCs w:val="2"/>
              </w:rPr>
            </w:pPr>
          </w:p>
        </w:tc>
        <w:tc>
          <w:tcPr>
            <w:tcW w:w="1136" w:type="dxa"/>
            <w:tcBorders>
              <w:top w:val="nil"/>
            </w:tcBorders>
          </w:tcPr>
          <w:p w:rsidR="008F03B5" w:rsidRDefault="008F03B5">
            <w:pPr>
              <w:pStyle w:val="TableParagraph"/>
              <w:rPr>
                <w:rFonts w:ascii="Times New Roman"/>
                <w:sz w:val="14"/>
              </w:rPr>
            </w:pPr>
          </w:p>
        </w:tc>
        <w:tc>
          <w:tcPr>
            <w:tcW w:w="1702" w:type="dxa"/>
            <w:tcBorders>
              <w:top w:val="nil"/>
            </w:tcBorders>
          </w:tcPr>
          <w:p w:rsidR="008F03B5" w:rsidRDefault="008F03B5">
            <w:pPr>
              <w:pStyle w:val="TableParagraph"/>
              <w:rPr>
                <w:rFonts w:ascii="Times New Roman"/>
                <w:sz w:val="14"/>
              </w:rPr>
            </w:pPr>
          </w:p>
        </w:tc>
      </w:tr>
      <w:tr w:rsidR="008F03B5">
        <w:trPr>
          <w:trHeight w:val="256"/>
        </w:trPr>
        <w:tc>
          <w:tcPr>
            <w:tcW w:w="1419" w:type="dxa"/>
            <w:tcBorders>
              <w:top w:val="nil"/>
              <w:bottom w:val="nil"/>
            </w:tcBorders>
          </w:tcPr>
          <w:p w:rsidR="008F03B5" w:rsidRDefault="00586B9B">
            <w:pPr>
              <w:pStyle w:val="TableParagraph"/>
              <w:spacing w:line="234" w:lineRule="exact"/>
              <w:ind w:left="141"/>
              <w:rPr>
                <w:sz w:val="20"/>
              </w:rPr>
            </w:pPr>
            <w:r>
              <w:rPr>
                <w:sz w:val="20"/>
              </w:rPr>
              <w:t>2020</w:t>
            </w:r>
          </w:p>
        </w:tc>
        <w:tc>
          <w:tcPr>
            <w:tcW w:w="1277" w:type="dxa"/>
            <w:tcBorders>
              <w:top w:val="nil"/>
              <w:bottom w:val="nil"/>
            </w:tcBorders>
          </w:tcPr>
          <w:p w:rsidR="008F03B5" w:rsidRDefault="008F03B5">
            <w:pPr>
              <w:pStyle w:val="TableParagraph"/>
              <w:rPr>
                <w:rFonts w:ascii="Times New Roman"/>
                <w:sz w:val="18"/>
              </w:rPr>
            </w:pPr>
          </w:p>
        </w:tc>
        <w:tc>
          <w:tcPr>
            <w:tcW w:w="567" w:type="dxa"/>
            <w:tcBorders>
              <w:top w:val="nil"/>
              <w:bottom w:val="nil"/>
            </w:tcBorders>
          </w:tcPr>
          <w:p w:rsidR="008F03B5" w:rsidRDefault="008F03B5">
            <w:pPr>
              <w:pStyle w:val="TableParagraph"/>
              <w:rPr>
                <w:rFonts w:ascii="Times New Roman"/>
                <w:sz w:val="18"/>
              </w:rPr>
            </w:pPr>
          </w:p>
        </w:tc>
        <w:tc>
          <w:tcPr>
            <w:tcW w:w="991" w:type="dxa"/>
            <w:tcBorders>
              <w:bottom w:val="nil"/>
            </w:tcBorders>
          </w:tcPr>
          <w:p w:rsidR="008F03B5" w:rsidRDefault="00586B9B">
            <w:pPr>
              <w:pStyle w:val="TableParagraph"/>
              <w:spacing w:line="237" w:lineRule="exact"/>
              <w:ind w:left="91" w:right="82"/>
              <w:jc w:val="center"/>
              <w:rPr>
                <w:sz w:val="20"/>
              </w:rPr>
            </w:pPr>
            <w:r>
              <w:rPr>
                <w:sz w:val="20"/>
              </w:rPr>
              <w:t>28 days</w:t>
            </w:r>
          </w:p>
        </w:tc>
        <w:tc>
          <w:tcPr>
            <w:tcW w:w="1419" w:type="dxa"/>
            <w:tcBorders>
              <w:bottom w:val="nil"/>
            </w:tcBorders>
          </w:tcPr>
          <w:p w:rsidR="008F03B5" w:rsidRDefault="00586B9B">
            <w:pPr>
              <w:pStyle w:val="TableParagraph"/>
              <w:spacing w:line="237" w:lineRule="exact"/>
              <w:ind w:left="139" w:right="135"/>
              <w:jc w:val="center"/>
              <w:rPr>
                <w:sz w:val="20"/>
              </w:rPr>
            </w:pPr>
            <w:r>
              <w:rPr>
                <w:sz w:val="20"/>
              </w:rPr>
              <w:t>Maintenance</w:t>
            </w:r>
          </w:p>
        </w:tc>
        <w:tc>
          <w:tcPr>
            <w:tcW w:w="1416" w:type="dxa"/>
            <w:vMerge w:val="restart"/>
          </w:tcPr>
          <w:p w:rsidR="008F03B5" w:rsidRDefault="008F03B5">
            <w:pPr>
              <w:pStyle w:val="TableParagraph"/>
              <w:rPr>
                <w:rFonts w:ascii="Times New Roman"/>
                <w:sz w:val="20"/>
              </w:rPr>
            </w:pPr>
          </w:p>
        </w:tc>
        <w:tc>
          <w:tcPr>
            <w:tcW w:w="1136" w:type="dxa"/>
            <w:tcBorders>
              <w:bottom w:val="nil"/>
            </w:tcBorders>
          </w:tcPr>
          <w:p w:rsidR="008F03B5" w:rsidRDefault="008F03B5">
            <w:pPr>
              <w:pStyle w:val="TableParagraph"/>
              <w:rPr>
                <w:rFonts w:ascii="Times New Roman"/>
                <w:sz w:val="18"/>
              </w:rPr>
            </w:pPr>
          </w:p>
        </w:tc>
        <w:tc>
          <w:tcPr>
            <w:tcW w:w="1702" w:type="dxa"/>
            <w:tcBorders>
              <w:bottom w:val="nil"/>
            </w:tcBorders>
          </w:tcPr>
          <w:p w:rsidR="008F03B5" w:rsidRDefault="00586B9B">
            <w:pPr>
              <w:pStyle w:val="TableParagraph"/>
              <w:spacing w:line="237" w:lineRule="exact"/>
              <w:ind w:right="217"/>
              <w:jc w:val="right"/>
              <w:rPr>
                <w:sz w:val="20"/>
              </w:rPr>
            </w:pPr>
            <w:r>
              <w:rPr>
                <w:sz w:val="20"/>
              </w:rPr>
              <w:t>Geometric LSM</w:t>
            </w:r>
          </w:p>
        </w:tc>
      </w:tr>
      <w:tr w:rsidR="008F03B5">
        <w:trPr>
          <w:trHeight w:val="233"/>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14" w:lineRule="exact"/>
              <w:ind w:left="139" w:right="139"/>
              <w:jc w:val="center"/>
              <w:rPr>
                <w:sz w:val="20"/>
              </w:rPr>
            </w:pPr>
            <w:r>
              <w:rPr>
                <w:sz w:val="20"/>
              </w:rPr>
              <w:t>(randomised)</w:t>
            </w:r>
          </w:p>
        </w:tc>
        <w:tc>
          <w:tcPr>
            <w:tcW w:w="1416" w:type="dxa"/>
            <w:vMerge/>
            <w:tcBorders>
              <w:top w:val="nil"/>
            </w:tcBorders>
          </w:tcPr>
          <w:p w:rsidR="008F03B5" w:rsidRDefault="008F03B5">
            <w:pPr>
              <w:rPr>
                <w:sz w:val="2"/>
                <w:szCs w:val="2"/>
              </w:rPr>
            </w:pPr>
          </w:p>
        </w:tc>
        <w:tc>
          <w:tcPr>
            <w:tcW w:w="1136" w:type="dxa"/>
            <w:tcBorders>
              <w:top w:val="nil"/>
              <w:bottom w:val="nil"/>
            </w:tcBorders>
          </w:tcPr>
          <w:p w:rsidR="008F03B5" w:rsidRDefault="00586B9B">
            <w:pPr>
              <w:pStyle w:val="TableParagraph"/>
              <w:spacing w:line="214" w:lineRule="exact"/>
              <w:ind w:left="196" w:right="193"/>
              <w:jc w:val="center"/>
              <w:rPr>
                <w:sz w:val="20"/>
              </w:rPr>
            </w:pPr>
            <w:r>
              <w:rPr>
                <w:sz w:val="20"/>
              </w:rPr>
              <w:t>3.5 – 5.0</w:t>
            </w:r>
          </w:p>
        </w:tc>
        <w:tc>
          <w:tcPr>
            <w:tcW w:w="1702" w:type="dxa"/>
            <w:tcBorders>
              <w:top w:val="nil"/>
              <w:bottom w:val="nil"/>
            </w:tcBorders>
          </w:tcPr>
          <w:p w:rsidR="008F03B5" w:rsidRDefault="008F03B5">
            <w:pPr>
              <w:pStyle w:val="TableParagraph"/>
              <w:rPr>
                <w:rFonts w:ascii="Times New Roman"/>
                <w:sz w:val="16"/>
              </w:rPr>
            </w:pPr>
          </w:p>
        </w:tc>
      </w:tr>
      <w:tr w:rsidR="008F03B5">
        <w:trPr>
          <w:trHeight w:val="233"/>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14" w:lineRule="exact"/>
              <w:ind w:left="139" w:right="139"/>
              <w:jc w:val="center"/>
              <w:rPr>
                <w:sz w:val="20"/>
              </w:rPr>
            </w:pPr>
            <w:r>
              <w:rPr>
                <w:sz w:val="20"/>
              </w:rPr>
              <w:t>Placebo</w:t>
            </w:r>
          </w:p>
        </w:tc>
        <w:tc>
          <w:tcPr>
            <w:tcW w:w="1416" w:type="dxa"/>
            <w:vMerge/>
            <w:tcBorders>
              <w:top w:val="nil"/>
            </w:tcBorders>
          </w:tcPr>
          <w:p w:rsidR="008F03B5" w:rsidRDefault="008F03B5">
            <w:pPr>
              <w:rPr>
                <w:sz w:val="2"/>
                <w:szCs w:val="2"/>
              </w:rPr>
            </w:pPr>
          </w:p>
        </w:tc>
        <w:tc>
          <w:tcPr>
            <w:tcW w:w="1136" w:type="dxa"/>
            <w:tcBorders>
              <w:top w:val="nil"/>
              <w:bottom w:val="nil"/>
            </w:tcBorders>
          </w:tcPr>
          <w:p w:rsidR="008F03B5" w:rsidRDefault="008F03B5">
            <w:pPr>
              <w:pStyle w:val="TableParagraph"/>
              <w:rPr>
                <w:rFonts w:ascii="Times New Roman"/>
                <w:sz w:val="16"/>
              </w:rPr>
            </w:pPr>
          </w:p>
        </w:tc>
        <w:tc>
          <w:tcPr>
            <w:tcW w:w="1702" w:type="dxa"/>
            <w:tcBorders>
              <w:top w:val="nil"/>
              <w:bottom w:val="nil"/>
            </w:tcBorders>
          </w:tcPr>
          <w:p w:rsidR="008F03B5" w:rsidRDefault="00586B9B">
            <w:pPr>
              <w:pStyle w:val="TableParagraph"/>
              <w:spacing w:line="214" w:lineRule="exact"/>
              <w:ind w:right="180"/>
              <w:jc w:val="right"/>
              <w:rPr>
                <w:sz w:val="20"/>
              </w:rPr>
            </w:pPr>
            <w:r>
              <w:rPr>
                <w:sz w:val="20"/>
              </w:rPr>
              <w:t>5.32 (5.16, 5.49)</w:t>
            </w:r>
          </w:p>
        </w:tc>
      </w:tr>
      <w:tr w:rsidR="008F03B5">
        <w:trPr>
          <w:trHeight w:val="234"/>
        </w:trPr>
        <w:tc>
          <w:tcPr>
            <w:tcW w:w="1419" w:type="dxa"/>
            <w:tcBorders>
              <w:top w:val="nil"/>
              <w:bottom w:val="nil"/>
            </w:tcBorders>
          </w:tcPr>
          <w:p w:rsidR="008F03B5" w:rsidRDefault="008F03B5">
            <w:pPr>
              <w:pStyle w:val="TableParagraph"/>
              <w:rPr>
                <w:rFonts w:ascii="Times New Roman"/>
                <w:sz w:val="16"/>
              </w:rPr>
            </w:pPr>
          </w:p>
        </w:tc>
        <w:tc>
          <w:tcPr>
            <w:tcW w:w="1277" w:type="dxa"/>
            <w:tcBorders>
              <w:top w:val="nil"/>
              <w:bottom w:val="nil"/>
            </w:tcBorders>
          </w:tcPr>
          <w:p w:rsidR="008F03B5" w:rsidRDefault="008F03B5">
            <w:pPr>
              <w:pStyle w:val="TableParagraph"/>
              <w:rPr>
                <w:rFonts w:ascii="Times New Roman"/>
                <w:sz w:val="16"/>
              </w:rPr>
            </w:pPr>
          </w:p>
        </w:tc>
        <w:tc>
          <w:tcPr>
            <w:tcW w:w="567" w:type="dxa"/>
            <w:tcBorders>
              <w:top w:val="nil"/>
              <w:bottom w:val="nil"/>
            </w:tcBorders>
          </w:tcPr>
          <w:p w:rsidR="008F03B5" w:rsidRDefault="008F03B5">
            <w:pPr>
              <w:pStyle w:val="TableParagraph"/>
              <w:rPr>
                <w:rFonts w:ascii="Times New Roman"/>
                <w:sz w:val="16"/>
              </w:rPr>
            </w:pPr>
          </w:p>
        </w:tc>
        <w:tc>
          <w:tcPr>
            <w:tcW w:w="991" w:type="dxa"/>
            <w:tcBorders>
              <w:top w:val="nil"/>
              <w:bottom w:val="nil"/>
            </w:tcBorders>
          </w:tcPr>
          <w:p w:rsidR="008F03B5" w:rsidRDefault="008F03B5">
            <w:pPr>
              <w:pStyle w:val="TableParagraph"/>
              <w:rPr>
                <w:rFonts w:ascii="Times New Roman"/>
                <w:sz w:val="16"/>
              </w:rPr>
            </w:pPr>
          </w:p>
        </w:tc>
        <w:tc>
          <w:tcPr>
            <w:tcW w:w="1419" w:type="dxa"/>
            <w:tcBorders>
              <w:top w:val="nil"/>
              <w:bottom w:val="nil"/>
            </w:tcBorders>
          </w:tcPr>
          <w:p w:rsidR="008F03B5" w:rsidRDefault="00586B9B">
            <w:pPr>
              <w:pStyle w:val="TableParagraph"/>
              <w:spacing w:line="215" w:lineRule="exact"/>
              <w:ind w:left="139" w:right="136"/>
              <w:jc w:val="center"/>
              <w:rPr>
                <w:sz w:val="20"/>
              </w:rPr>
            </w:pPr>
            <w:r>
              <w:rPr>
                <w:sz w:val="20"/>
              </w:rPr>
              <w:t>5g</w:t>
            </w:r>
          </w:p>
        </w:tc>
        <w:tc>
          <w:tcPr>
            <w:tcW w:w="1416" w:type="dxa"/>
            <w:vMerge/>
            <w:tcBorders>
              <w:top w:val="nil"/>
            </w:tcBorders>
          </w:tcPr>
          <w:p w:rsidR="008F03B5" w:rsidRDefault="008F03B5">
            <w:pPr>
              <w:rPr>
                <w:sz w:val="2"/>
                <w:szCs w:val="2"/>
              </w:rPr>
            </w:pPr>
          </w:p>
        </w:tc>
        <w:tc>
          <w:tcPr>
            <w:tcW w:w="1136" w:type="dxa"/>
            <w:tcBorders>
              <w:top w:val="nil"/>
              <w:bottom w:val="nil"/>
            </w:tcBorders>
          </w:tcPr>
          <w:p w:rsidR="008F03B5" w:rsidRDefault="008F03B5">
            <w:pPr>
              <w:pStyle w:val="TableParagraph"/>
              <w:rPr>
                <w:rFonts w:ascii="Times New Roman"/>
                <w:sz w:val="16"/>
              </w:rPr>
            </w:pPr>
          </w:p>
        </w:tc>
        <w:tc>
          <w:tcPr>
            <w:tcW w:w="1702" w:type="dxa"/>
            <w:tcBorders>
              <w:top w:val="nil"/>
              <w:bottom w:val="nil"/>
            </w:tcBorders>
          </w:tcPr>
          <w:p w:rsidR="008F03B5" w:rsidRDefault="00586B9B">
            <w:pPr>
              <w:pStyle w:val="TableParagraph"/>
              <w:spacing w:line="215" w:lineRule="exact"/>
              <w:ind w:right="128"/>
              <w:jc w:val="right"/>
              <w:rPr>
                <w:sz w:val="20"/>
              </w:rPr>
            </w:pPr>
            <w:r>
              <w:rPr>
                <w:sz w:val="20"/>
              </w:rPr>
              <w:t>4.81 (4.69, 04.94)</w:t>
            </w:r>
          </w:p>
        </w:tc>
      </w:tr>
      <w:tr w:rsidR="008F03B5">
        <w:trPr>
          <w:trHeight w:val="467"/>
        </w:trPr>
        <w:tc>
          <w:tcPr>
            <w:tcW w:w="1419" w:type="dxa"/>
            <w:tcBorders>
              <w:top w:val="nil"/>
            </w:tcBorders>
          </w:tcPr>
          <w:p w:rsidR="008F03B5" w:rsidRDefault="008F03B5">
            <w:pPr>
              <w:pStyle w:val="TableParagraph"/>
              <w:rPr>
                <w:rFonts w:ascii="Times New Roman"/>
                <w:sz w:val="20"/>
              </w:rPr>
            </w:pPr>
          </w:p>
        </w:tc>
        <w:tc>
          <w:tcPr>
            <w:tcW w:w="1277" w:type="dxa"/>
            <w:tcBorders>
              <w:top w:val="nil"/>
            </w:tcBorders>
          </w:tcPr>
          <w:p w:rsidR="008F03B5" w:rsidRDefault="008F03B5">
            <w:pPr>
              <w:pStyle w:val="TableParagraph"/>
              <w:rPr>
                <w:rFonts w:ascii="Times New Roman"/>
                <w:sz w:val="20"/>
              </w:rPr>
            </w:pPr>
          </w:p>
        </w:tc>
        <w:tc>
          <w:tcPr>
            <w:tcW w:w="567" w:type="dxa"/>
            <w:tcBorders>
              <w:top w:val="nil"/>
            </w:tcBorders>
          </w:tcPr>
          <w:p w:rsidR="008F03B5" w:rsidRDefault="008F03B5">
            <w:pPr>
              <w:pStyle w:val="TableParagraph"/>
              <w:rPr>
                <w:rFonts w:ascii="Times New Roman"/>
                <w:sz w:val="20"/>
              </w:rPr>
            </w:pPr>
          </w:p>
        </w:tc>
        <w:tc>
          <w:tcPr>
            <w:tcW w:w="991" w:type="dxa"/>
            <w:tcBorders>
              <w:top w:val="nil"/>
            </w:tcBorders>
          </w:tcPr>
          <w:p w:rsidR="008F03B5" w:rsidRDefault="008F03B5">
            <w:pPr>
              <w:pStyle w:val="TableParagraph"/>
              <w:rPr>
                <w:rFonts w:ascii="Times New Roman"/>
                <w:sz w:val="20"/>
              </w:rPr>
            </w:pPr>
          </w:p>
        </w:tc>
        <w:tc>
          <w:tcPr>
            <w:tcW w:w="1419" w:type="dxa"/>
            <w:tcBorders>
              <w:top w:val="nil"/>
            </w:tcBorders>
          </w:tcPr>
          <w:p w:rsidR="008F03B5" w:rsidRDefault="00586B9B">
            <w:pPr>
              <w:pStyle w:val="TableParagraph"/>
              <w:spacing w:line="221" w:lineRule="exact"/>
              <w:ind w:left="139" w:right="136"/>
              <w:jc w:val="center"/>
              <w:rPr>
                <w:sz w:val="20"/>
              </w:rPr>
            </w:pPr>
            <w:r>
              <w:rPr>
                <w:sz w:val="20"/>
              </w:rPr>
              <w:t>10g</w:t>
            </w:r>
          </w:p>
        </w:tc>
        <w:tc>
          <w:tcPr>
            <w:tcW w:w="1416" w:type="dxa"/>
            <w:vMerge/>
            <w:tcBorders>
              <w:top w:val="nil"/>
            </w:tcBorders>
          </w:tcPr>
          <w:p w:rsidR="008F03B5" w:rsidRDefault="008F03B5">
            <w:pPr>
              <w:rPr>
                <w:sz w:val="2"/>
                <w:szCs w:val="2"/>
              </w:rPr>
            </w:pPr>
          </w:p>
        </w:tc>
        <w:tc>
          <w:tcPr>
            <w:tcW w:w="1136" w:type="dxa"/>
            <w:tcBorders>
              <w:top w:val="nil"/>
            </w:tcBorders>
          </w:tcPr>
          <w:p w:rsidR="008F03B5" w:rsidRDefault="008F03B5">
            <w:pPr>
              <w:pStyle w:val="TableParagraph"/>
              <w:rPr>
                <w:rFonts w:ascii="Times New Roman"/>
                <w:sz w:val="20"/>
              </w:rPr>
            </w:pPr>
          </w:p>
        </w:tc>
        <w:tc>
          <w:tcPr>
            <w:tcW w:w="1702" w:type="dxa"/>
            <w:tcBorders>
              <w:top w:val="nil"/>
            </w:tcBorders>
          </w:tcPr>
          <w:p w:rsidR="008F03B5" w:rsidRDefault="00586B9B">
            <w:pPr>
              <w:pStyle w:val="TableParagraph"/>
              <w:spacing w:line="221" w:lineRule="exact"/>
              <w:ind w:right="180"/>
              <w:jc w:val="right"/>
              <w:rPr>
                <w:sz w:val="20"/>
              </w:rPr>
            </w:pPr>
            <w:r>
              <w:rPr>
                <w:sz w:val="20"/>
              </w:rPr>
              <w:t>4.38 (4.27, 4.50)</w:t>
            </w:r>
          </w:p>
        </w:tc>
      </w:tr>
    </w:tbl>
    <w:p w:rsidR="008F03B5" w:rsidRDefault="008F03B5">
      <w:pPr>
        <w:pStyle w:val="a3"/>
        <w:rPr>
          <w:sz w:val="17"/>
        </w:rPr>
      </w:pPr>
    </w:p>
    <w:p w:rsidR="008F03B5" w:rsidRDefault="00586B9B">
      <w:pPr>
        <w:pStyle w:val="3"/>
        <w:spacing w:before="56"/>
      </w:pPr>
      <w:r>
        <w:t>Table 7: Studies of the efficacy of SZC in treatment of Hyperkalaemia</w:t>
      </w:r>
    </w:p>
    <w:p w:rsidR="008F03B5" w:rsidRDefault="00586B9B">
      <w:pPr>
        <w:spacing w:before="122"/>
        <w:ind w:left="217"/>
        <w:rPr>
          <w:sz w:val="18"/>
        </w:rPr>
      </w:pPr>
      <w:r>
        <w:rPr>
          <w:sz w:val="18"/>
        </w:rPr>
        <w:t>SZC – Sodium zirconium cyclosilicate; hrs – hours; mths – months; LSM – least squares mean</w:t>
      </w:r>
    </w:p>
    <w:p w:rsidR="008F03B5" w:rsidRDefault="008F03B5">
      <w:pPr>
        <w:pStyle w:val="a3"/>
        <w:rPr>
          <w:sz w:val="18"/>
        </w:rPr>
      </w:pPr>
    </w:p>
    <w:p w:rsidR="008F03B5" w:rsidRDefault="008F03B5">
      <w:pPr>
        <w:pStyle w:val="a3"/>
        <w:spacing w:before="8"/>
        <w:rPr>
          <w:sz w:val="19"/>
        </w:rPr>
      </w:pPr>
    </w:p>
    <w:p w:rsidR="008F03B5" w:rsidRDefault="00586B9B">
      <w:pPr>
        <w:pStyle w:val="a3"/>
        <w:spacing w:before="2" w:line="276" w:lineRule="auto"/>
        <w:ind w:left="217" w:right="459"/>
      </w:pPr>
      <w:r>
        <w:t>A meta-analysis of the SZC trials have shown that it lowers serum K+ by 0.17 mmol/l at 1 hour and 0.67 mmol/l at 48 hours after administration</w:t>
      </w:r>
      <w:r w:rsidR="00903055">
        <w:t>.</w:t>
      </w:r>
      <w:r w:rsidR="00903055">
        <w:rPr>
          <w:vertAlign w:val="superscript"/>
        </w:rPr>
        <w:t>9</w:t>
      </w:r>
      <w:r w:rsidR="00903055">
        <w:t xml:space="preserve">  </w:t>
      </w:r>
      <w:r w:rsidR="00903055">
        <w:rPr>
          <w:rFonts w:ascii="宋体" w:eastAsia="宋体" w:hAnsi="宋体" w:cs="宋体" w:hint="eastAsia"/>
        </w:rPr>
        <w:t>。。</w:t>
      </w:r>
      <w:r w:rsidR="00903055">
        <w:t>I</w:t>
      </w:r>
      <w:r>
        <w:t>n a subgroup analysis of patients with a baseline serum K+ ranging from 6.1 – 7.2 mmol/l, SZC lowered serum K+ by a mean of 0.4 mmol/l at 1 hour after administration of 10g dose</w:t>
      </w:r>
      <w:r w:rsidR="00903055">
        <w:t>.</w:t>
      </w:r>
      <w:r w:rsidR="00903055">
        <w:rPr>
          <w:vertAlign w:val="superscript"/>
        </w:rPr>
        <w:t>10</w:t>
      </w:r>
      <w:r w:rsidR="00903055">
        <w:t xml:space="preserve"> </w:t>
      </w:r>
      <w:r w:rsidR="00903055">
        <w:rPr>
          <w:rFonts w:ascii="宋体" w:eastAsia="宋体" w:hAnsi="宋体" w:cs="宋体" w:hint="eastAsia"/>
        </w:rPr>
        <w:t>。。</w:t>
      </w:r>
      <w:r w:rsidR="00903055">
        <w:t>I</w:t>
      </w:r>
      <w:r>
        <w:t>n the recently published HARMONIZE-Global study, significantly more patients achieved normokalaemia with SZC 5mg (58.6%) and SZC 10mg (77.3%) compared with placebo</w:t>
      </w:r>
      <w:r>
        <w:rPr>
          <w:spacing w:val="-18"/>
        </w:rPr>
        <w:t xml:space="preserve"> </w:t>
      </w:r>
      <w:r>
        <w:t>(24%)</w:t>
      </w:r>
      <w:r w:rsidR="00903055">
        <w:t>.</w:t>
      </w:r>
      <w:r w:rsidR="00903055">
        <w:rPr>
          <w:vertAlign w:val="superscript"/>
        </w:rPr>
        <w:t>8</w:t>
      </w:r>
      <w:r w:rsidR="00903055">
        <w:t xml:space="preserve"> </w:t>
      </w:r>
      <w:r w:rsidR="00903055">
        <w:rPr>
          <w:rFonts w:ascii="宋体" w:eastAsia="宋体" w:hAnsi="宋体" w:cs="宋体" w:hint="eastAsia"/>
        </w:rPr>
        <w:t>。。</w:t>
      </w:r>
      <w:r w:rsidR="00903055">
        <w:t>A</w:t>
      </w:r>
      <w:r>
        <w:t>pproval for SZC was delayed due to concerns about the manufacturing processes, but was granted in the EU in March 2018, followed by the FDA in May 2018. Although the marketing authorisation states SZC may be used for the ‘treatment of hyperkalaemia in adults’, the submission to NICE was limited to patients with CKD and/ or heart failure.</w:t>
      </w:r>
    </w:p>
    <w:p w:rsidR="008F03B5" w:rsidRDefault="008F03B5">
      <w:pPr>
        <w:pStyle w:val="a3"/>
        <w:spacing w:before="3"/>
        <w:rPr>
          <w:sz w:val="25"/>
        </w:rPr>
      </w:pPr>
    </w:p>
    <w:p w:rsidR="008F03B5" w:rsidRDefault="00586B9B">
      <w:pPr>
        <w:pStyle w:val="a3"/>
        <w:spacing w:line="276" w:lineRule="auto"/>
        <w:ind w:left="217" w:right="325"/>
      </w:pPr>
      <w:r>
        <w:t>NICE assessed the clinical and cost effectiveness of SZC based on the ZS-004 and ZS-005 clinical trials</w:t>
      </w:r>
      <w:r w:rsidR="00903055">
        <w:t>.</w:t>
      </w:r>
      <w:r w:rsidR="00903055">
        <w:rPr>
          <w:vertAlign w:val="superscript"/>
        </w:rPr>
        <w:t>11</w:t>
      </w:r>
      <w:r w:rsidR="00903055">
        <w:t xml:space="preserve"> </w:t>
      </w:r>
      <w:r w:rsidR="00903055">
        <w:rPr>
          <w:rFonts w:ascii="宋体" w:eastAsia="宋体" w:hAnsi="宋体" w:cs="宋体" w:hint="eastAsia"/>
        </w:rPr>
        <w:t>。。</w:t>
      </w:r>
      <w:r w:rsidR="00903055">
        <w:t>A</w:t>
      </w:r>
      <w:r>
        <w:t xml:space="preserve"> few short-falls were identified in the SZC trials including the definition of hyperkalaemia (K+ ≥ 5.1 mmol/l) which was lower than the Renal Association and European Resuscitation Council guidelines (K+ ≥ 5.5 mmol/l). The clinical trials did not compare the efficacy of SZC versus dietary restriction or any other active K+-lowering drug. There was also no evidence that SZC improves quality of life or extends life. However, given the strong evidence for use of RAASi drugs in patients with CKD and heart failure, the cost-effectiveness analysis suggests that the use of SZC in facilitating patients staying on RAASi drugs is a good use of NHS resources.</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7"/>
        <w:rPr>
          <w:sz w:val="25"/>
        </w:rPr>
      </w:pPr>
    </w:p>
    <w:p w:rsidR="008F03B5" w:rsidRDefault="009A3CBD">
      <w:pPr>
        <w:pStyle w:val="a3"/>
        <w:ind w:left="587"/>
        <w:rPr>
          <w:sz w:val="20"/>
        </w:rPr>
      </w:pPr>
      <w:r>
        <w:rPr>
          <w:sz w:val="20"/>
        </w:rPr>
      </w:r>
      <w:r>
        <w:rPr>
          <w:sz w:val="20"/>
        </w:rPr>
        <w:pict>
          <v:shape id="_x0000_s1079" type="#_x0000_t202" style="width:441pt;height:225.75pt;mso-left-percent:-10001;mso-top-percent:-10001;mso-position-horizontal:absolute;mso-position-horizontal-relative:char;mso-position-vertical:absolute;mso-position-vertical-relative:line;mso-left-percent:-10001;mso-top-percent:-10001" fillcolor="#deebf7">
            <v:textbox inset="0,0,0,0">
              <w:txbxContent>
                <w:p w:rsidR="008F03B5" w:rsidRDefault="00586B9B">
                  <w:pPr>
                    <w:spacing w:before="72" w:line="276" w:lineRule="auto"/>
                    <w:ind w:left="143" w:right="113"/>
                    <w:rPr>
                      <w:b/>
                      <w:sz w:val="24"/>
                    </w:rPr>
                  </w:pPr>
                  <w:r>
                    <w:rPr>
                      <w:b/>
                      <w:sz w:val="24"/>
                    </w:rPr>
                    <w:t>NICE has approved the use of SZC in the treatment of persistent hyperkalaemia in the out-patient setting under these circumstances:</w:t>
                  </w:r>
                </w:p>
                <w:p w:rsidR="008F03B5" w:rsidRDefault="00586B9B" w:rsidP="00586B9B">
                  <w:pPr>
                    <w:numPr>
                      <w:ilvl w:val="0"/>
                      <w:numId w:val="48"/>
                    </w:numPr>
                    <w:tabs>
                      <w:tab w:val="left" w:pos="1221"/>
                      <w:tab w:val="left" w:pos="1222"/>
                    </w:tabs>
                    <w:spacing w:before="119" w:line="273" w:lineRule="auto"/>
                    <w:ind w:right="2991" w:hanging="360"/>
                    <w:rPr>
                      <w:b/>
                      <w:sz w:val="24"/>
                    </w:rPr>
                  </w:pPr>
                  <w:r>
                    <w:rPr>
                      <w:b/>
                      <w:sz w:val="24"/>
                    </w:rPr>
                    <w:t>Patients with CKD Stage 3b-5 OR Heart Failure AND</w:t>
                  </w:r>
                </w:p>
                <w:p w:rsidR="008F03B5" w:rsidRDefault="00586B9B" w:rsidP="00586B9B">
                  <w:pPr>
                    <w:numPr>
                      <w:ilvl w:val="0"/>
                      <w:numId w:val="48"/>
                    </w:numPr>
                    <w:tabs>
                      <w:tab w:val="left" w:pos="1223"/>
                      <w:tab w:val="left" w:pos="1224"/>
                    </w:tabs>
                    <w:spacing w:before="6" w:line="273" w:lineRule="auto"/>
                    <w:ind w:right="3692" w:hanging="360"/>
                    <w:rPr>
                      <w:b/>
                      <w:sz w:val="24"/>
                    </w:rPr>
                  </w:pPr>
                  <w:r>
                    <w:rPr>
                      <w:b/>
                      <w:sz w:val="24"/>
                    </w:rPr>
                    <w:t>Serum K</w:t>
                  </w:r>
                  <w:r>
                    <w:rPr>
                      <w:sz w:val="24"/>
                      <w:vertAlign w:val="superscript"/>
                    </w:rPr>
                    <w:t>+</w:t>
                  </w:r>
                  <w:r>
                    <w:rPr>
                      <w:sz w:val="24"/>
                    </w:rPr>
                    <w:t xml:space="preserve"> </w:t>
                  </w:r>
                  <w:r>
                    <w:rPr>
                      <w:b/>
                      <w:sz w:val="24"/>
                    </w:rPr>
                    <w:t>confirmed to be ≥ 6.0 mmol/l AND</w:t>
                  </w:r>
                </w:p>
                <w:p w:rsidR="008F03B5" w:rsidRDefault="00586B9B" w:rsidP="00586B9B">
                  <w:pPr>
                    <w:numPr>
                      <w:ilvl w:val="0"/>
                      <w:numId w:val="48"/>
                    </w:numPr>
                    <w:tabs>
                      <w:tab w:val="left" w:pos="1223"/>
                      <w:tab w:val="left" w:pos="1224"/>
                    </w:tabs>
                    <w:spacing w:before="6" w:line="273" w:lineRule="auto"/>
                    <w:ind w:right="596" w:hanging="360"/>
                    <w:rPr>
                      <w:b/>
                      <w:sz w:val="24"/>
                    </w:rPr>
                  </w:pPr>
                  <w:r>
                    <w:rPr>
                      <w:b/>
                      <w:sz w:val="24"/>
                    </w:rPr>
                    <w:t>Patient is receiving a sub-optimal dose of RAASi due to</w:t>
                  </w:r>
                  <w:r>
                    <w:rPr>
                      <w:b/>
                      <w:spacing w:val="-34"/>
                      <w:sz w:val="24"/>
                    </w:rPr>
                    <w:t xml:space="preserve"> </w:t>
                  </w:r>
                  <w:r>
                    <w:rPr>
                      <w:b/>
                      <w:sz w:val="24"/>
                    </w:rPr>
                    <w:t>hyperkalaemia AND</w:t>
                  </w:r>
                </w:p>
                <w:p w:rsidR="008F03B5" w:rsidRDefault="00586B9B" w:rsidP="00586B9B">
                  <w:pPr>
                    <w:numPr>
                      <w:ilvl w:val="0"/>
                      <w:numId w:val="48"/>
                    </w:numPr>
                    <w:tabs>
                      <w:tab w:val="left" w:pos="1223"/>
                      <w:tab w:val="left" w:pos="1224"/>
                    </w:tabs>
                    <w:spacing w:before="6"/>
                    <w:ind w:hanging="361"/>
                    <w:rPr>
                      <w:b/>
                      <w:sz w:val="24"/>
                    </w:rPr>
                  </w:pPr>
                  <w:r>
                    <w:rPr>
                      <w:b/>
                      <w:sz w:val="24"/>
                    </w:rPr>
                    <w:t>Not on</w:t>
                  </w:r>
                  <w:r>
                    <w:rPr>
                      <w:b/>
                      <w:spacing w:val="1"/>
                      <w:sz w:val="24"/>
                    </w:rPr>
                    <w:t xml:space="preserve"> </w:t>
                  </w:r>
                  <w:r>
                    <w:rPr>
                      <w:b/>
                      <w:sz w:val="24"/>
                    </w:rPr>
                    <w:t>dialysis</w:t>
                  </w:r>
                </w:p>
                <w:p w:rsidR="008F03B5" w:rsidRDefault="008F03B5">
                  <w:pPr>
                    <w:pStyle w:val="a3"/>
                    <w:spacing w:before="2"/>
                    <w:rPr>
                      <w:b/>
                      <w:sz w:val="23"/>
                    </w:rPr>
                  </w:pPr>
                </w:p>
                <w:p w:rsidR="008F03B5" w:rsidRDefault="00586B9B">
                  <w:pPr>
                    <w:spacing w:line="374" w:lineRule="auto"/>
                    <w:ind w:left="143" w:right="3950"/>
                    <w:rPr>
                      <w:b/>
                      <w:sz w:val="24"/>
                    </w:rPr>
                  </w:pPr>
                  <w:r>
                    <w:rPr>
                      <w:b/>
                      <w:sz w:val="24"/>
                    </w:rPr>
                    <w:t>Initiation of SZC is restricted to secondary care. Stop SZC if RAASi therapy is discontinued.</w:t>
                  </w:r>
                </w:p>
              </w:txbxContent>
            </v:textbox>
            <w10:anchorlock/>
          </v:shape>
        </w:pict>
      </w:r>
    </w:p>
    <w:p w:rsidR="008F03B5" w:rsidRDefault="008F03B5">
      <w:pPr>
        <w:pStyle w:val="a3"/>
        <w:spacing w:before="6"/>
        <w:rPr>
          <w:sz w:val="23"/>
        </w:rPr>
      </w:pPr>
    </w:p>
    <w:p w:rsidR="008F03B5" w:rsidRDefault="00586B9B">
      <w:pPr>
        <w:pStyle w:val="a3"/>
        <w:spacing w:line="273" w:lineRule="auto"/>
        <w:ind w:left="217" w:right="323"/>
      </w:pPr>
      <w:r>
        <w:t>NICE has approved SZC in the treatment of persistent hyperkalaemia for the above indications (text box)</w:t>
      </w:r>
      <w:r w:rsidR="00903055">
        <w:t>.</w:t>
      </w:r>
      <w:r w:rsidR="00903055">
        <w:rPr>
          <w:vertAlign w:val="superscript"/>
        </w:rPr>
        <w:t>11</w:t>
      </w:r>
      <w:r w:rsidR="00903055">
        <w:t xml:space="preserve"> </w:t>
      </w:r>
      <w:r w:rsidR="00903055">
        <w:rPr>
          <w:rFonts w:ascii="宋体" w:eastAsia="宋体" w:hAnsi="宋体" w:cs="宋体" w:hint="eastAsia"/>
        </w:rPr>
        <w:t>。。</w:t>
      </w:r>
      <w:r w:rsidR="00903055">
        <w:t>S</w:t>
      </w:r>
      <w:r>
        <w:t>afety and efficacy has been shown up to 52 weeks of therapy, but the duration of treatment in clinical practice will likely be lifelong unless RAASi is discontinued. SZC will complement, rather than replace, a low- K+ diet. SZC may allow less strict dietary restrictions, thereby improving quality of life for patients.</w:t>
      </w:r>
      <w:r w:rsidR="00C07B5E">
        <w:t xml:space="preserve"> </w:t>
      </w:r>
      <w:r>
        <w:t>The aim is to achieve the minimum effective dose of SZC to prevent recurrence of hyperkalaemia. The recommended starting dose is 5g once daily, with up-titration to a maximum dose of 10g once daily or down-titration to 5g alternate days if required (Appendix 3E)</w:t>
      </w:r>
      <w:r w:rsidR="00903055">
        <w:t>.</w:t>
      </w:r>
      <w:r w:rsidR="00903055">
        <w:rPr>
          <w:vertAlign w:val="superscript"/>
        </w:rPr>
        <w:t>1</w:t>
      </w:r>
      <w:r w:rsidR="00903055">
        <w:t xml:space="preserve"> </w:t>
      </w:r>
      <w:r w:rsidR="00903055">
        <w:rPr>
          <w:rFonts w:ascii="宋体" w:eastAsia="宋体" w:hAnsi="宋体" w:cs="宋体" w:hint="eastAsia"/>
        </w:rPr>
        <w:t>。。</w:t>
      </w:r>
      <w:r w:rsidR="00903055">
        <w:t>D</w:t>
      </w:r>
      <w:r>
        <w:t>ose titration or cessation will be led by secondary care. In real-world practice, blood monitoring will shared with primary care, therefore clear guidance or protocols will be necessary. Based on the ZS-005 trial conducted over 12 months, blood</w:t>
      </w:r>
      <w:r w:rsidR="00C07B5E">
        <w:t xml:space="preserve"> </w:t>
      </w:r>
      <w:r>
        <w:t>monitoring should be performed weekly for the first month, then monthly thereafter</w:t>
      </w:r>
      <w:r w:rsidR="00903055">
        <w:t>.</w:t>
      </w:r>
      <w:r w:rsidR="00903055">
        <w:rPr>
          <w:vertAlign w:val="superscript"/>
        </w:rPr>
        <w:t>7</w:t>
      </w:r>
      <w:r w:rsidR="00903055">
        <w:t xml:space="preserve"> </w:t>
      </w:r>
      <w:r w:rsidR="00903055">
        <w:rPr>
          <w:rFonts w:ascii="宋体" w:eastAsia="宋体" w:hAnsi="宋体" w:cs="宋体" w:hint="eastAsia"/>
        </w:rPr>
        <w:t>。。</w:t>
      </w:r>
      <w:r w:rsidR="00903055">
        <w:t>S</w:t>
      </w:r>
      <w:r>
        <w:t>erum K+ should also be assessed one week after drug cessation.</w:t>
      </w:r>
      <w:r>
        <w:rPr>
          <w:vertAlign w:val="superscript"/>
        </w:rPr>
        <w:t>7</w:t>
      </w:r>
    </w:p>
    <w:p w:rsidR="008F03B5" w:rsidRDefault="008F03B5">
      <w:pPr>
        <w:pStyle w:val="a3"/>
        <w:spacing w:before="9"/>
        <w:rPr>
          <w:sz w:val="25"/>
        </w:rPr>
      </w:pPr>
    </w:p>
    <w:p w:rsidR="008F03B5" w:rsidRDefault="00586B9B">
      <w:pPr>
        <w:pStyle w:val="a3"/>
        <w:spacing w:line="273" w:lineRule="auto"/>
        <w:ind w:left="217" w:right="520"/>
      </w:pPr>
      <w:r>
        <w:t>The role for SZC in the treatment of hyperkalaemia is likely to evolve as clinical experience is gained and as further evidence becomes available.</w:t>
      </w:r>
    </w:p>
    <w:p w:rsidR="008F03B5" w:rsidRDefault="008F03B5">
      <w:pPr>
        <w:pStyle w:val="a3"/>
        <w:spacing w:before="3"/>
        <w:rPr>
          <w:sz w:val="20"/>
        </w:rPr>
      </w:pPr>
    </w:p>
    <w:p w:rsidR="008F03B5" w:rsidRDefault="00586B9B">
      <w:pPr>
        <w:ind w:left="217"/>
        <w:rPr>
          <w:b/>
          <w:sz w:val="24"/>
        </w:rPr>
      </w:pPr>
      <w:r>
        <w:rPr>
          <w:b/>
          <w:color w:val="44536A"/>
          <w:sz w:val="24"/>
        </w:rPr>
        <w:t>References</w:t>
      </w:r>
    </w:p>
    <w:p w:rsidR="008F03B5" w:rsidRDefault="00586B9B" w:rsidP="00586B9B">
      <w:pPr>
        <w:pStyle w:val="a4"/>
        <w:numPr>
          <w:ilvl w:val="2"/>
          <w:numId w:val="49"/>
        </w:numPr>
        <w:tabs>
          <w:tab w:val="left" w:pos="939"/>
        </w:tabs>
        <w:spacing w:before="41" w:line="276" w:lineRule="auto"/>
        <w:ind w:right="671"/>
      </w:pPr>
      <w:r>
        <w:t>Astra Zeneca. Lokelma (sodium zirconium cyclosilicate) for oral suspension: Summary of Product Characteristics. 2018.</w:t>
      </w:r>
      <w:r>
        <w:rPr>
          <w:color w:val="0562C1"/>
          <w:spacing w:val="-6"/>
        </w:rPr>
        <w:t xml:space="preserve"> </w:t>
      </w:r>
      <w:hyperlink r:id="rId13">
        <w:r>
          <w:rPr>
            <w:color w:val="0562C1"/>
            <w:u w:val="single" w:color="0562C1"/>
          </w:rPr>
          <w:t>www.ema.europa.eu/ema/</w:t>
        </w:r>
      </w:hyperlink>
    </w:p>
    <w:p w:rsidR="008F03B5" w:rsidRPr="00C07B5E" w:rsidRDefault="008F03B5">
      <w:pPr>
        <w:pStyle w:val="a3"/>
        <w:rPr>
          <w:rFonts w:eastAsiaTheme="minorEastAsia"/>
          <w:lang w:eastAsia="zh-CN"/>
        </w:rPr>
      </w:pPr>
    </w:p>
    <w:p w:rsidR="008F03B5" w:rsidRDefault="008F03B5">
      <w:pPr>
        <w:pStyle w:val="a3"/>
        <w:spacing w:before="2"/>
        <w:rPr>
          <w:sz w:val="23"/>
        </w:rPr>
      </w:pPr>
    </w:p>
    <w:p w:rsidR="008F03B5" w:rsidRDefault="00586B9B">
      <w:pPr>
        <w:pStyle w:val="2"/>
      </w:pPr>
      <w:bookmarkStart w:id="13" w:name="_bookmark19"/>
      <w:bookmarkEnd w:id="13"/>
      <w:r>
        <w:rPr>
          <w:color w:val="1F4E79"/>
        </w:rPr>
        <w:t>Prevention (Guidelines 11.1-11.3)</w:t>
      </w:r>
    </w:p>
    <w:p w:rsidR="008F03B5" w:rsidRDefault="008F03B5">
      <w:pPr>
        <w:pStyle w:val="a3"/>
        <w:rPr>
          <w:b/>
          <w:sz w:val="24"/>
        </w:rPr>
      </w:pPr>
    </w:p>
    <w:p w:rsidR="008F03B5" w:rsidRDefault="008F03B5">
      <w:pPr>
        <w:pStyle w:val="a3"/>
        <w:spacing w:before="3"/>
        <w:rPr>
          <w:b/>
          <w:sz w:val="21"/>
        </w:rPr>
      </w:pPr>
    </w:p>
    <w:p w:rsidR="008F03B5" w:rsidRDefault="00586B9B">
      <w:pPr>
        <w:pStyle w:val="3"/>
      </w:pPr>
      <w:r>
        <w:t>Guideline 11.1 – Prevention of Hyperkalaemia in the community: monitoring</w:t>
      </w:r>
    </w:p>
    <w:p w:rsidR="008F03B5" w:rsidRDefault="008F03B5">
      <w:pPr>
        <w:pStyle w:val="a3"/>
        <w:spacing w:before="6"/>
        <w:rPr>
          <w:b/>
          <w:sz w:val="19"/>
        </w:rPr>
      </w:pPr>
    </w:p>
    <w:p w:rsidR="008F03B5" w:rsidRDefault="00586B9B">
      <w:pPr>
        <w:pStyle w:val="a3"/>
        <w:spacing w:line="278" w:lineRule="auto"/>
        <w:ind w:left="217" w:right="717"/>
      </w:pPr>
      <w:r>
        <w:t>We recommend monitoring of renal function in patients at risk of hyperkalaemia with known CKD, heart failure, diabetes and in any patient taking RAASi medication. (1A)</w:t>
      </w:r>
    </w:p>
    <w:p w:rsidR="008F03B5" w:rsidRDefault="008F03B5">
      <w:pPr>
        <w:pStyle w:val="a3"/>
        <w:spacing w:before="2"/>
        <w:rPr>
          <w:sz w:val="16"/>
        </w:rPr>
      </w:pPr>
    </w:p>
    <w:p w:rsidR="008F03B5" w:rsidRDefault="00586B9B">
      <w:pPr>
        <w:pStyle w:val="3"/>
        <w:spacing w:before="1"/>
      </w:pPr>
      <w:r>
        <w:t>Guideline 11.2 – Prevention of Hyperkalaemia in the community: prescribing</w:t>
      </w:r>
    </w:p>
    <w:p w:rsidR="008F03B5" w:rsidRDefault="008F03B5">
      <w:pPr>
        <w:pStyle w:val="a3"/>
        <w:spacing w:before="5"/>
        <w:rPr>
          <w:b/>
          <w:sz w:val="19"/>
        </w:rPr>
      </w:pPr>
    </w:p>
    <w:p w:rsidR="008F03B5" w:rsidRDefault="00586B9B">
      <w:pPr>
        <w:pStyle w:val="a3"/>
        <w:spacing w:line="278" w:lineRule="auto"/>
        <w:ind w:left="217" w:right="314"/>
      </w:pPr>
      <w:r>
        <w:t xml:space="preserve">We recommend caution in prescribing trimethoprim to patients with renal impairment or those taking RAASi </w:t>
      </w:r>
      <w:r>
        <w:lastRenderedPageBreak/>
        <w:t>drugs. (1A)</w:t>
      </w:r>
    </w:p>
    <w:p w:rsidR="008F03B5" w:rsidRDefault="008F03B5">
      <w:pPr>
        <w:pStyle w:val="a3"/>
        <w:spacing w:before="3"/>
        <w:rPr>
          <w:sz w:val="16"/>
        </w:rPr>
      </w:pPr>
    </w:p>
    <w:p w:rsidR="008F03B5" w:rsidRDefault="00586B9B">
      <w:pPr>
        <w:pStyle w:val="3"/>
      </w:pPr>
      <w:r>
        <w:t>Guideline 11.3 – Prevention of Hyperkalaemia in the community: sick day rules</w:t>
      </w:r>
    </w:p>
    <w:p w:rsidR="008F03B5" w:rsidRDefault="008F03B5">
      <w:pPr>
        <w:pStyle w:val="a3"/>
        <w:spacing w:before="6"/>
        <w:rPr>
          <w:b/>
          <w:sz w:val="19"/>
        </w:rPr>
      </w:pPr>
    </w:p>
    <w:p w:rsidR="008F03B5" w:rsidRDefault="00586B9B">
      <w:pPr>
        <w:pStyle w:val="a3"/>
        <w:spacing w:line="278" w:lineRule="auto"/>
        <w:ind w:left="217" w:right="892"/>
      </w:pPr>
      <w:r>
        <w:t>We recommend that healthcare professionals provide advice to patients regarding the risks of AKI and hyperkalaemia during acute illness and measures to avoid these complications. (1B)</w:t>
      </w:r>
    </w:p>
    <w:p w:rsidR="008F03B5" w:rsidRDefault="008F03B5">
      <w:pPr>
        <w:pStyle w:val="a3"/>
      </w:pPr>
    </w:p>
    <w:p w:rsidR="008F03B5" w:rsidRDefault="008F03B5">
      <w:pPr>
        <w:pStyle w:val="a3"/>
      </w:pPr>
    </w:p>
    <w:p w:rsidR="008F03B5" w:rsidRDefault="008F03B5">
      <w:pPr>
        <w:pStyle w:val="a3"/>
        <w:spacing w:before="3"/>
        <w:rPr>
          <w:sz w:val="17"/>
        </w:rPr>
      </w:pPr>
    </w:p>
    <w:p w:rsidR="008F03B5" w:rsidRDefault="00586B9B">
      <w:pPr>
        <w:ind w:left="217"/>
        <w:rPr>
          <w:b/>
          <w:sz w:val="24"/>
        </w:rPr>
      </w:pPr>
      <w:r>
        <w:rPr>
          <w:b/>
          <w:color w:val="44536A"/>
          <w:sz w:val="24"/>
        </w:rPr>
        <w:t>Audit measures</w:t>
      </w:r>
    </w:p>
    <w:p w:rsidR="008F03B5" w:rsidRDefault="00586B9B">
      <w:pPr>
        <w:pStyle w:val="a3"/>
        <w:spacing w:before="41" w:line="276" w:lineRule="auto"/>
        <w:ind w:left="938" w:right="506" w:hanging="360"/>
      </w:pPr>
      <w:r>
        <w:t>1. Proportion of patients with severe hyperkalaemia (Serum K+ ≥ 6.5 mmol/l) on admission to hospital who had been provided with ‘Sick Day Rules’ advice.</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spacing w:before="119"/>
        <w:ind w:left="217"/>
        <w:rPr>
          <w:b/>
          <w:sz w:val="24"/>
        </w:rPr>
      </w:pPr>
      <w:r>
        <w:rPr>
          <w:b/>
          <w:color w:val="44536A"/>
          <w:sz w:val="24"/>
        </w:rPr>
        <w:lastRenderedPageBreak/>
        <w:t>Rationale (Guideline 11.1 - 11.3)</w:t>
      </w:r>
    </w:p>
    <w:p w:rsidR="008F03B5" w:rsidRDefault="00586B9B">
      <w:pPr>
        <w:pStyle w:val="a3"/>
        <w:spacing w:before="40" w:line="276" w:lineRule="auto"/>
        <w:ind w:left="217" w:right="546"/>
      </w:pPr>
      <w:r>
        <w:t>Hyperkalaemia is an anticipated complication in patients with a history of CKD, heart failure or diabetes mellitus. Patients requiring RAASi drugs for other indications, e.g. spironolactone for decompensated liver disease, also require surveillance for hyperkalaemia. Blood monitoring is discussed in Guidelines 1.1-1.2. Good communication between primary and secondary care regarding monitoring and drug titration is essential.</w:t>
      </w:r>
    </w:p>
    <w:p w:rsidR="008F03B5" w:rsidRDefault="008F03B5">
      <w:pPr>
        <w:pStyle w:val="a3"/>
        <w:spacing w:before="5"/>
        <w:rPr>
          <w:sz w:val="16"/>
        </w:rPr>
      </w:pPr>
    </w:p>
    <w:p w:rsidR="008F03B5" w:rsidRDefault="00586B9B">
      <w:pPr>
        <w:pStyle w:val="a3"/>
        <w:spacing w:before="1" w:line="276" w:lineRule="auto"/>
        <w:ind w:left="217" w:right="422"/>
      </w:pPr>
      <w:r>
        <w:t>Drug prescribing in the community and out-patient setting is a major factor for the development of hyperkalaemia. The elderly are very susceptible to hyperkalaemia and polypharmacy is a common problem. Increased awareness of drugs that can cause hyperkalaemia and monitoring patients at risk may reduce morbidity, hospital admissions and mortality.</w:t>
      </w:r>
    </w:p>
    <w:p w:rsidR="008F03B5" w:rsidRDefault="008F03B5">
      <w:pPr>
        <w:pStyle w:val="a3"/>
        <w:spacing w:before="7"/>
        <w:rPr>
          <w:sz w:val="16"/>
        </w:rPr>
      </w:pPr>
    </w:p>
    <w:p w:rsidR="008F03B5" w:rsidRDefault="00586B9B">
      <w:pPr>
        <w:pStyle w:val="a3"/>
        <w:ind w:left="217"/>
      </w:pPr>
      <w:r>
        <w:t>Drugs commonly implicated in hyperkalaemia are shown below in Table 8.</w:t>
      </w:r>
    </w:p>
    <w:p w:rsidR="008F03B5" w:rsidRDefault="008F03B5">
      <w:pPr>
        <w:pStyle w:val="a3"/>
        <w:rPr>
          <w:sz w:val="20"/>
        </w:rPr>
      </w:pPr>
    </w:p>
    <w:p w:rsidR="008F03B5" w:rsidRDefault="008F03B5">
      <w:pPr>
        <w:pStyle w:val="a3"/>
        <w:spacing w:before="9"/>
        <w:rPr>
          <w:sz w:val="11"/>
        </w:rPr>
      </w:pPr>
    </w:p>
    <w:tbl>
      <w:tblPr>
        <w:tblStyle w:val="TableNormal"/>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2837"/>
      </w:tblGrid>
      <w:tr w:rsidR="008F03B5">
        <w:trPr>
          <w:trHeight w:val="3672"/>
        </w:trPr>
        <w:tc>
          <w:tcPr>
            <w:tcW w:w="4820" w:type="dxa"/>
            <w:shd w:val="clear" w:color="auto" w:fill="DEEAF6"/>
          </w:tcPr>
          <w:p w:rsidR="008F03B5" w:rsidRDefault="00586B9B">
            <w:pPr>
              <w:pStyle w:val="TableParagraph"/>
              <w:spacing w:line="278" w:lineRule="auto"/>
              <w:ind w:left="107" w:right="196"/>
            </w:pPr>
            <w:r>
              <w:rPr>
                <w:b/>
              </w:rPr>
              <w:t xml:space="preserve">RAASi </w:t>
            </w:r>
            <w:r>
              <w:t>(ACE Inhibitors, Angiotensin II Receptor Blockers, Mineralocorticoid Receptor Antagonists)</w:t>
            </w:r>
          </w:p>
          <w:p w:rsidR="008F03B5" w:rsidRDefault="00586B9B">
            <w:pPr>
              <w:pStyle w:val="TableParagraph"/>
              <w:spacing w:before="194" w:line="456" w:lineRule="auto"/>
              <w:ind w:left="107" w:right="1893"/>
              <w:rPr>
                <w:b/>
              </w:rPr>
            </w:pPr>
            <w:r>
              <w:rPr>
                <w:b/>
              </w:rPr>
              <w:t>Potassium supplements Potassium-sparing diuretics Trimethoprim/ Co-trimoxazole NSAIDs</w:t>
            </w:r>
          </w:p>
          <w:p w:rsidR="008F03B5" w:rsidRDefault="00586B9B">
            <w:pPr>
              <w:pStyle w:val="TableParagraph"/>
              <w:spacing w:line="263" w:lineRule="exact"/>
              <w:ind w:left="107"/>
              <w:rPr>
                <w:b/>
              </w:rPr>
            </w:pPr>
            <w:r>
              <w:rPr>
                <w:b/>
              </w:rPr>
              <w:t>Non-selective beta-blockers</w:t>
            </w:r>
          </w:p>
        </w:tc>
        <w:tc>
          <w:tcPr>
            <w:tcW w:w="2837" w:type="dxa"/>
            <w:shd w:val="clear" w:color="auto" w:fill="FAE3D4"/>
          </w:tcPr>
          <w:p w:rsidR="008F03B5" w:rsidRDefault="00586B9B">
            <w:pPr>
              <w:pStyle w:val="TableParagraph"/>
              <w:spacing w:line="278" w:lineRule="auto"/>
              <w:ind w:left="107" w:right="178"/>
              <w:rPr>
                <w:b/>
              </w:rPr>
            </w:pPr>
            <w:r>
              <w:rPr>
                <w:b/>
              </w:rPr>
              <w:t>RISK OF HYPERKALMAEMIA INCREASED IN:</w:t>
            </w:r>
          </w:p>
          <w:p w:rsidR="008F03B5" w:rsidRDefault="00586B9B">
            <w:pPr>
              <w:pStyle w:val="TableParagraph"/>
              <w:spacing w:before="194" w:line="453" w:lineRule="auto"/>
              <w:ind w:left="107" w:right="1111"/>
              <w:jc w:val="both"/>
            </w:pPr>
            <w:r>
              <w:t>Renal Impairment Diabetes Mellitus Elderly</w:t>
            </w:r>
          </w:p>
          <w:p w:rsidR="008F03B5" w:rsidRDefault="00586B9B">
            <w:pPr>
              <w:pStyle w:val="TableParagraph"/>
              <w:spacing w:before="4"/>
              <w:ind w:left="107"/>
            </w:pPr>
            <w:r>
              <w:t>Use of &gt; 1 RAASi drug</w:t>
            </w:r>
          </w:p>
          <w:p w:rsidR="008F03B5" w:rsidRDefault="008F03B5">
            <w:pPr>
              <w:pStyle w:val="TableParagraph"/>
              <w:spacing w:before="6"/>
              <w:rPr>
                <w:sz w:val="19"/>
              </w:rPr>
            </w:pPr>
          </w:p>
          <w:p w:rsidR="008F03B5" w:rsidRDefault="00586B9B">
            <w:pPr>
              <w:pStyle w:val="TableParagraph"/>
              <w:spacing w:line="278" w:lineRule="auto"/>
              <w:ind w:left="107" w:right="592"/>
            </w:pPr>
            <w:r>
              <w:t>Combining any of these groups of drugs</w:t>
            </w:r>
          </w:p>
        </w:tc>
      </w:tr>
    </w:tbl>
    <w:p w:rsidR="008F03B5" w:rsidRDefault="008F03B5">
      <w:pPr>
        <w:pStyle w:val="a3"/>
        <w:rPr>
          <w:sz w:val="19"/>
        </w:rPr>
      </w:pPr>
    </w:p>
    <w:p w:rsidR="008F03B5" w:rsidRDefault="00586B9B">
      <w:pPr>
        <w:pStyle w:val="3"/>
      </w:pPr>
      <w:r>
        <w:t>Table 8: Drugs implicated in development of hyperkalaemia and exacerbating factors.</w:t>
      </w:r>
    </w:p>
    <w:p w:rsidR="008F03B5" w:rsidRDefault="008F03B5">
      <w:pPr>
        <w:pStyle w:val="a3"/>
        <w:spacing w:before="6"/>
        <w:rPr>
          <w:b/>
          <w:sz w:val="19"/>
        </w:rPr>
      </w:pPr>
    </w:p>
    <w:p w:rsidR="008F03B5" w:rsidRDefault="00586B9B">
      <w:pPr>
        <w:pStyle w:val="a3"/>
        <w:spacing w:line="276" w:lineRule="auto"/>
        <w:ind w:left="217" w:right="336"/>
      </w:pPr>
      <w:r>
        <w:t>The Medicines and Healthcare products Regulatory Agency (MHRA) issued a safety alert, initially in June 2014, regarding the concomitant use of ACEi or ARB with MRAs (i.e. spironolactone or eplerenone) given the increased risk of severe hyperkalaemia particularly in patients with advanced renal impairment</w:t>
      </w:r>
      <w:r w:rsidR="00903055">
        <w:t>.</w:t>
      </w:r>
      <w:r w:rsidR="00903055">
        <w:rPr>
          <w:vertAlign w:val="superscript"/>
        </w:rPr>
        <w:t>1</w:t>
      </w:r>
      <w:r w:rsidR="00903055">
        <w:t xml:space="preserve"> </w:t>
      </w:r>
      <w:r w:rsidR="00903055">
        <w:rPr>
          <w:rFonts w:ascii="宋体" w:eastAsia="宋体" w:hAnsi="宋体" w:cs="宋体" w:hint="eastAsia"/>
        </w:rPr>
        <w:t>。。</w:t>
      </w:r>
      <w:r w:rsidR="00903055">
        <w:t>T</w:t>
      </w:r>
      <w:r>
        <w:t>he MHRA recommend caution in co-prescription of these drugs with regular monitoring of serum biochemistry and discontinuation if hyperkalaemia develops.</w:t>
      </w:r>
    </w:p>
    <w:p w:rsidR="008F03B5" w:rsidRDefault="008F03B5">
      <w:pPr>
        <w:pStyle w:val="a3"/>
        <w:spacing w:before="6"/>
        <w:rPr>
          <w:sz w:val="16"/>
        </w:rPr>
      </w:pPr>
    </w:p>
    <w:p w:rsidR="008F03B5" w:rsidRDefault="00586B9B" w:rsidP="00C07B5E">
      <w:pPr>
        <w:tabs>
          <w:tab w:val="left" w:pos="546"/>
        </w:tabs>
        <w:spacing w:before="41" w:line="276" w:lineRule="auto"/>
        <w:ind w:left="217" w:right="476"/>
      </w:pPr>
      <w:r>
        <w:t>NICE Clinical Guideline on ‘CKD in adults: assessment and management’ states that RAASi should not be</w:t>
      </w:r>
      <w:r w:rsidR="00C07B5E">
        <w:t xml:space="preserve"> </w:t>
      </w:r>
      <w:r>
        <w:t>routinely started in patients with a serum K+ level ≥ 5.0 mmol/l and should be discontinued if serum K+ is ≥</w:t>
      </w:r>
      <w:r w:rsidR="00C07B5E">
        <w:t xml:space="preserve"> 6.0 </w:t>
      </w:r>
      <w:r>
        <w:t>mmol/l</w:t>
      </w:r>
      <w:r w:rsidR="00903055">
        <w:t>.</w:t>
      </w:r>
      <w:r w:rsidR="00903055" w:rsidRPr="00C07B5E">
        <w:rPr>
          <w:vertAlign w:val="superscript"/>
        </w:rPr>
        <w:t>2</w:t>
      </w:r>
      <w:r w:rsidR="00903055">
        <w:t xml:space="preserve"> </w:t>
      </w:r>
      <w:r w:rsidR="00903055">
        <w:rPr>
          <w:rFonts w:ascii="宋体" w:eastAsia="宋体" w:hAnsi="宋体" w:cs="宋体" w:hint="eastAsia"/>
        </w:rPr>
        <w:t>。。</w:t>
      </w:r>
      <w:r w:rsidR="00903055">
        <w:t>T</w:t>
      </w:r>
      <w:r>
        <w:t>he NICE Clinical Guideline on ‘Chronic Heart Failure in adults: assessment and management’ states that serum K+ should be monitored before and after starting a RAASi or changing the dose, but does not specify the K+ level at which RAASi should be avoided or discontinued</w:t>
      </w:r>
      <w:r w:rsidR="00903055">
        <w:t>.</w:t>
      </w:r>
      <w:r w:rsidR="00903055" w:rsidRPr="00C07B5E">
        <w:rPr>
          <w:vertAlign w:val="superscript"/>
        </w:rPr>
        <w:t>3</w:t>
      </w:r>
      <w:r w:rsidR="00903055">
        <w:t xml:space="preserve"> </w:t>
      </w:r>
      <w:r w:rsidR="00903055">
        <w:rPr>
          <w:rFonts w:ascii="宋体" w:eastAsia="宋体" w:hAnsi="宋体" w:cs="宋体" w:hint="eastAsia"/>
        </w:rPr>
        <w:t>。。</w:t>
      </w:r>
      <w:r w:rsidR="00903055">
        <w:t>G</w:t>
      </w:r>
      <w:r>
        <w:t>iven the potential benefits of RAASi therapy in patients with CKD and heart failure, NICE has recently approved the use of SZC and patiromer to facilitate continuing RAASi therapy in selected</w:t>
      </w:r>
      <w:r w:rsidRPr="00C07B5E">
        <w:rPr>
          <w:spacing w:val="-5"/>
        </w:rPr>
        <w:t xml:space="preserve"> </w:t>
      </w:r>
      <w:r>
        <w:t>patients.</w:t>
      </w:r>
      <w:r w:rsidRPr="00C07B5E">
        <w:rPr>
          <w:vertAlign w:val="superscript"/>
        </w:rPr>
        <w:t>4,5</w:t>
      </w:r>
    </w:p>
    <w:p w:rsidR="008F03B5" w:rsidRDefault="00586B9B" w:rsidP="00C07B5E">
      <w:pPr>
        <w:pStyle w:val="a3"/>
        <w:spacing w:before="198" w:line="276" w:lineRule="auto"/>
        <w:ind w:left="217" w:right="452"/>
      </w:pPr>
      <w:r>
        <w:t>Trimethoprim is a first-line antibiotic, most commonly prescribed for simple urinary tract infections (UTI). It can be prescribed alone or in combination with sulfamethoxazole (co-trimoxazole). The mechanism by which trimethoprim causes hyperkalaemia is by reducing renal K+ excretion through competitive inhibition</w:t>
      </w:r>
      <w:r w:rsidR="00C07B5E">
        <w:t xml:space="preserve"> </w:t>
      </w:r>
      <w:r>
        <w:t>of epithelial sodium channels in the distal nephron</w:t>
      </w:r>
      <w:r w:rsidR="00903055">
        <w:t>.</w:t>
      </w:r>
      <w:r w:rsidR="00903055">
        <w:rPr>
          <w:vertAlign w:val="superscript"/>
        </w:rPr>
        <w:t>6</w:t>
      </w:r>
      <w:r w:rsidR="00903055">
        <w:t xml:space="preserve"> </w:t>
      </w:r>
      <w:r w:rsidR="00903055">
        <w:rPr>
          <w:rFonts w:ascii="宋体" w:eastAsia="宋体" w:hAnsi="宋体" w:cs="宋体" w:hint="eastAsia"/>
        </w:rPr>
        <w:t>。。</w:t>
      </w:r>
      <w:r w:rsidR="00903055">
        <w:t>A</w:t>
      </w:r>
      <w:r>
        <w:t xml:space="preserve">n increase in serum K+ level of 0.36 – 1.21 </w:t>
      </w:r>
      <w:r>
        <w:lastRenderedPageBreak/>
        <w:t>mmol/l or higher can occur within 3-10 days of treatment</w:t>
      </w:r>
      <w:r w:rsidR="00903055">
        <w:t>.</w:t>
      </w:r>
      <w:r w:rsidR="00903055">
        <w:rPr>
          <w:vertAlign w:val="superscript"/>
        </w:rPr>
        <w:t>7</w:t>
      </w:r>
      <w:r w:rsidR="00903055">
        <w:t xml:space="preserve"> </w:t>
      </w:r>
      <w:r w:rsidR="00903055">
        <w:rPr>
          <w:rFonts w:ascii="宋体" w:eastAsia="宋体" w:hAnsi="宋体" w:cs="宋体" w:hint="eastAsia"/>
        </w:rPr>
        <w:t>。。</w:t>
      </w:r>
      <w:r w:rsidR="00903055">
        <w:t>T</w:t>
      </w:r>
      <w:r>
        <w:t>reatment with RAASi or NSAIDs exacerbates hyperkalaemia.</w:t>
      </w:r>
      <w:r>
        <w:rPr>
          <w:vertAlign w:val="superscript"/>
        </w:rPr>
        <w:t>6</w:t>
      </w:r>
    </w:p>
    <w:p w:rsidR="008F03B5" w:rsidRDefault="00586B9B">
      <w:pPr>
        <w:pStyle w:val="a3"/>
        <w:spacing w:before="3" w:line="276" w:lineRule="auto"/>
        <w:ind w:left="217" w:right="345"/>
      </w:pPr>
      <w:r>
        <w:t>There have been multiple reports confirming the risk of hyperkalaemia and AKI in patients treated with trimethoprim</w:t>
      </w:r>
      <w:r w:rsidR="00903055">
        <w:t>.</w:t>
      </w:r>
      <w:r w:rsidR="00903055">
        <w:rPr>
          <w:vertAlign w:val="superscript"/>
        </w:rPr>
        <w:t>8-10</w:t>
      </w:r>
      <w:r w:rsidR="00903055">
        <w:t xml:space="preserve"> </w:t>
      </w:r>
      <w:r w:rsidR="00903055">
        <w:rPr>
          <w:rFonts w:ascii="宋体" w:eastAsia="宋体" w:hAnsi="宋体" w:cs="宋体" w:hint="eastAsia"/>
        </w:rPr>
        <w:t>。。</w:t>
      </w:r>
      <w:r w:rsidR="00903055">
        <w:t>A</w:t>
      </w:r>
      <w:r>
        <w:t>ntoniou et al reported a 7-fold increased risk of hospital admission for hyperkalaemia in elderly patients (age ≥ 66 years) taking trimethoprim- sulfamethoxazole compared with other antibiotics for</w:t>
      </w:r>
      <w:r w:rsidR="00C07B5E">
        <w:t xml:space="preserve"> </w:t>
      </w:r>
      <w:r>
        <w:t>UTI</w:t>
      </w:r>
      <w:r w:rsidR="00903055">
        <w:t>.</w:t>
      </w:r>
      <w:r w:rsidR="00903055">
        <w:rPr>
          <w:vertAlign w:val="superscript"/>
        </w:rPr>
        <w:t>8</w:t>
      </w:r>
      <w:r w:rsidR="00903055">
        <w:t xml:space="preserve"> </w:t>
      </w:r>
      <w:r w:rsidR="00903055">
        <w:rPr>
          <w:rFonts w:ascii="宋体" w:eastAsia="宋体" w:hAnsi="宋体" w:cs="宋体" w:hint="eastAsia"/>
        </w:rPr>
        <w:t>。。</w:t>
      </w:r>
      <w:r w:rsidR="00903055">
        <w:t>I</w:t>
      </w:r>
      <w:r>
        <w:t>n a large UK cohort study (n=1,191, 905) of older adults (age ≥ 65 years), Crellin et al demonstrated an increased risk of developing hyperkalaemia (OR 2.27) and AKI (OR 1.72) within 14 days of trimethoprim prescription compared with amoxicillin</w:t>
      </w:r>
      <w:r w:rsidR="00903055">
        <w:t>.</w:t>
      </w:r>
      <w:r w:rsidR="00903055">
        <w:rPr>
          <w:vertAlign w:val="superscript"/>
        </w:rPr>
        <w:t>9</w:t>
      </w:r>
      <w:r w:rsidR="00903055">
        <w:t xml:space="preserve"> </w:t>
      </w:r>
      <w:r w:rsidR="00903055">
        <w:rPr>
          <w:rFonts w:ascii="宋体" w:eastAsia="宋体" w:hAnsi="宋体" w:cs="宋体" w:hint="eastAsia"/>
        </w:rPr>
        <w:t>。。</w:t>
      </w:r>
      <w:r w:rsidR="00903055">
        <w:t>T</w:t>
      </w:r>
      <w:r>
        <w:t>he risk of hyperkalaemia has been shown in patients receiving high-dose</w:t>
      </w:r>
      <w:r>
        <w:rPr>
          <w:vertAlign w:val="superscript"/>
        </w:rPr>
        <w:t>11,</w:t>
      </w:r>
      <w:r>
        <w:t xml:space="preserve"> </w:t>
      </w:r>
      <w:r>
        <w:rPr>
          <w:vertAlign w:val="superscript"/>
        </w:rPr>
        <w:t>12</w:t>
      </w:r>
      <w:r>
        <w:t xml:space="preserve"> and low-dose</w:t>
      </w:r>
      <w:r>
        <w:rPr>
          <w:vertAlign w:val="superscript"/>
        </w:rPr>
        <w:t>10</w:t>
      </w:r>
      <w:r>
        <w:t xml:space="preserve"> trimethoprim.</w:t>
      </w:r>
    </w:p>
    <w:p w:rsidR="008F03B5" w:rsidRDefault="009A3CBD">
      <w:pPr>
        <w:pStyle w:val="a3"/>
        <w:spacing w:before="8"/>
        <w:rPr>
          <w:sz w:val="19"/>
        </w:rPr>
      </w:pPr>
      <w:r>
        <w:pict>
          <v:shape id="_x0000_s1072" type="#_x0000_t202" style="position:absolute;margin-left:78.25pt;margin-top:14.35pt;width:439.45pt;height:117.05pt;z-index:-15723520;mso-wrap-distance-left:0;mso-wrap-distance-right:0;mso-position-horizontal-relative:page" fillcolor="#deebf7">
            <v:textbox inset="0,0,0,0">
              <w:txbxContent>
                <w:p w:rsidR="008F03B5" w:rsidRDefault="00586B9B">
                  <w:pPr>
                    <w:spacing w:before="191"/>
                    <w:ind w:left="143"/>
                    <w:rPr>
                      <w:b/>
                      <w:sz w:val="24"/>
                    </w:rPr>
                  </w:pPr>
                  <w:r>
                    <w:rPr>
                      <w:b/>
                      <w:sz w:val="24"/>
                    </w:rPr>
                    <w:t>Trimethoprim</w:t>
                  </w:r>
                </w:p>
                <w:p w:rsidR="008F03B5" w:rsidRDefault="00586B9B" w:rsidP="00586B9B">
                  <w:pPr>
                    <w:numPr>
                      <w:ilvl w:val="0"/>
                      <w:numId w:val="46"/>
                    </w:numPr>
                    <w:tabs>
                      <w:tab w:val="left" w:pos="503"/>
                      <w:tab w:val="left" w:pos="504"/>
                    </w:tabs>
                    <w:spacing w:before="165" w:line="273" w:lineRule="auto"/>
                    <w:ind w:right="421"/>
                    <w:rPr>
                      <w:sz w:val="24"/>
                    </w:rPr>
                  </w:pPr>
                  <w:r>
                    <w:rPr>
                      <w:sz w:val="24"/>
                    </w:rPr>
                    <w:t>Use trimethoprim with caution in patients with severe renal impairment (eGFR</w:t>
                  </w:r>
                  <w:r>
                    <w:rPr>
                      <w:spacing w:val="-31"/>
                      <w:sz w:val="24"/>
                    </w:rPr>
                    <w:t xml:space="preserve"> </w:t>
                  </w:r>
                  <w:r>
                    <w:rPr>
                      <w:sz w:val="24"/>
                    </w:rPr>
                    <w:t>&lt; 30 ml/min)</w:t>
                  </w:r>
                </w:p>
                <w:p w:rsidR="008F03B5" w:rsidRDefault="008F03B5">
                  <w:pPr>
                    <w:pStyle w:val="a3"/>
                    <w:spacing w:before="5"/>
                    <w:rPr>
                      <w:sz w:val="24"/>
                    </w:rPr>
                  </w:pPr>
                </w:p>
                <w:p w:rsidR="008F03B5" w:rsidRDefault="00586B9B" w:rsidP="00586B9B">
                  <w:pPr>
                    <w:numPr>
                      <w:ilvl w:val="0"/>
                      <w:numId w:val="46"/>
                    </w:numPr>
                    <w:tabs>
                      <w:tab w:val="left" w:pos="503"/>
                      <w:tab w:val="left" w:pos="504"/>
                    </w:tabs>
                    <w:spacing w:line="273" w:lineRule="auto"/>
                    <w:ind w:right="1096"/>
                    <w:rPr>
                      <w:sz w:val="24"/>
                    </w:rPr>
                  </w:pPr>
                  <w:r>
                    <w:rPr>
                      <w:sz w:val="24"/>
                    </w:rPr>
                    <w:t>Avoid trimethoprim in patients receiving RAASi drugs (high risk of AKI and hyperkalaemia)</w:t>
                  </w:r>
                </w:p>
              </w:txbxContent>
            </v:textbox>
            <w10:wrap type="topAndBottom" anchorx="page"/>
          </v:shape>
        </w:pict>
      </w:r>
    </w:p>
    <w:p w:rsidR="008F03B5" w:rsidRDefault="008F03B5">
      <w:pPr>
        <w:pStyle w:val="a3"/>
        <w:rPr>
          <w:sz w:val="26"/>
        </w:rPr>
      </w:pPr>
    </w:p>
    <w:p w:rsidR="008F03B5" w:rsidRDefault="008F03B5">
      <w:pPr>
        <w:pStyle w:val="a3"/>
        <w:spacing w:before="10"/>
        <w:rPr>
          <w:sz w:val="20"/>
        </w:rPr>
      </w:pPr>
    </w:p>
    <w:p w:rsidR="008F03B5" w:rsidRDefault="00586B9B">
      <w:pPr>
        <w:pStyle w:val="a3"/>
        <w:spacing w:line="276" w:lineRule="auto"/>
        <w:ind w:left="217" w:right="359"/>
      </w:pPr>
      <w:r>
        <w:t>Nutritional intake is another important factor in preventing hyperkalaemia, particularly in patients with CKD. In patients with advanced CKD, the ability to adapt to an increased potassium intake diminishes and becomes almost negligible in ESRD, making these patients very susceptible to hyperkalaemia</w:t>
      </w:r>
      <w:r w:rsidR="00903055">
        <w:t>.</w:t>
      </w:r>
      <w:r w:rsidR="00903055">
        <w:rPr>
          <w:vertAlign w:val="superscript"/>
        </w:rPr>
        <w:t>13</w:t>
      </w:r>
      <w:r w:rsidR="00903055">
        <w:t xml:space="preserve"> </w:t>
      </w:r>
      <w:r w:rsidR="00903055">
        <w:rPr>
          <w:rFonts w:ascii="宋体" w:eastAsia="宋体" w:hAnsi="宋体" w:cs="宋体" w:hint="eastAsia"/>
        </w:rPr>
        <w:t>。。</w:t>
      </w:r>
      <w:r w:rsidR="00903055">
        <w:t>A</w:t>
      </w:r>
      <w:r>
        <w:t xml:space="preserve"> low-K+</w:t>
      </w:r>
      <w:r w:rsidR="00C07B5E">
        <w:t xml:space="preserve"> </w:t>
      </w:r>
      <w:r>
        <w:t>diet is usually instituted when the serum K+ is consistently ≥ 5.5 mmol/l and has been discussed in Guideline 5.1.</w:t>
      </w:r>
    </w:p>
    <w:p w:rsidR="008F03B5" w:rsidRDefault="008F03B5">
      <w:pPr>
        <w:pStyle w:val="a3"/>
        <w:spacing w:before="5"/>
        <w:rPr>
          <w:sz w:val="16"/>
        </w:rPr>
      </w:pPr>
    </w:p>
    <w:p w:rsidR="008F03B5" w:rsidRDefault="00586B9B">
      <w:pPr>
        <w:pStyle w:val="a3"/>
        <w:spacing w:line="276" w:lineRule="auto"/>
        <w:ind w:left="217" w:right="542"/>
      </w:pPr>
      <w:r>
        <w:t>The bowel compensates for the reduction in renal K+ loss as renal function declines. The capacity for the bowel to secrete K+ is inversely related to residual renal function and becomes the main route of K+ excretion in patients with ESRD</w:t>
      </w:r>
      <w:r w:rsidR="00903055">
        <w:t>.</w:t>
      </w:r>
      <w:r w:rsidR="00903055">
        <w:rPr>
          <w:vertAlign w:val="superscript"/>
        </w:rPr>
        <w:t>13,14</w:t>
      </w:r>
      <w:r w:rsidR="00903055">
        <w:t xml:space="preserve"> </w:t>
      </w:r>
      <w:r w:rsidR="00903055">
        <w:rPr>
          <w:rFonts w:ascii="宋体" w:eastAsia="宋体" w:hAnsi="宋体" w:cs="宋体" w:hint="eastAsia"/>
        </w:rPr>
        <w:t>。。</w:t>
      </w:r>
      <w:r w:rsidR="00903055">
        <w:t>T</w:t>
      </w:r>
      <w:r>
        <w:t>herefore, constipation predisposes to hyperkalaemia in patients with renal impairment.</w:t>
      </w:r>
    </w:p>
    <w:p w:rsidR="008F03B5" w:rsidRDefault="008F03B5">
      <w:pPr>
        <w:pStyle w:val="a3"/>
        <w:spacing w:before="5"/>
        <w:rPr>
          <w:sz w:val="16"/>
        </w:rPr>
      </w:pPr>
    </w:p>
    <w:p w:rsidR="008F03B5" w:rsidRDefault="00586B9B">
      <w:pPr>
        <w:pStyle w:val="a3"/>
        <w:spacing w:line="276" w:lineRule="auto"/>
        <w:ind w:left="217" w:right="311"/>
      </w:pPr>
      <w:r>
        <w:t>The ‘Sick day rules’ provides information to patients taking drugs known to cause AKI and hyperkalaemia (e.g. RAASi, NSAIDs) advising temporary discontinuation of these medications during acute illness, particularly in the context of volume depletion (e.g. diarrhoea and/or vomiting, fevers/ rigors). The use of this strategy is controversial. The NICE ‘Clinical Guideline on AKI’ advocates use of sick day guidance</w:t>
      </w:r>
      <w:r w:rsidR="00903055">
        <w:t>.</w:t>
      </w:r>
      <w:r w:rsidR="00903055">
        <w:rPr>
          <w:vertAlign w:val="superscript"/>
        </w:rPr>
        <w:t>15</w:t>
      </w:r>
      <w:r w:rsidR="00903055">
        <w:t xml:space="preserve"> </w:t>
      </w:r>
      <w:r w:rsidR="00903055">
        <w:rPr>
          <w:rFonts w:ascii="宋体" w:eastAsia="宋体" w:hAnsi="宋体" w:cs="宋体" w:hint="eastAsia"/>
        </w:rPr>
        <w:t>。。</w:t>
      </w:r>
      <w:r w:rsidR="00903055">
        <w:t>O</w:t>
      </w:r>
      <w:r>
        <w:t>n</w:t>
      </w:r>
      <w:r w:rsidR="00C07B5E">
        <w:t xml:space="preserve"> </w:t>
      </w:r>
      <w:r>
        <w:t>the other hand, ‘Think Kidneys’ urges caution as the evidence-base for this guidance is weak, discontinuation of cardio-protective medication could exacerbate underlying condition and patients may not restart medication on recovery or achieve previous dosage</w:t>
      </w:r>
      <w:r w:rsidR="00903055">
        <w:t>.</w:t>
      </w:r>
      <w:r w:rsidR="00903055">
        <w:rPr>
          <w:vertAlign w:val="superscript"/>
        </w:rPr>
        <w:t>16</w:t>
      </w:r>
      <w:r w:rsidR="00903055">
        <w:t xml:space="preserve"> </w:t>
      </w:r>
      <w:r w:rsidR="00903055">
        <w:rPr>
          <w:rFonts w:ascii="宋体" w:eastAsia="宋体" w:hAnsi="宋体" w:cs="宋体" w:hint="eastAsia"/>
        </w:rPr>
        <w:t>。。</w:t>
      </w:r>
      <w:r w:rsidR="00903055">
        <w:t>T</w:t>
      </w:r>
      <w:r>
        <w:t>he ‘Think Kidneys’ Programme Board recommends that it is reasonable to provide sick day guidance to patients at high risk of AKI based on an individual risk assessment, but a more systematic roll-out of the ‘Sick day rules’ should be undertaken in the context of a formal evaluation.</w:t>
      </w:r>
    </w:p>
    <w:p w:rsidR="008F03B5" w:rsidRDefault="008F03B5">
      <w:pPr>
        <w:pStyle w:val="a3"/>
        <w:spacing w:before="5"/>
        <w:rPr>
          <w:sz w:val="16"/>
        </w:rPr>
      </w:pPr>
    </w:p>
    <w:p w:rsidR="008F03B5" w:rsidRDefault="00586B9B" w:rsidP="00C07B5E">
      <w:pPr>
        <w:pStyle w:val="a3"/>
        <w:spacing w:line="273" w:lineRule="auto"/>
        <w:ind w:left="217" w:right="314"/>
      </w:pPr>
      <w:r>
        <w:t>In clinical practice, many patients admitted to hospital with an AKI at initial presentation are receiving one or more drugs that can exacerbate hyperkalaemia. It is standard practice to withhold these until renal</w:t>
      </w:r>
      <w:r w:rsidR="00C07B5E">
        <w:t xml:space="preserve"> </w:t>
      </w:r>
      <w:r>
        <w:t>recovery. The Sick Day rules moves the timeline to discontinuation earlier in patients at risk of AKI and if applied appropriately, may reduce the risk of severe hyperkalaemia during acute illness.</w:t>
      </w:r>
    </w:p>
    <w:p w:rsidR="008F03B5" w:rsidRDefault="008F03B5">
      <w:pPr>
        <w:pStyle w:val="a3"/>
        <w:spacing w:before="7"/>
        <w:rPr>
          <w:sz w:val="19"/>
        </w:rPr>
      </w:pPr>
    </w:p>
    <w:p w:rsidR="008F03B5" w:rsidRDefault="00586B9B">
      <w:pPr>
        <w:ind w:left="217"/>
        <w:rPr>
          <w:b/>
          <w:sz w:val="24"/>
        </w:rPr>
      </w:pPr>
      <w:r>
        <w:rPr>
          <w:b/>
          <w:color w:val="44536A"/>
          <w:sz w:val="24"/>
        </w:rPr>
        <w:lastRenderedPageBreak/>
        <w:t>References</w:t>
      </w:r>
    </w:p>
    <w:p w:rsidR="008F03B5" w:rsidRDefault="00586B9B" w:rsidP="00586B9B">
      <w:pPr>
        <w:pStyle w:val="a4"/>
        <w:numPr>
          <w:ilvl w:val="2"/>
          <w:numId w:val="47"/>
        </w:numPr>
        <w:tabs>
          <w:tab w:val="left" w:pos="939"/>
        </w:tabs>
        <w:spacing w:before="41" w:line="276" w:lineRule="auto"/>
        <w:ind w:right="945"/>
      </w:pPr>
      <w:r>
        <w:t>Medicines and Healthcare products Regulatory Agency -Spironolactone and renin-angiotensin system drugs in heart failure: risk of potentially fatal hyperkalaemia - February</w:t>
      </w:r>
      <w:r>
        <w:rPr>
          <w:spacing w:val="-19"/>
        </w:rPr>
        <w:t xml:space="preserve"> </w:t>
      </w:r>
      <w:r>
        <w:t>2016.</w:t>
      </w:r>
    </w:p>
    <w:p w:rsidR="008F03B5" w:rsidRDefault="008F03B5">
      <w:pPr>
        <w:spacing w:line="278" w:lineRule="auto"/>
        <w:sectPr w:rsidR="008F03B5">
          <w:pgSz w:w="11910" w:h="16840"/>
          <w:pgMar w:top="1540" w:right="780" w:bottom="1100" w:left="860" w:header="425" w:footer="912" w:gutter="0"/>
          <w:cols w:space="720"/>
        </w:sectPr>
      </w:pPr>
    </w:p>
    <w:p w:rsidR="008F03B5" w:rsidRDefault="00586B9B">
      <w:pPr>
        <w:pStyle w:val="2"/>
        <w:spacing w:before="119"/>
      </w:pPr>
      <w:bookmarkStart w:id="14" w:name="_bookmark20"/>
      <w:bookmarkEnd w:id="14"/>
      <w:r>
        <w:rPr>
          <w:color w:val="1F4E79"/>
        </w:rPr>
        <w:lastRenderedPageBreak/>
        <w:t>Treatment Algorithm: Community (Guideline 12.1)</w:t>
      </w:r>
    </w:p>
    <w:p w:rsidR="008F03B5" w:rsidRDefault="00586B9B">
      <w:pPr>
        <w:pStyle w:val="3"/>
        <w:spacing w:before="163"/>
      </w:pPr>
      <w:r>
        <w:t>Guideline 12.1 – Treatment Algorithm for Hyperkalaemia in the community</w:t>
      </w:r>
    </w:p>
    <w:p w:rsidR="008F03B5" w:rsidRDefault="008F03B5">
      <w:pPr>
        <w:pStyle w:val="a3"/>
        <w:spacing w:before="5"/>
        <w:rPr>
          <w:b/>
          <w:sz w:val="19"/>
        </w:rPr>
      </w:pPr>
    </w:p>
    <w:p w:rsidR="008F03B5" w:rsidRDefault="00586B9B">
      <w:pPr>
        <w:pStyle w:val="a3"/>
        <w:spacing w:before="1" w:line="278" w:lineRule="auto"/>
        <w:ind w:left="217" w:right="333"/>
      </w:pPr>
      <w:r>
        <w:t>We recommend that the treatment of hyperkalaemia in patients in the community and out-patient setting is guided by its severity and clinical condition of the patient as summarised in the treatment algorithm. (1B)</w:t>
      </w:r>
    </w:p>
    <w:p w:rsidR="008F03B5" w:rsidRDefault="008F03B5">
      <w:pPr>
        <w:pStyle w:val="a3"/>
      </w:pPr>
    </w:p>
    <w:p w:rsidR="008F03B5" w:rsidRDefault="008F03B5">
      <w:pPr>
        <w:pStyle w:val="a3"/>
      </w:pPr>
    </w:p>
    <w:p w:rsidR="008F03B5" w:rsidRDefault="008F03B5">
      <w:pPr>
        <w:pStyle w:val="a3"/>
        <w:spacing w:before="2"/>
        <w:rPr>
          <w:sz w:val="17"/>
        </w:rPr>
      </w:pPr>
    </w:p>
    <w:p w:rsidR="008F03B5" w:rsidRDefault="00586B9B">
      <w:pPr>
        <w:spacing w:before="1"/>
        <w:ind w:left="217"/>
        <w:rPr>
          <w:b/>
          <w:sz w:val="24"/>
        </w:rPr>
      </w:pPr>
      <w:r>
        <w:rPr>
          <w:b/>
          <w:color w:val="44536A"/>
          <w:sz w:val="24"/>
        </w:rPr>
        <w:t>Rationale (Guideline 12.1)</w:t>
      </w:r>
    </w:p>
    <w:p w:rsidR="008F03B5" w:rsidRDefault="00586B9B">
      <w:pPr>
        <w:pStyle w:val="a3"/>
        <w:spacing w:before="160" w:line="278" w:lineRule="auto"/>
        <w:ind w:left="217"/>
      </w:pPr>
      <w:r>
        <w:t>Hyperkalaemia is commonly detected in the community and the approach to monitoring and treatment is variable. An algorithm has been designed to assist clinicians in the out-patient and primary care settings as shown in Appendix 5.</w:t>
      </w:r>
    </w:p>
    <w:p w:rsidR="008F03B5" w:rsidRDefault="00586B9B">
      <w:pPr>
        <w:pStyle w:val="a3"/>
        <w:spacing w:before="5" w:line="278" w:lineRule="auto"/>
        <w:ind w:left="217" w:right="481"/>
      </w:pPr>
      <w:r>
        <w:t>Patients with a serum K+ &lt; 5.5 mmol/l do not require any specific treatment. Patients with persistent mild hyperkalaemia (K+ 5.5 – 5.9 mmol/l) warrant a review of medication (e.g. RAASi) and dietary K+ intake.</w:t>
      </w:r>
      <w:r w:rsidR="00C07B5E">
        <w:t xml:space="preserve"> </w:t>
      </w:r>
      <w:r>
        <w:t>Treatment of metabolic acidosis (serum bicarbonate &lt; 22 mmol/l) and initiation of diuretics may be helpful in chronic hyperkalaemia.</w:t>
      </w:r>
    </w:p>
    <w:p w:rsidR="008F03B5" w:rsidRDefault="00586B9B">
      <w:pPr>
        <w:pStyle w:val="a3"/>
        <w:spacing w:before="195" w:line="276" w:lineRule="auto"/>
        <w:ind w:left="217" w:right="393"/>
      </w:pPr>
      <w:r>
        <w:t>Patients with persistent moderate hyperkalaemia (K+ 6.0 – 0.4 mmol/l) who are not acutely unwell require similar considerations – medication review, treatment of metabolic acidosis and a low K+ diet. However, some patients may be candidates for a potassium binder (Patiromer or SZC) if they meet the NICE criteria as discussed in Guidelines 9 and 10.</w:t>
      </w:r>
    </w:p>
    <w:p w:rsidR="008F03B5" w:rsidRDefault="008F03B5">
      <w:pPr>
        <w:pStyle w:val="a3"/>
        <w:spacing w:before="5"/>
        <w:rPr>
          <w:sz w:val="16"/>
        </w:rPr>
      </w:pPr>
    </w:p>
    <w:p w:rsidR="008F03B5" w:rsidRDefault="00586B9B" w:rsidP="00C07B5E">
      <w:pPr>
        <w:pStyle w:val="a3"/>
        <w:ind w:left="217"/>
      </w:pPr>
      <w:r>
        <w:t>Patients with moderate hyperkalaemia who are acutely unwell and those with severe hyperkalaemia (K+ ≥</w:t>
      </w:r>
      <w:r w:rsidR="00C07B5E">
        <w:t xml:space="preserve"> 6.5</w:t>
      </w:r>
      <w:r>
        <w:t>mmol/l) warrant referral to hospital for urgent assessment. RAASi drugs should be withheld until recovery.</w:t>
      </w:r>
    </w:p>
    <w:p w:rsidR="008F03B5" w:rsidRDefault="00586B9B">
      <w:pPr>
        <w:pStyle w:val="a3"/>
        <w:spacing w:before="196" w:line="276" w:lineRule="auto"/>
        <w:ind w:left="217" w:right="1130"/>
      </w:pPr>
      <w:r>
        <w:t>Blood monitoring is essential after a hyperkalaemic event and the urgency is guided by the severity. Recommended intervals for blood monitoring are discussed in Guideline 1.1-1.2. Recurrence of hyperkalaemia is common, particularly in patients with CKD, therefore it is important to consider preventative measures.</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rPr>
          <w:sz w:val="20"/>
        </w:rPr>
      </w:pPr>
    </w:p>
    <w:p w:rsidR="008F03B5" w:rsidRDefault="008F03B5">
      <w:pPr>
        <w:pStyle w:val="a3"/>
        <w:rPr>
          <w:sz w:val="20"/>
        </w:rPr>
      </w:pPr>
    </w:p>
    <w:p w:rsidR="008F03B5" w:rsidRDefault="008F03B5">
      <w:pPr>
        <w:pStyle w:val="a3"/>
        <w:rPr>
          <w:sz w:val="20"/>
        </w:rPr>
      </w:pPr>
    </w:p>
    <w:p w:rsidR="008F03B5" w:rsidRDefault="008F03B5">
      <w:pPr>
        <w:pStyle w:val="a3"/>
        <w:rPr>
          <w:sz w:val="20"/>
        </w:rPr>
      </w:pPr>
    </w:p>
    <w:p w:rsidR="008F03B5" w:rsidRDefault="00586B9B">
      <w:pPr>
        <w:spacing w:before="154"/>
        <w:ind w:left="818" w:right="894"/>
        <w:jc w:val="center"/>
        <w:rPr>
          <w:b/>
          <w:sz w:val="36"/>
        </w:rPr>
      </w:pPr>
      <w:r>
        <w:rPr>
          <w:b/>
          <w:color w:val="44536A"/>
          <w:sz w:val="36"/>
        </w:rPr>
        <w:t>Section 3</w:t>
      </w:r>
    </w:p>
    <w:p w:rsidR="008F03B5" w:rsidRDefault="008F03B5">
      <w:pPr>
        <w:pStyle w:val="a3"/>
        <w:spacing w:before="9"/>
        <w:rPr>
          <w:b/>
          <w:sz w:val="46"/>
        </w:rPr>
      </w:pPr>
    </w:p>
    <w:p w:rsidR="008F03B5" w:rsidRDefault="00586B9B">
      <w:pPr>
        <w:spacing w:line="276" w:lineRule="auto"/>
        <w:ind w:left="2725" w:right="2808"/>
        <w:jc w:val="center"/>
        <w:rPr>
          <w:b/>
          <w:sz w:val="36"/>
        </w:rPr>
      </w:pPr>
      <w:r>
        <w:rPr>
          <w:b/>
          <w:color w:val="44536A"/>
          <w:sz w:val="36"/>
        </w:rPr>
        <w:t>Management of Hyperkalaemia in Resuscitation</w:t>
      </w:r>
    </w:p>
    <w:p w:rsidR="008F03B5" w:rsidRDefault="008F03B5">
      <w:pPr>
        <w:spacing w:line="276" w:lineRule="auto"/>
        <w:jc w:val="center"/>
        <w:rPr>
          <w:sz w:val="36"/>
        </w:rPr>
        <w:sectPr w:rsidR="008F03B5">
          <w:pgSz w:w="11910" w:h="16840"/>
          <w:pgMar w:top="1540" w:right="780" w:bottom="1100" w:left="860" w:header="425" w:footer="912" w:gutter="0"/>
          <w:cols w:space="720"/>
        </w:sectPr>
      </w:pPr>
    </w:p>
    <w:p w:rsidR="008F03B5" w:rsidRDefault="00586B9B">
      <w:pPr>
        <w:pStyle w:val="1"/>
        <w:spacing w:before="119"/>
      </w:pPr>
      <w:bookmarkStart w:id="15" w:name="_bookmark33"/>
      <w:bookmarkEnd w:id="15"/>
      <w:r>
        <w:rPr>
          <w:color w:val="44536A"/>
        </w:rPr>
        <w:lastRenderedPageBreak/>
        <w:t>Hyperkalaemia in Resuscitation</w:t>
      </w:r>
    </w:p>
    <w:p w:rsidR="008F03B5" w:rsidRDefault="00586B9B">
      <w:pPr>
        <w:pStyle w:val="2"/>
        <w:spacing w:before="251"/>
      </w:pPr>
      <w:bookmarkStart w:id="16" w:name="_bookmark34"/>
      <w:bookmarkEnd w:id="16"/>
      <w:r>
        <w:rPr>
          <w:color w:val="1F4E79"/>
        </w:rPr>
        <w:t>Introduction</w:t>
      </w:r>
    </w:p>
    <w:p w:rsidR="008F03B5" w:rsidRDefault="00586B9B">
      <w:pPr>
        <w:pStyle w:val="a3"/>
        <w:spacing w:before="43" w:line="276" w:lineRule="auto"/>
        <w:ind w:left="217" w:right="896"/>
      </w:pPr>
      <w:r>
        <w:t>Hyperkalaemia is an uncommon, but potentially reversible cause of cardiac arrest</w:t>
      </w:r>
      <w:r w:rsidR="00903055">
        <w:t>.</w:t>
      </w:r>
      <w:r w:rsidR="00903055">
        <w:rPr>
          <w:vertAlign w:val="superscript"/>
        </w:rPr>
        <w:t>1,</w:t>
      </w:r>
      <w:r w:rsidR="00903055">
        <w:t xml:space="preserve"> </w:t>
      </w:r>
      <w:r w:rsidR="00903055">
        <w:rPr>
          <w:vertAlign w:val="superscript"/>
        </w:rPr>
        <w:t>2</w:t>
      </w:r>
      <w:r w:rsidR="00903055">
        <w:t xml:space="preserve"> </w:t>
      </w:r>
      <w:r w:rsidR="00903055">
        <w:rPr>
          <w:rFonts w:ascii="宋体" w:eastAsia="宋体" w:hAnsi="宋体" w:cs="宋体" w:hint="eastAsia"/>
        </w:rPr>
        <w:t>。。</w:t>
      </w:r>
      <w:r w:rsidR="00903055">
        <w:t>I</w:t>
      </w:r>
      <w:r>
        <w:t>t most often occurs in patients with pre-existing renal disease or in the context of an acute kidney injury. Patients receiving long-term haemodialysis (HD) are most at risk of hyperkalaemia. Cardiac arrest can occur in hospital, within an out-patient dialysis unit or out of hospital, but hyperkalaemia should be considered in all settings in patients at risk. Patients on long-term HD are one of the highest risk groups for out- of-hospital cardiac arrest, occurring 20 times more frequently than in the general population.</w:t>
      </w:r>
      <w:r>
        <w:rPr>
          <w:vertAlign w:val="superscript"/>
        </w:rPr>
        <w:t>3</w:t>
      </w:r>
    </w:p>
    <w:p w:rsidR="008F03B5" w:rsidRDefault="008F03B5">
      <w:pPr>
        <w:pStyle w:val="a3"/>
        <w:spacing w:before="2"/>
        <w:rPr>
          <w:sz w:val="25"/>
        </w:rPr>
      </w:pPr>
    </w:p>
    <w:p w:rsidR="008F03B5" w:rsidRDefault="00586B9B">
      <w:pPr>
        <w:pStyle w:val="a3"/>
        <w:spacing w:line="276" w:lineRule="auto"/>
        <w:ind w:left="217" w:right="820"/>
      </w:pPr>
      <w:r>
        <w:t>The reported incidence of in-hospital hyperkalaemic cardiac arrest is variable. Wallmuller et al found hyperkalaemia as the primary aetiology in only 1% of in-hospital cardiac arrests (n=1041) although it was the most common metabolic cause (47%)</w:t>
      </w:r>
      <w:r w:rsidR="00903055">
        <w:t>.</w:t>
      </w:r>
      <w:r w:rsidR="00903055">
        <w:rPr>
          <w:vertAlign w:val="superscript"/>
        </w:rPr>
        <w:t>4</w:t>
      </w:r>
      <w:r w:rsidR="00903055">
        <w:t xml:space="preserve"> </w:t>
      </w:r>
      <w:r w:rsidR="00903055">
        <w:rPr>
          <w:rFonts w:ascii="宋体" w:eastAsia="宋体" w:hAnsi="宋体" w:cs="宋体" w:hint="eastAsia"/>
        </w:rPr>
        <w:t>。。</w:t>
      </w:r>
      <w:r w:rsidR="00903055">
        <w:t>I</w:t>
      </w:r>
      <w:r>
        <w:t>n contrast, Wang et al</w:t>
      </w:r>
      <w:r>
        <w:rPr>
          <w:vertAlign w:val="superscript"/>
        </w:rPr>
        <w:t>5</w:t>
      </w:r>
      <w:r>
        <w:t xml:space="preserve"> reported an incidence of 12% (n=1114) and Saarinen et al</w:t>
      </w:r>
      <w:r>
        <w:rPr>
          <w:vertAlign w:val="superscript"/>
        </w:rPr>
        <w:t>6</w:t>
      </w:r>
      <w:r>
        <w:t xml:space="preserve"> reported an incidence of 13% (n=104) in patients with PEA as the initial rhythm following in-hospital cardiac arrest (IHCA).</w:t>
      </w:r>
    </w:p>
    <w:p w:rsidR="008F03B5" w:rsidRDefault="008F03B5">
      <w:pPr>
        <w:pStyle w:val="a3"/>
        <w:spacing w:before="3"/>
        <w:rPr>
          <w:sz w:val="25"/>
        </w:rPr>
      </w:pPr>
    </w:p>
    <w:p w:rsidR="008F03B5" w:rsidRDefault="00586B9B">
      <w:pPr>
        <w:pStyle w:val="a3"/>
        <w:spacing w:before="1" w:line="276" w:lineRule="auto"/>
        <w:ind w:left="217" w:right="1042"/>
      </w:pPr>
      <w:r>
        <w:t>Patients with all stages of CKD have a higher prevalence of cardiovascular disease, but the mortality risk is estimated to be 57% higher in patients with eGFR &lt; 60 ml/min per 1.73 m2 compared with the general population without CKD</w:t>
      </w:r>
      <w:r w:rsidR="00903055">
        <w:t>.</w:t>
      </w:r>
      <w:r w:rsidR="00903055">
        <w:rPr>
          <w:vertAlign w:val="superscript"/>
        </w:rPr>
        <w:t>7</w:t>
      </w:r>
      <w:r w:rsidR="00903055">
        <w:t xml:space="preserve"> </w:t>
      </w:r>
      <w:r w:rsidR="00903055">
        <w:rPr>
          <w:rFonts w:ascii="宋体" w:eastAsia="宋体" w:hAnsi="宋体" w:cs="宋体" w:hint="eastAsia"/>
        </w:rPr>
        <w:t>。。</w:t>
      </w:r>
      <w:r w:rsidR="00903055">
        <w:t>C</w:t>
      </w:r>
      <w:r>
        <w:t>ardiovascular disease is also highly prevalent in the dialysis population. The added insult of hyperkalaemia in patients with pre-existing heart disease may contribute to sudden death in dialysis patients, presumably from cardiac arrest.</w:t>
      </w:r>
    </w:p>
    <w:p w:rsidR="008F03B5" w:rsidRDefault="008F03B5">
      <w:pPr>
        <w:pStyle w:val="a3"/>
        <w:spacing w:before="6"/>
        <w:rPr>
          <w:sz w:val="25"/>
        </w:rPr>
      </w:pPr>
    </w:p>
    <w:p w:rsidR="008F03B5" w:rsidRDefault="00586B9B" w:rsidP="00194032">
      <w:pPr>
        <w:tabs>
          <w:tab w:val="left" w:pos="546"/>
        </w:tabs>
        <w:spacing w:line="276" w:lineRule="auto"/>
        <w:ind w:left="217" w:right="918"/>
      </w:pPr>
      <w:r>
        <w:t>Pre-dialysis hyperkalaemia and hypokalaemia have both been shown to be associated with higher all- cause mortality</w:t>
      </w:r>
      <w:r w:rsidR="00903055">
        <w:t>.</w:t>
      </w:r>
      <w:r w:rsidR="00903055">
        <w:rPr>
          <w:vertAlign w:val="superscript"/>
        </w:rPr>
        <w:t>8</w:t>
      </w:r>
      <w:r w:rsidR="00903055">
        <w:t xml:space="preserve"> </w:t>
      </w:r>
      <w:r w:rsidR="00903055">
        <w:rPr>
          <w:rFonts w:ascii="宋体" w:eastAsia="宋体" w:hAnsi="宋体" w:cs="宋体" w:hint="eastAsia"/>
        </w:rPr>
        <w:t>。。</w:t>
      </w:r>
      <w:r w:rsidR="00903055">
        <w:t>P</w:t>
      </w:r>
      <w:r>
        <w:t>un et al demonstrated a 49% increase in risk of cardiac arrest with each 1 mmol/l decrease in serum K+ below 5.1 mmol/l and a 38% increased risk with each 1 mmol/l increase above</w:t>
      </w:r>
      <w:r w:rsidR="00194032">
        <w:t xml:space="preserve"> 5.1 </w:t>
      </w:r>
      <w:r>
        <w:t>mmol/l</w:t>
      </w:r>
      <w:r w:rsidR="00903055">
        <w:t>.</w:t>
      </w:r>
      <w:r w:rsidR="00903055" w:rsidRPr="00194032">
        <w:rPr>
          <w:vertAlign w:val="superscript"/>
        </w:rPr>
        <w:t>9</w:t>
      </w:r>
      <w:r w:rsidR="00903055">
        <w:t xml:space="preserve"> </w:t>
      </w:r>
      <w:r w:rsidR="00903055">
        <w:rPr>
          <w:rFonts w:ascii="宋体" w:eastAsia="宋体" w:hAnsi="宋体" w:cs="宋体" w:hint="eastAsia"/>
        </w:rPr>
        <w:t>。。</w:t>
      </w:r>
      <w:r w:rsidR="00903055">
        <w:t>T</w:t>
      </w:r>
      <w:r>
        <w:t>here was no advantage of using a low K+ dialysate. The intermittent nature of HD treatment is a further consideration. Bleyer et al demonstrated that HD patients are susceptible to SCD in the first 12 hours from start of the HD session, but the highest risk period is the last 12 hours of the 2-day inter-dialytic interval.[10] In this study, hyperkalaemia (K+ ≥ 6.0 mmol/l) was present in 6.5% of patients with</w:t>
      </w:r>
      <w:r w:rsidRPr="00194032">
        <w:rPr>
          <w:spacing w:val="-11"/>
        </w:rPr>
        <w:t xml:space="preserve"> </w:t>
      </w:r>
      <w:r>
        <w:t>SCD.</w:t>
      </w:r>
    </w:p>
    <w:p w:rsidR="008F03B5" w:rsidRDefault="008F03B5">
      <w:pPr>
        <w:pStyle w:val="a3"/>
        <w:spacing w:before="4"/>
        <w:rPr>
          <w:sz w:val="25"/>
        </w:rPr>
      </w:pPr>
    </w:p>
    <w:p w:rsidR="008F03B5" w:rsidRDefault="00586B9B">
      <w:pPr>
        <w:pStyle w:val="a3"/>
        <w:spacing w:line="276" w:lineRule="auto"/>
        <w:ind w:left="217" w:right="1148"/>
      </w:pPr>
      <w:r>
        <w:t>Optimising and controlling K+ levels in dialysis patients is challenging. Kovesdy et al demonstrated greater survival in maintenance HD patients with a pre-dialysis serum K+ of 4.6 – 5.3 mmol/l</w:t>
      </w:r>
      <w:r w:rsidR="00903055">
        <w:t>.</w:t>
      </w:r>
      <w:r w:rsidR="00903055">
        <w:rPr>
          <w:vertAlign w:val="superscript"/>
        </w:rPr>
        <w:t>8</w:t>
      </w:r>
      <w:r w:rsidR="00903055">
        <w:t xml:space="preserve"> </w:t>
      </w:r>
      <w:r w:rsidR="00903055">
        <w:rPr>
          <w:rFonts w:ascii="宋体" w:eastAsia="宋体" w:hAnsi="宋体" w:cs="宋体" w:hint="eastAsia"/>
        </w:rPr>
        <w:t>。。</w:t>
      </w:r>
      <w:r w:rsidR="00903055">
        <w:t>T</w:t>
      </w:r>
      <w:r>
        <w:t>he conventional thrice-weekly HD schedule is difficult to overcome, but evidence suggests that careful dialysis prescription with the avoidance of low K+ dialysates and fistula access reduces the risk of cardiac arrest. Other factors associated with a favourable outcome after cardiac arrest in dialysis patients were the use beta-blockers, RAASi and calcium channel blockers at the time of the event.</w:t>
      </w:r>
      <w:r>
        <w:rPr>
          <w:vertAlign w:val="superscript"/>
        </w:rPr>
        <w:t>11</w:t>
      </w:r>
    </w:p>
    <w:p w:rsidR="008F03B5" w:rsidRDefault="008F03B5">
      <w:pPr>
        <w:pStyle w:val="a3"/>
        <w:spacing w:before="1"/>
        <w:rPr>
          <w:sz w:val="25"/>
        </w:rPr>
      </w:pPr>
    </w:p>
    <w:p w:rsidR="008F03B5" w:rsidRDefault="00586B9B">
      <w:pPr>
        <w:pStyle w:val="a3"/>
        <w:spacing w:before="1"/>
        <w:ind w:left="217"/>
      </w:pPr>
      <w:r>
        <w:t>This section of the guideline will cover:</w:t>
      </w:r>
    </w:p>
    <w:p w:rsidR="008F03B5" w:rsidRDefault="00586B9B">
      <w:pPr>
        <w:pStyle w:val="a4"/>
        <w:numPr>
          <w:ilvl w:val="2"/>
          <w:numId w:val="45"/>
        </w:numPr>
        <w:tabs>
          <w:tab w:val="left" w:pos="939"/>
        </w:tabs>
        <w:spacing w:before="41" w:line="276" w:lineRule="auto"/>
        <w:ind w:right="1232"/>
      </w:pPr>
      <w:r>
        <w:t>special considerations in the resuscitation of patients receiving dialysis including aetiology, out-patient dialysis setting, dialysis access, and defibrillation</w:t>
      </w:r>
      <w:r>
        <w:rPr>
          <w:spacing w:val="-9"/>
        </w:rPr>
        <w:t xml:space="preserve"> </w:t>
      </w:r>
      <w:r>
        <w:t>practice,</w:t>
      </w:r>
    </w:p>
    <w:p w:rsidR="008F03B5" w:rsidRDefault="00586B9B">
      <w:pPr>
        <w:pStyle w:val="a4"/>
        <w:numPr>
          <w:ilvl w:val="2"/>
          <w:numId w:val="45"/>
        </w:numPr>
        <w:tabs>
          <w:tab w:val="left" w:pos="939"/>
        </w:tabs>
        <w:spacing w:before="1"/>
        <w:ind w:hanging="361"/>
      </w:pPr>
      <w:r>
        <w:t>medical management of hyperkalaemic cardiac arrest,</w:t>
      </w:r>
      <w:r>
        <w:rPr>
          <w:spacing w:val="-10"/>
        </w:rPr>
        <w:t xml:space="preserve"> </w:t>
      </w:r>
      <w:r>
        <w:t>and</w:t>
      </w:r>
    </w:p>
    <w:p w:rsidR="008F03B5" w:rsidRDefault="00586B9B">
      <w:pPr>
        <w:pStyle w:val="a4"/>
        <w:numPr>
          <w:ilvl w:val="2"/>
          <w:numId w:val="45"/>
        </w:numPr>
        <w:tabs>
          <w:tab w:val="left" w:pos="939"/>
        </w:tabs>
        <w:spacing w:before="39" w:line="276" w:lineRule="auto"/>
        <w:ind w:right="1071"/>
      </w:pPr>
      <w:r>
        <w:t xml:space="preserve">approach to treatment of refractory hyperkalaemic cardiac arrest including dialysis initiation </w:t>
      </w:r>
      <w:r>
        <w:lastRenderedPageBreak/>
        <w:t>during CPR and the use of</w:t>
      </w:r>
      <w:r>
        <w:rPr>
          <w:spacing w:val="-9"/>
        </w:rPr>
        <w:t xml:space="preserve"> </w:t>
      </w:r>
      <w:r>
        <w:t>ECMO.</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17" w:name="_bookmark35"/>
      <w:bookmarkEnd w:id="17"/>
      <w:r>
        <w:rPr>
          <w:color w:val="1F4E79"/>
        </w:rPr>
        <w:lastRenderedPageBreak/>
        <w:t>References</w:t>
      </w:r>
    </w:p>
    <w:p w:rsidR="008F03B5" w:rsidRDefault="00586B9B">
      <w:pPr>
        <w:pStyle w:val="a4"/>
        <w:numPr>
          <w:ilvl w:val="0"/>
          <w:numId w:val="44"/>
        </w:numPr>
        <w:tabs>
          <w:tab w:val="left" w:pos="939"/>
        </w:tabs>
        <w:spacing w:before="40" w:line="276" w:lineRule="auto"/>
        <w:ind w:right="1257"/>
      </w:pPr>
      <w:r>
        <w:t xml:space="preserve">Tirkkonen, J., et al., </w:t>
      </w:r>
      <w:r>
        <w:rPr>
          <w:i/>
        </w:rPr>
        <w:t>Aetiology of in-hospital cardiac arrest on general wards</w:t>
      </w:r>
      <w:r>
        <w:t>. Resuscitation, 2016. 107: p.</w:t>
      </w:r>
      <w:r>
        <w:rPr>
          <w:spacing w:val="-7"/>
        </w:rPr>
        <w:t xml:space="preserve"> </w:t>
      </w:r>
      <w:r>
        <w:t>19-24.</w:t>
      </w:r>
    </w:p>
    <w:p w:rsidR="008F03B5" w:rsidRDefault="008F03B5">
      <w:pPr>
        <w:pStyle w:val="a3"/>
        <w:spacing w:before="2"/>
        <w:rPr>
          <w:sz w:val="23"/>
        </w:rPr>
      </w:pPr>
    </w:p>
    <w:p w:rsidR="008F03B5" w:rsidRDefault="00586B9B">
      <w:pPr>
        <w:pStyle w:val="2"/>
      </w:pPr>
      <w:bookmarkStart w:id="18" w:name="_bookmark36"/>
      <w:bookmarkEnd w:id="18"/>
      <w:r>
        <w:rPr>
          <w:color w:val="1F4E79"/>
        </w:rPr>
        <w:t>Hyperkalaemic cardiac arrest – Special circumstance (Guidelines 23.1-23.2)</w:t>
      </w:r>
    </w:p>
    <w:p w:rsidR="008F03B5" w:rsidRDefault="00586B9B">
      <w:pPr>
        <w:pStyle w:val="3"/>
        <w:spacing w:before="163"/>
      </w:pPr>
      <w:r>
        <w:t>Guideline 23.1 – Hyperkalaemia; Cardiac Arrest - special circumstance</w:t>
      </w:r>
    </w:p>
    <w:p w:rsidR="008F03B5" w:rsidRDefault="00586B9B">
      <w:pPr>
        <w:pStyle w:val="a3"/>
        <w:spacing w:before="159" w:line="276" w:lineRule="auto"/>
        <w:ind w:left="217" w:right="1037"/>
      </w:pPr>
      <w:r>
        <w:t>We recommend that hyperkalaemia is considered in all patients who have a cardiac arrest, as part of identifying and treating a reversible cause using the 4 Hs and 4 Ts approach. (1A)</w:t>
      </w:r>
    </w:p>
    <w:p w:rsidR="008F03B5" w:rsidRDefault="008F03B5">
      <w:pPr>
        <w:pStyle w:val="a3"/>
      </w:pPr>
    </w:p>
    <w:p w:rsidR="008F03B5" w:rsidRDefault="008F03B5">
      <w:pPr>
        <w:pStyle w:val="a3"/>
        <w:spacing w:before="8"/>
        <w:rPr>
          <w:sz w:val="29"/>
        </w:rPr>
      </w:pPr>
    </w:p>
    <w:p w:rsidR="008F03B5" w:rsidRDefault="00586B9B">
      <w:pPr>
        <w:pStyle w:val="2"/>
      </w:pPr>
      <w:bookmarkStart w:id="19" w:name="_bookmark37"/>
      <w:bookmarkEnd w:id="19"/>
      <w:r>
        <w:rPr>
          <w:color w:val="1F4E79"/>
        </w:rPr>
        <w:t>Audit Measure</w:t>
      </w:r>
    </w:p>
    <w:p w:rsidR="008F03B5" w:rsidRDefault="00586B9B">
      <w:pPr>
        <w:pStyle w:val="a3"/>
        <w:spacing w:before="163" w:line="276" w:lineRule="auto"/>
        <w:ind w:left="938" w:hanging="360"/>
      </w:pPr>
      <w:r>
        <w:t>1. All cardiac arrests should be audited – hospital participation in the National Cardiac Arrest Audit is encouraged as part of quality improvement and benchmarking.</w:t>
      </w:r>
    </w:p>
    <w:p w:rsidR="008F03B5" w:rsidRDefault="008F03B5">
      <w:pPr>
        <w:pStyle w:val="a3"/>
      </w:pPr>
    </w:p>
    <w:p w:rsidR="008F03B5" w:rsidRDefault="008F03B5">
      <w:pPr>
        <w:pStyle w:val="a3"/>
        <w:spacing w:before="8"/>
        <w:rPr>
          <w:sz w:val="29"/>
        </w:rPr>
      </w:pPr>
    </w:p>
    <w:p w:rsidR="008F03B5" w:rsidRDefault="00586B9B">
      <w:pPr>
        <w:pStyle w:val="2"/>
      </w:pPr>
      <w:bookmarkStart w:id="20" w:name="_bookmark38"/>
      <w:bookmarkEnd w:id="20"/>
      <w:r>
        <w:rPr>
          <w:color w:val="1F4E79"/>
        </w:rPr>
        <w:t>Rationale (Guidelines 23.1)</w:t>
      </w:r>
    </w:p>
    <w:p w:rsidR="008F03B5" w:rsidRDefault="00586B9B" w:rsidP="00194032">
      <w:pPr>
        <w:pStyle w:val="a3"/>
        <w:spacing w:before="163" w:line="276" w:lineRule="auto"/>
        <w:ind w:left="217" w:right="339"/>
      </w:pPr>
      <w:r>
        <w:t>Hyperkalaemia is an important and potentially reversible cause of cardiac arrest, therefore should be considered in all patients, particularly in the presence of renal failure. Recognition of hyperkalaemia as the aetiology cardiac arrest may be pre-arrest or during the resuscitation attempt. Early detection of</w:t>
      </w:r>
      <w:r w:rsidR="00194032">
        <w:t xml:space="preserve"> </w:t>
      </w:r>
      <w:r>
        <w:t>hyperkalaemia before cardiac arrest provides a window of opportunity to prevent arrhythmias or cardiac arrest, but delays in treatment are well recognised.</w:t>
      </w:r>
    </w:p>
    <w:p w:rsidR="008F03B5" w:rsidRDefault="00586B9B">
      <w:pPr>
        <w:pStyle w:val="a3"/>
        <w:spacing w:before="1" w:line="276" w:lineRule="auto"/>
        <w:ind w:left="217" w:right="506"/>
      </w:pPr>
      <w:r>
        <w:t>The National Patient Safety Alert resource for hyperkalaemia (2018) highlighted 35 cases of cardiac arrest in patients with hyperkalaemia which were reported due to concerns related to treatment and/ or monitoring</w:t>
      </w:r>
      <w:r w:rsidR="00903055">
        <w:t>.</w:t>
      </w:r>
      <w:r w:rsidR="00903055">
        <w:rPr>
          <w:vertAlign w:val="superscript"/>
        </w:rPr>
        <w:t>1</w:t>
      </w:r>
      <w:r w:rsidR="00903055">
        <w:t xml:space="preserve"> </w:t>
      </w:r>
      <w:r w:rsidR="00903055">
        <w:rPr>
          <w:rFonts w:ascii="宋体" w:eastAsia="宋体" w:hAnsi="宋体" w:cs="宋体" w:hint="eastAsia"/>
        </w:rPr>
        <w:t>。。</w:t>
      </w:r>
      <w:r w:rsidR="00903055">
        <w:t>W</w:t>
      </w:r>
      <w:r>
        <w:t>ang et al (2016) reported that 20% (5/25) of dialysis patients who suffered a hyperkalaemic cardiac arrest did not receive either intravenous calcium or sodium bicarbonate</w:t>
      </w:r>
      <w:r w:rsidR="00903055">
        <w:t>.</w:t>
      </w:r>
      <w:r w:rsidR="00903055">
        <w:rPr>
          <w:vertAlign w:val="superscript"/>
        </w:rPr>
        <w:t>2</w:t>
      </w:r>
      <w:r w:rsidR="00903055">
        <w:t xml:space="preserve"> </w:t>
      </w:r>
      <w:r w:rsidR="00903055">
        <w:rPr>
          <w:rFonts w:ascii="宋体" w:eastAsia="宋体" w:hAnsi="宋体" w:cs="宋体" w:hint="eastAsia"/>
        </w:rPr>
        <w:t>。。</w:t>
      </w:r>
      <w:r w:rsidR="00903055">
        <w:t>S</w:t>
      </w:r>
      <w:r>
        <w:t>aarinen et al (2011) investigated the impact of appropriate treatment in cases where a reversible cause of cardiac arrest was identified and found that no patients received appropriate treatment when the aetiology was hyperkalaemia</w:t>
      </w:r>
      <w:r w:rsidR="00903055">
        <w:t>.</w:t>
      </w:r>
      <w:r w:rsidR="00903055">
        <w:rPr>
          <w:vertAlign w:val="superscript"/>
        </w:rPr>
        <w:t>3</w:t>
      </w:r>
      <w:r w:rsidR="00903055">
        <w:t xml:space="preserve"> </w:t>
      </w:r>
      <w:r w:rsidR="00903055">
        <w:rPr>
          <w:rFonts w:ascii="宋体" w:eastAsia="宋体" w:hAnsi="宋体" w:cs="宋体" w:hint="eastAsia"/>
        </w:rPr>
        <w:t>。。</w:t>
      </w:r>
      <w:r w:rsidR="00903055">
        <w:t>T</w:t>
      </w:r>
      <w:r>
        <w:t>he ECG may be helpful in assessing the risk of cardiac arrest in patients with hyperkalaemia. However, the progressive ECG changes frequently described may not be present and the first sign of hyperkalaemia may be cardiac arrest. An et al reported that approximately 20% of patients presented with cardiac arrest at the time of diagnosis of hyperkalaemia</w:t>
      </w:r>
      <w:r w:rsidR="00903055">
        <w:t>.</w:t>
      </w:r>
      <w:r w:rsidR="00903055">
        <w:rPr>
          <w:vertAlign w:val="superscript"/>
        </w:rPr>
        <w:t>4</w:t>
      </w:r>
      <w:r w:rsidR="00903055">
        <w:t xml:space="preserve"> </w:t>
      </w:r>
      <w:r w:rsidR="00903055">
        <w:rPr>
          <w:rFonts w:ascii="宋体" w:eastAsia="宋体" w:hAnsi="宋体" w:cs="宋体" w:hint="eastAsia"/>
        </w:rPr>
        <w:t>。。</w:t>
      </w:r>
      <w:r w:rsidR="00903055">
        <w:t>D</w:t>
      </w:r>
      <w:r>
        <w:t>urfey et al demonstrated that arrhythmias or cardiac arrest occurred within 6 hours</w:t>
      </w:r>
      <w:r>
        <w:rPr>
          <w:spacing w:val="-30"/>
        </w:rPr>
        <w:t xml:space="preserve"> </w:t>
      </w:r>
      <w:r>
        <w:t>of</w:t>
      </w:r>
      <w:r w:rsidR="00194032">
        <w:t xml:space="preserve"> </w:t>
      </w:r>
      <w:r>
        <w:t>the presenting ECG in 15% of patients with serum K+ ≥ 6.5 mmol/l before IV calcium was administered and before K+-lowering treatment was initiated in all but one patient.</w:t>
      </w:r>
      <w:r>
        <w:rPr>
          <w:vertAlign w:val="superscript"/>
        </w:rPr>
        <w:t>5</w:t>
      </w:r>
    </w:p>
    <w:p w:rsidR="008F03B5" w:rsidRDefault="00586B9B">
      <w:pPr>
        <w:pStyle w:val="a3"/>
        <w:spacing w:before="122" w:line="276" w:lineRule="auto"/>
        <w:ind w:left="217" w:right="345"/>
      </w:pPr>
      <w:r>
        <w:t>The probability of cardiac arrest is likely to correlate with the severity of hyperkalaemia, but the threshold for arrhythmias in hyperkalaemia appears to vary from patient to patient. For these reasons, arrhythmias should be anticipated and cardiac monitoring is essential for all patients with severe hyperkalaemia. Prompt treatment of hyperkalaemia can avoid arrhythmias and cardiac arrest. Avoid delays in treatment and seek specialist help early.</w:t>
      </w:r>
    </w:p>
    <w:p w:rsidR="008F03B5" w:rsidRDefault="008F03B5">
      <w:pPr>
        <w:pStyle w:val="a3"/>
        <w:spacing w:before="6"/>
        <w:rPr>
          <w:sz w:val="16"/>
        </w:rPr>
      </w:pPr>
    </w:p>
    <w:p w:rsidR="008F03B5" w:rsidRDefault="00586B9B">
      <w:pPr>
        <w:pStyle w:val="2"/>
      </w:pPr>
      <w:bookmarkStart w:id="21" w:name="_bookmark39"/>
      <w:bookmarkEnd w:id="21"/>
      <w:r>
        <w:rPr>
          <w:color w:val="1F4E79"/>
        </w:rPr>
        <w:t>References</w:t>
      </w:r>
    </w:p>
    <w:p w:rsidR="008F03B5" w:rsidRDefault="00586B9B">
      <w:pPr>
        <w:pStyle w:val="a4"/>
        <w:numPr>
          <w:ilvl w:val="0"/>
          <w:numId w:val="43"/>
        </w:numPr>
        <w:tabs>
          <w:tab w:val="left" w:pos="939"/>
        </w:tabs>
        <w:spacing w:before="163" w:line="276" w:lineRule="auto"/>
        <w:ind w:right="581"/>
      </w:pPr>
      <w:r>
        <w:t xml:space="preserve">NHS Improvement: Patient Safety Alert - Resources to support safe and timely management of hyperkalaemia (high level of potassium in the blood). August 2018. Alert reference number: </w:t>
      </w:r>
      <w:r>
        <w:rPr>
          <w:spacing w:val="-1"/>
        </w:rPr>
        <w:lastRenderedPageBreak/>
        <w:t>NHS/PSA/RE/2018/006.</w:t>
      </w:r>
      <w:r>
        <w:rPr>
          <w:color w:val="0562C1"/>
          <w:spacing w:val="-1"/>
        </w:rPr>
        <w:t xml:space="preserve"> </w:t>
      </w:r>
      <w:hyperlink r:id="rId14">
        <w:r>
          <w:rPr>
            <w:color w:val="0562C1"/>
            <w:u w:val="single" w:color="0562C1"/>
          </w:rPr>
          <w:t>http://improvement.nhs.uk/news-alert/safe-and-timely-management-of-</w:t>
        </w:r>
      </w:hyperlink>
      <w:r>
        <w:rPr>
          <w:color w:val="0562C1"/>
        </w:rPr>
        <w:t xml:space="preserve"> </w:t>
      </w:r>
      <w:hyperlink r:id="rId15">
        <w:r>
          <w:rPr>
            <w:color w:val="0562C1"/>
            <w:u w:val="single" w:color="0562C1"/>
          </w:rPr>
          <w:t>hyperkalaemia/</w:t>
        </w:r>
      </w:hyperlink>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22" w:name="_bookmark40"/>
      <w:bookmarkEnd w:id="22"/>
      <w:r>
        <w:rPr>
          <w:color w:val="1F4E79"/>
        </w:rPr>
        <w:lastRenderedPageBreak/>
        <w:t>Resuscitation strategy in dialysis patients (Guidelines 24.1-24.2)</w:t>
      </w:r>
    </w:p>
    <w:p w:rsidR="008F03B5" w:rsidRDefault="00586B9B">
      <w:pPr>
        <w:pStyle w:val="3"/>
        <w:spacing w:before="160"/>
      </w:pPr>
      <w:r>
        <w:t>Guideline 24.1 – Hyperkalaemia; Cardiac Arrest – Resuscitation strategy in haemodialysis patients</w:t>
      </w:r>
    </w:p>
    <w:p w:rsidR="008F03B5" w:rsidRDefault="00586B9B">
      <w:pPr>
        <w:pStyle w:val="a3"/>
        <w:spacing w:before="161"/>
        <w:ind w:left="217"/>
      </w:pPr>
      <w:r>
        <w:t>We recommend that standard ALS practice in cardiac arrest be applied to patients requiring dialysis. (1A)</w:t>
      </w:r>
    </w:p>
    <w:p w:rsidR="008F03B5" w:rsidRDefault="008F03B5">
      <w:pPr>
        <w:pStyle w:val="a3"/>
      </w:pPr>
    </w:p>
    <w:p w:rsidR="008F03B5" w:rsidRDefault="008F03B5">
      <w:pPr>
        <w:pStyle w:val="a3"/>
        <w:spacing w:before="5"/>
        <w:rPr>
          <w:sz w:val="26"/>
        </w:rPr>
      </w:pPr>
    </w:p>
    <w:p w:rsidR="008F03B5" w:rsidRDefault="00586B9B">
      <w:pPr>
        <w:pStyle w:val="3"/>
      </w:pPr>
      <w:r>
        <w:t>Guideline 24.2 – Hyperkalaemia; Cardiac Arrest – Defibrillation practice in haemodialysis patients</w:t>
      </w:r>
    </w:p>
    <w:p w:rsidR="008F03B5" w:rsidRDefault="00586B9B">
      <w:pPr>
        <w:pStyle w:val="a3"/>
        <w:spacing w:before="159" w:line="276" w:lineRule="auto"/>
        <w:ind w:left="217" w:right="510"/>
      </w:pPr>
      <w:r>
        <w:t>We recommend disconnection from dialysis equipment prior to defibrillation unless the dialysis machine is defibrillator-proof. (1C)</w:t>
      </w:r>
    </w:p>
    <w:p w:rsidR="008F03B5" w:rsidRDefault="008F03B5">
      <w:pPr>
        <w:pStyle w:val="a3"/>
      </w:pPr>
    </w:p>
    <w:p w:rsidR="008F03B5" w:rsidRDefault="008F03B5">
      <w:pPr>
        <w:pStyle w:val="a3"/>
      </w:pPr>
    </w:p>
    <w:p w:rsidR="008F03B5" w:rsidRDefault="00586B9B">
      <w:pPr>
        <w:spacing w:before="135"/>
        <w:ind w:left="217"/>
        <w:rPr>
          <w:b/>
          <w:sz w:val="24"/>
        </w:rPr>
      </w:pPr>
      <w:r>
        <w:rPr>
          <w:b/>
          <w:color w:val="44536A"/>
          <w:sz w:val="24"/>
        </w:rPr>
        <w:t>Rationale (Guidelines 24.1 – 24.2)</w:t>
      </w:r>
    </w:p>
    <w:p w:rsidR="008F03B5" w:rsidRDefault="00586B9B" w:rsidP="00194032">
      <w:pPr>
        <w:tabs>
          <w:tab w:val="left" w:pos="547"/>
        </w:tabs>
        <w:spacing w:before="5" w:line="276" w:lineRule="auto"/>
        <w:ind w:left="217" w:right="394"/>
      </w:pPr>
      <w:r>
        <w:t>The incidence of cardiac arrest in dialysis patients is higher than in the general population, therefore vigilance and staff training is essential. The incidence of cardiac arrest in the out-patient setting ranges from</w:t>
      </w:r>
      <w:r w:rsidR="00194032">
        <w:t xml:space="preserve"> 3.4 </w:t>
      </w:r>
      <w:r>
        <w:t>– 7.8 / 100,000 HD sessions as shown in Table 26</w:t>
      </w:r>
      <w:r w:rsidR="00903055">
        <w:t>.</w:t>
      </w:r>
      <w:r w:rsidR="00903055" w:rsidRPr="00194032">
        <w:rPr>
          <w:vertAlign w:val="superscript"/>
        </w:rPr>
        <w:t>1-3</w:t>
      </w:r>
      <w:r w:rsidR="00903055">
        <w:t xml:space="preserve"> </w:t>
      </w:r>
      <w:r w:rsidR="00903055">
        <w:rPr>
          <w:rFonts w:ascii="宋体" w:eastAsia="宋体" w:hAnsi="宋体" w:cs="宋体" w:hint="eastAsia"/>
        </w:rPr>
        <w:t>。。</w:t>
      </w:r>
      <w:r w:rsidR="00903055">
        <w:t>S</w:t>
      </w:r>
      <w:r>
        <w:t>parse data is available on the incidence of in- hospital cardiac arrest in patients on long-term HD. Wong et al reported a rate of 1.4 events per 1000 in- hospital days with a survival to hospital discharge of 22%</w:t>
      </w:r>
      <w:r w:rsidR="00903055">
        <w:t>.</w:t>
      </w:r>
      <w:r w:rsidR="00903055" w:rsidRPr="00194032">
        <w:rPr>
          <w:vertAlign w:val="superscript"/>
        </w:rPr>
        <w:t>4</w:t>
      </w:r>
      <w:r w:rsidR="00903055">
        <w:t xml:space="preserve"> </w:t>
      </w:r>
      <w:r w:rsidR="00903055">
        <w:rPr>
          <w:rFonts w:ascii="宋体" w:eastAsia="宋体" w:hAnsi="宋体" w:cs="宋体" w:hint="eastAsia"/>
        </w:rPr>
        <w:t>。。</w:t>
      </w:r>
      <w:r w:rsidR="00903055">
        <w:t>A</w:t>
      </w:r>
      <w:r>
        <w:t>n early study of in-hospital CPR in patients with ESRD showed a survival to hospital discharge of only</w:t>
      </w:r>
      <w:r w:rsidRPr="00194032">
        <w:rPr>
          <w:spacing w:val="-11"/>
        </w:rPr>
        <w:t xml:space="preserve"> </w:t>
      </w:r>
      <w:r>
        <w:t>8%.</w:t>
      </w:r>
      <w:r w:rsidRPr="00194032">
        <w:rPr>
          <w:vertAlign w:val="superscript"/>
        </w:rPr>
        <w:t>5</w:t>
      </w:r>
    </w:p>
    <w:p w:rsidR="008F03B5" w:rsidRDefault="008F03B5">
      <w:pPr>
        <w:pStyle w:val="a3"/>
        <w:rPr>
          <w:sz w:val="20"/>
        </w:rPr>
      </w:pPr>
    </w:p>
    <w:p w:rsidR="008F03B5" w:rsidRDefault="008F03B5">
      <w:pPr>
        <w:pStyle w:val="a3"/>
        <w:spacing w:before="3" w:after="1"/>
        <w:rPr>
          <w:sz w:val="15"/>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1985"/>
        <w:gridCol w:w="1843"/>
        <w:gridCol w:w="2123"/>
        <w:gridCol w:w="1987"/>
      </w:tblGrid>
      <w:tr w:rsidR="008F03B5">
        <w:trPr>
          <w:trHeight w:val="1197"/>
        </w:trPr>
        <w:tc>
          <w:tcPr>
            <w:tcW w:w="1666" w:type="dxa"/>
            <w:tcBorders>
              <w:right w:val="single" w:sz="12" w:space="0" w:color="000000"/>
            </w:tcBorders>
            <w:shd w:val="clear" w:color="auto" w:fill="DEEAF6"/>
          </w:tcPr>
          <w:p w:rsidR="008F03B5" w:rsidRDefault="00586B9B">
            <w:pPr>
              <w:pStyle w:val="TableParagraph"/>
              <w:spacing w:before="134"/>
              <w:ind w:left="14"/>
              <w:rPr>
                <w:b/>
              </w:rPr>
            </w:pPr>
            <w:r>
              <w:rPr>
                <w:b/>
              </w:rPr>
              <w:t>Study</w:t>
            </w:r>
          </w:p>
        </w:tc>
        <w:tc>
          <w:tcPr>
            <w:tcW w:w="1985" w:type="dxa"/>
            <w:tcBorders>
              <w:left w:val="single" w:sz="12" w:space="0" w:color="000000"/>
              <w:right w:val="single" w:sz="12" w:space="0" w:color="000000"/>
            </w:tcBorders>
            <w:shd w:val="clear" w:color="auto" w:fill="DEEAF6"/>
          </w:tcPr>
          <w:p w:rsidR="008F03B5" w:rsidRDefault="00586B9B">
            <w:pPr>
              <w:pStyle w:val="TableParagraph"/>
              <w:spacing w:before="134" w:line="276" w:lineRule="auto"/>
              <w:ind w:left="606" w:right="296" w:hanging="281"/>
              <w:rPr>
                <w:b/>
              </w:rPr>
            </w:pPr>
            <w:r>
              <w:rPr>
                <w:b/>
              </w:rPr>
              <w:t>Number of HD sessions</w:t>
            </w:r>
          </w:p>
        </w:tc>
        <w:tc>
          <w:tcPr>
            <w:tcW w:w="1843" w:type="dxa"/>
            <w:tcBorders>
              <w:left w:val="single" w:sz="12" w:space="0" w:color="000000"/>
              <w:right w:val="single" w:sz="12" w:space="0" w:color="000000"/>
            </w:tcBorders>
            <w:shd w:val="clear" w:color="auto" w:fill="DEEAF6"/>
          </w:tcPr>
          <w:p w:rsidR="008F03B5" w:rsidRDefault="00586B9B">
            <w:pPr>
              <w:pStyle w:val="TableParagraph"/>
              <w:spacing w:before="134" w:line="276" w:lineRule="auto"/>
              <w:ind w:left="597" w:right="39" w:hanging="531"/>
              <w:rPr>
                <w:b/>
              </w:rPr>
            </w:pPr>
            <w:r>
              <w:rPr>
                <w:b/>
              </w:rPr>
              <w:t>Number of cardiac arrests</w:t>
            </w:r>
          </w:p>
        </w:tc>
        <w:tc>
          <w:tcPr>
            <w:tcW w:w="2123" w:type="dxa"/>
            <w:tcBorders>
              <w:left w:val="single" w:sz="12" w:space="0" w:color="000000"/>
            </w:tcBorders>
            <w:shd w:val="clear" w:color="auto" w:fill="DEEAF6"/>
          </w:tcPr>
          <w:p w:rsidR="008F03B5" w:rsidRDefault="00586B9B">
            <w:pPr>
              <w:pStyle w:val="TableParagraph"/>
              <w:spacing w:before="134"/>
              <w:ind w:left="275" w:right="267"/>
              <w:jc w:val="center"/>
              <w:rPr>
                <w:b/>
              </w:rPr>
            </w:pPr>
            <w:r>
              <w:rPr>
                <w:b/>
              </w:rPr>
              <w:t>Incidence of CPR</w:t>
            </w:r>
          </w:p>
          <w:p w:rsidR="008F03B5" w:rsidRDefault="00586B9B">
            <w:pPr>
              <w:pStyle w:val="TableParagraph"/>
              <w:spacing w:before="161" w:line="273" w:lineRule="auto"/>
              <w:ind w:left="275" w:right="265"/>
              <w:jc w:val="center"/>
            </w:pPr>
            <w:r>
              <w:t>/100,000 dialysis sessions</w:t>
            </w:r>
          </w:p>
        </w:tc>
        <w:tc>
          <w:tcPr>
            <w:tcW w:w="1987" w:type="dxa"/>
            <w:shd w:val="clear" w:color="auto" w:fill="DEEAF6"/>
          </w:tcPr>
          <w:p w:rsidR="008F03B5" w:rsidRDefault="00586B9B">
            <w:pPr>
              <w:pStyle w:val="TableParagraph"/>
              <w:spacing w:before="134" w:line="276" w:lineRule="auto"/>
              <w:ind w:left="547" w:right="73" w:hanging="443"/>
              <w:rPr>
                <w:b/>
              </w:rPr>
            </w:pPr>
            <w:r>
              <w:rPr>
                <w:b/>
              </w:rPr>
              <w:t>Survival to Hospital Discharge</w:t>
            </w:r>
          </w:p>
        </w:tc>
      </w:tr>
      <w:tr w:rsidR="008F03B5">
        <w:trPr>
          <w:trHeight w:val="887"/>
        </w:trPr>
        <w:tc>
          <w:tcPr>
            <w:tcW w:w="1666" w:type="dxa"/>
            <w:tcBorders>
              <w:right w:val="single" w:sz="12" w:space="0" w:color="000000"/>
            </w:tcBorders>
          </w:tcPr>
          <w:p w:rsidR="008F03B5" w:rsidRDefault="00586B9B">
            <w:pPr>
              <w:pStyle w:val="TableParagraph"/>
              <w:spacing w:line="428" w:lineRule="exact"/>
              <w:ind w:left="14" w:right="1024"/>
              <w:rPr>
                <w:b/>
              </w:rPr>
            </w:pPr>
            <w:r>
              <w:rPr>
                <w:b/>
              </w:rPr>
              <w:t>Karnik 2001</w:t>
            </w:r>
            <w:r>
              <w:rPr>
                <w:b/>
                <w:vertAlign w:val="superscript"/>
              </w:rPr>
              <w:t>1</w:t>
            </w:r>
          </w:p>
        </w:tc>
        <w:tc>
          <w:tcPr>
            <w:tcW w:w="1985" w:type="dxa"/>
            <w:tcBorders>
              <w:left w:val="single" w:sz="12" w:space="0" w:color="000000"/>
              <w:right w:val="single" w:sz="12" w:space="0" w:color="000000"/>
            </w:tcBorders>
          </w:tcPr>
          <w:p w:rsidR="008F03B5" w:rsidRDefault="00586B9B">
            <w:pPr>
              <w:pStyle w:val="TableParagraph"/>
              <w:spacing w:before="133"/>
              <w:ind w:left="493" w:right="480"/>
              <w:jc w:val="center"/>
            </w:pPr>
            <w:r>
              <w:t>5, 744,708</w:t>
            </w:r>
          </w:p>
        </w:tc>
        <w:tc>
          <w:tcPr>
            <w:tcW w:w="1843" w:type="dxa"/>
            <w:tcBorders>
              <w:left w:val="single" w:sz="12" w:space="0" w:color="000000"/>
              <w:right w:val="single" w:sz="12" w:space="0" w:color="000000"/>
            </w:tcBorders>
          </w:tcPr>
          <w:p w:rsidR="008F03B5" w:rsidRDefault="00586B9B">
            <w:pPr>
              <w:pStyle w:val="TableParagraph"/>
              <w:spacing w:before="133"/>
              <w:ind w:left="746"/>
            </w:pPr>
            <w:r>
              <w:t>400</w:t>
            </w:r>
          </w:p>
        </w:tc>
        <w:tc>
          <w:tcPr>
            <w:tcW w:w="2123" w:type="dxa"/>
            <w:tcBorders>
              <w:left w:val="single" w:sz="12" w:space="0" w:color="000000"/>
            </w:tcBorders>
            <w:shd w:val="clear" w:color="auto" w:fill="F6F8FB"/>
          </w:tcPr>
          <w:p w:rsidR="008F03B5" w:rsidRDefault="00586B9B">
            <w:pPr>
              <w:pStyle w:val="TableParagraph"/>
              <w:spacing w:before="133"/>
              <w:ind w:left="9"/>
              <w:jc w:val="center"/>
            </w:pPr>
            <w:r>
              <w:t>7</w:t>
            </w:r>
          </w:p>
        </w:tc>
        <w:tc>
          <w:tcPr>
            <w:tcW w:w="1987" w:type="dxa"/>
          </w:tcPr>
          <w:p w:rsidR="008F03B5" w:rsidRDefault="00586B9B">
            <w:pPr>
              <w:pStyle w:val="TableParagraph"/>
              <w:spacing w:before="133"/>
              <w:ind w:left="782" w:right="767"/>
              <w:jc w:val="center"/>
            </w:pPr>
            <w:r>
              <w:t>NA</w:t>
            </w:r>
          </w:p>
        </w:tc>
      </w:tr>
      <w:tr w:rsidR="008F03B5">
        <w:trPr>
          <w:trHeight w:val="887"/>
        </w:trPr>
        <w:tc>
          <w:tcPr>
            <w:tcW w:w="1666" w:type="dxa"/>
            <w:tcBorders>
              <w:right w:val="single" w:sz="12" w:space="0" w:color="000000"/>
            </w:tcBorders>
          </w:tcPr>
          <w:p w:rsidR="008F03B5" w:rsidRDefault="00586B9B">
            <w:pPr>
              <w:pStyle w:val="TableParagraph"/>
              <w:spacing w:line="428" w:lineRule="exact"/>
              <w:ind w:left="14" w:right="699" w:firstLine="50"/>
              <w:rPr>
                <w:b/>
              </w:rPr>
            </w:pPr>
            <w:r>
              <w:rPr>
                <w:b/>
              </w:rPr>
              <w:t>La France 2006</w:t>
            </w:r>
            <w:r>
              <w:rPr>
                <w:b/>
                <w:vertAlign w:val="superscript"/>
              </w:rPr>
              <w:t>3</w:t>
            </w:r>
          </w:p>
        </w:tc>
        <w:tc>
          <w:tcPr>
            <w:tcW w:w="1985" w:type="dxa"/>
            <w:tcBorders>
              <w:left w:val="single" w:sz="12" w:space="0" w:color="000000"/>
              <w:right w:val="single" w:sz="12" w:space="0" w:color="000000"/>
            </w:tcBorders>
          </w:tcPr>
          <w:p w:rsidR="008F03B5" w:rsidRDefault="00586B9B">
            <w:pPr>
              <w:pStyle w:val="TableParagraph"/>
              <w:spacing w:before="133"/>
              <w:ind w:left="493" w:right="480"/>
              <w:jc w:val="center"/>
            </w:pPr>
            <w:r>
              <w:t>307,553</w:t>
            </w:r>
          </w:p>
        </w:tc>
        <w:tc>
          <w:tcPr>
            <w:tcW w:w="1843" w:type="dxa"/>
            <w:tcBorders>
              <w:left w:val="single" w:sz="12" w:space="0" w:color="000000"/>
              <w:right w:val="single" w:sz="12" w:space="0" w:color="000000"/>
            </w:tcBorders>
          </w:tcPr>
          <w:p w:rsidR="008F03B5" w:rsidRDefault="00586B9B">
            <w:pPr>
              <w:pStyle w:val="TableParagraph"/>
              <w:spacing w:before="133"/>
              <w:ind w:left="801"/>
            </w:pPr>
            <w:r>
              <w:t>24</w:t>
            </w:r>
          </w:p>
        </w:tc>
        <w:tc>
          <w:tcPr>
            <w:tcW w:w="2123" w:type="dxa"/>
            <w:tcBorders>
              <w:left w:val="single" w:sz="12" w:space="0" w:color="000000"/>
            </w:tcBorders>
            <w:shd w:val="clear" w:color="auto" w:fill="F6F8FB"/>
          </w:tcPr>
          <w:p w:rsidR="008F03B5" w:rsidRDefault="00586B9B">
            <w:pPr>
              <w:pStyle w:val="TableParagraph"/>
              <w:spacing w:before="133"/>
              <w:ind w:left="275" w:right="266"/>
              <w:jc w:val="center"/>
            </w:pPr>
            <w:r>
              <w:t>7.8</w:t>
            </w:r>
          </w:p>
        </w:tc>
        <w:tc>
          <w:tcPr>
            <w:tcW w:w="1987" w:type="dxa"/>
          </w:tcPr>
          <w:p w:rsidR="008F03B5" w:rsidRDefault="00586B9B">
            <w:pPr>
              <w:pStyle w:val="TableParagraph"/>
              <w:spacing w:before="133"/>
              <w:ind w:left="783" w:right="767"/>
              <w:jc w:val="center"/>
            </w:pPr>
            <w:r>
              <w:t>75%</w:t>
            </w:r>
          </w:p>
        </w:tc>
      </w:tr>
      <w:tr w:rsidR="008F03B5">
        <w:trPr>
          <w:trHeight w:val="890"/>
        </w:trPr>
        <w:tc>
          <w:tcPr>
            <w:tcW w:w="1666" w:type="dxa"/>
            <w:tcBorders>
              <w:right w:val="single" w:sz="12" w:space="0" w:color="000000"/>
            </w:tcBorders>
          </w:tcPr>
          <w:p w:rsidR="008F03B5" w:rsidRDefault="00586B9B">
            <w:pPr>
              <w:pStyle w:val="TableParagraph"/>
              <w:spacing w:before="133"/>
              <w:ind w:left="14"/>
              <w:rPr>
                <w:b/>
              </w:rPr>
            </w:pPr>
            <w:r>
              <w:rPr>
                <w:b/>
              </w:rPr>
              <w:t>Davis</w:t>
            </w:r>
          </w:p>
          <w:p w:rsidR="008F03B5" w:rsidRDefault="00586B9B">
            <w:pPr>
              <w:pStyle w:val="TableParagraph"/>
              <w:spacing w:before="162"/>
              <w:ind w:left="14"/>
              <w:rPr>
                <w:b/>
              </w:rPr>
            </w:pPr>
            <w:r>
              <w:rPr>
                <w:b/>
              </w:rPr>
              <w:t>2008</w:t>
            </w:r>
            <w:r>
              <w:rPr>
                <w:b/>
                <w:vertAlign w:val="superscript"/>
              </w:rPr>
              <w:t>2</w:t>
            </w:r>
          </w:p>
        </w:tc>
        <w:tc>
          <w:tcPr>
            <w:tcW w:w="1985" w:type="dxa"/>
            <w:tcBorders>
              <w:left w:val="single" w:sz="12" w:space="0" w:color="000000"/>
              <w:bottom w:val="single" w:sz="4" w:space="0" w:color="000000"/>
              <w:right w:val="single" w:sz="12" w:space="0" w:color="000000"/>
            </w:tcBorders>
          </w:tcPr>
          <w:p w:rsidR="008F03B5" w:rsidRDefault="00586B9B">
            <w:pPr>
              <w:pStyle w:val="TableParagraph"/>
              <w:spacing w:before="133"/>
              <w:ind w:left="493" w:right="480"/>
              <w:jc w:val="center"/>
            </w:pPr>
            <w:r>
              <w:t>2, 611,119</w:t>
            </w:r>
          </w:p>
        </w:tc>
        <w:tc>
          <w:tcPr>
            <w:tcW w:w="1843" w:type="dxa"/>
            <w:tcBorders>
              <w:left w:val="single" w:sz="12" w:space="0" w:color="000000"/>
              <w:bottom w:val="single" w:sz="4" w:space="0" w:color="000000"/>
              <w:right w:val="single" w:sz="12" w:space="0" w:color="000000"/>
            </w:tcBorders>
          </w:tcPr>
          <w:p w:rsidR="008F03B5" w:rsidRDefault="00586B9B">
            <w:pPr>
              <w:pStyle w:val="TableParagraph"/>
              <w:spacing w:before="133"/>
              <w:ind w:left="746"/>
            </w:pPr>
            <w:r>
              <w:t>110</w:t>
            </w:r>
          </w:p>
        </w:tc>
        <w:tc>
          <w:tcPr>
            <w:tcW w:w="2123" w:type="dxa"/>
            <w:tcBorders>
              <w:left w:val="single" w:sz="12" w:space="0" w:color="000000"/>
              <w:bottom w:val="single" w:sz="4" w:space="0" w:color="000000"/>
            </w:tcBorders>
            <w:shd w:val="clear" w:color="auto" w:fill="F6F8FB"/>
          </w:tcPr>
          <w:p w:rsidR="008F03B5" w:rsidRDefault="00586B9B">
            <w:pPr>
              <w:pStyle w:val="TableParagraph"/>
              <w:spacing w:before="133"/>
              <w:ind w:left="275" w:right="266"/>
              <w:jc w:val="center"/>
            </w:pPr>
            <w:r>
              <w:t>3.4</w:t>
            </w:r>
          </w:p>
        </w:tc>
        <w:tc>
          <w:tcPr>
            <w:tcW w:w="1987" w:type="dxa"/>
            <w:tcBorders>
              <w:bottom w:val="single" w:sz="4" w:space="0" w:color="000000"/>
            </w:tcBorders>
          </w:tcPr>
          <w:p w:rsidR="008F03B5" w:rsidRDefault="00586B9B">
            <w:pPr>
              <w:pStyle w:val="TableParagraph"/>
              <w:spacing w:before="133"/>
              <w:ind w:left="783" w:right="767"/>
              <w:jc w:val="center"/>
            </w:pPr>
            <w:r>
              <w:t>24%</w:t>
            </w:r>
          </w:p>
        </w:tc>
      </w:tr>
    </w:tbl>
    <w:p w:rsidR="008F03B5" w:rsidRDefault="00586B9B">
      <w:pPr>
        <w:pStyle w:val="3"/>
        <w:spacing w:before="117"/>
      </w:pPr>
      <w:r>
        <w:t>Table 26: Incidence and outcome of cardiac arrest in out-patient dialysis units.</w:t>
      </w:r>
    </w:p>
    <w:p w:rsidR="008F03B5" w:rsidRDefault="00586B9B">
      <w:pPr>
        <w:spacing w:before="160"/>
        <w:ind w:left="217"/>
        <w:rPr>
          <w:sz w:val="18"/>
        </w:rPr>
      </w:pPr>
      <w:r>
        <w:rPr>
          <w:sz w:val="18"/>
        </w:rPr>
        <w:t>NA – not available.</w:t>
      </w:r>
    </w:p>
    <w:p w:rsidR="008F03B5" w:rsidRDefault="00586B9B">
      <w:pPr>
        <w:pStyle w:val="a3"/>
        <w:spacing w:before="153" w:line="276" w:lineRule="auto"/>
        <w:ind w:left="217" w:right="306"/>
      </w:pPr>
      <w:r>
        <w:t>Within the out-patient setting, most cardiac arrests occur during the dialysis session as shown in Table 27. Karnik et al reported that the mean time into dialysis at cardiac arrest was 123 ± 77 minutes</w:t>
      </w:r>
      <w:r w:rsidR="00903055">
        <w:t>.</w:t>
      </w:r>
      <w:r w:rsidR="00903055">
        <w:rPr>
          <w:vertAlign w:val="superscript"/>
        </w:rPr>
        <w:t>1</w:t>
      </w:r>
      <w:r w:rsidR="00903055">
        <w:t xml:space="preserve"> </w:t>
      </w:r>
      <w:r w:rsidR="00903055">
        <w:rPr>
          <w:rFonts w:ascii="宋体" w:eastAsia="宋体" w:hAnsi="宋体" w:cs="宋体" w:hint="eastAsia"/>
        </w:rPr>
        <w:t>。。</w:t>
      </w:r>
      <w:r w:rsidR="00903055">
        <w:t>T</w:t>
      </w:r>
      <w:r>
        <w:t>he mean time to cardiac arrest was shorter in patients with central venous catheters compared with arteriovenous fistulas</w:t>
      </w:r>
      <w:r w:rsidR="00903055">
        <w:t>.</w:t>
      </w:r>
      <w:r w:rsidR="00903055">
        <w:rPr>
          <w:vertAlign w:val="superscript"/>
        </w:rPr>
        <w:t>1</w:t>
      </w:r>
      <w:r w:rsidR="00903055">
        <w:t xml:space="preserve"> </w:t>
      </w:r>
      <w:r w:rsidR="00903055">
        <w:rPr>
          <w:rFonts w:ascii="宋体" w:eastAsia="宋体" w:hAnsi="宋体" w:cs="宋体" w:hint="eastAsia"/>
        </w:rPr>
        <w:t>。。</w:t>
      </w:r>
      <w:r w:rsidR="00903055">
        <w:t>E</w:t>
      </w:r>
      <w:r>
        <w:t>lectrolyte and fluid shifts may also play a role in the timing of</w:t>
      </w:r>
      <w:r>
        <w:rPr>
          <w:spacing w:val="-16"/>
        </w:rPr>
        <w:t xml:space="preserve"> </w:t>
      </w:r>
      <w:r>
        <w:t>events.</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9" w:after="1"/>
        <w:rPr>
          <w:sz w:val="9"/>
        </w:rPr>
      </w:pP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49"/>
        <w:gridCol w:w="1532"/>
        <w:gridCol w:w="1558"/>
        <w:gridCol w:w="1844"/>
        <w:gridCol w:w="2269"/>
      </w:tblGrid>
      <w:tr w:rsidR="008F03B5">
        <w:trPr>
          <w:trHeight w:val="556"/>
        </w:trPr>
        <w:tc>
          <w:tcPr>
            <w:tcW w:w="2249" w:type="dxa"/>
            <w:shd w:val="clear" w:color="auto" w:fill="DEEAF6"/>
          </w:tcPr>
          <w:p w:rsidR="008F03B5" w:rsidRDefault="00586B9B">
            <w:pPr>
              <w:pStyle w:val="TableParagraph"/>
              <w:spacing w:before="116"/>
              <w:ind w:left="107"/>
              <w:rPr>
                <w:b/>
              </w:rPr>
            </w:pPr>
            <w:r>
              <w:rPr>
                <w:b/>
              </w:rPr>
              <w:t>Study</w:t>
            </w:r>
          </w:p>
        </w:tc>
        <w:tc>
          <w:tcPr>
            <w:tcW w:w="1532" w:type="dxa"/>
            <w:shd w:val="clear" w:color="auto" w:fill="DEEAF6"/>
          </w:tcPr>
          <w:p w:rsidR="008F03B5" w:rsidRDefault="00586B9B">
            <w:pPr>
              <w:pStyle w:val="TableParagraph"/>
              <w:spacing w:before="116"/>
              <w:ind w:left="578" w:right="566"/>
              <w:jc w:val="center"/>
              <w:rPr>
                <w:b/>
              </w:rPr>
            </w:pPr>
            <w:r>
              <w:rPr>
                <w:b/>
              </w:rPr>
              <w:t>N=</w:t>
            </w:r>
          </w:p>
        </w:tc>
        <w:tc>
          <w:tcPr>
            <w:tcW w:w="1558" w:type="dxa"/>
            <w:shd w:val="clear" w:color="auto" w:fill="DEEAF6"/>
          </w:tcPr>
          <w:p w:rsidR="008F03B5" w:rsidRDefault="00586B9B">
            <w:pPr>
              <w:pStyle w:val="TableParagraph"/>
              <w:spacing w:before="116"/>
              <w:ind w:left="289" w:right="279"/>
              <w:jc w:val="center"/>
              <w:rPr>
                <w:b/>
              </w:rPr>
            </w:pPr>
            <w:r>
              <w:rPr>
                <w:b/>
              </w:rPr>
              <w:t>Before HD</w:t>
            </w:r>
          </w:p>
        </w:tc>
        <w:tc>
          <w:tcPr>
            <w:tcW w:w="1844" w:type="dxa"/>
            <w:shd w:val="clear" w:color="auto" w:fill="DEEAF6"/>
          </w:tcPr>
          <w:p w:rsidR="008F03B5" w:rsidRDefault="00586B9B">
            <w:pPr>
              <w:pStyle w:val="TableParagraph"/>
              <w:spacing w:before="116"/>
              <w:ind w:left="431" w:right="424"/>
              <w:jc w:val="center"/>
              <w:rPr>
                <w:b/>
              </w:rPr>
            </w:pPr>
            <w:r>
              <w:rPr>
                <w:b/>
              </w:rPr>
              <w:t>During HD</w:t>
            </w:r>
          </w:p>
        </w:tc>
        <w:tc>
          <w:tcPr>
            <w:tcW w:w="2269" w:type="dxa"/>
            <w:shd w:val="clear" w:color="auto" w:fill="DEEAF6"/>
          </w:tcPr>
          <w:p w:rsidR="008F03B5" w:rsidRDefault="00586B9B">
            <w:pPr>
              <w:pStyle w:val="TableParagraph"/>
              <w:spacing w:before="116"/>
              <w:ind w:left="716" w:right="706"/>
              <w:jc w:val="center"/>
              <w:rPr>
                <w:b/>
              </w:rPr>
            </w:pPr>
            <w:r>
              <w:rPr>
                <w:b/>
              </w:rPr>
              <w:t>After HD</w:t>
            </w:r>
          </w:p>
        </w:tc>
      </w:tr>
      <w:tr w:rsidR="008F03B5">
        <w:trPr>
          <w:trHeight w:val="530"/>
        </w:trPr>
        <w:tc>
          <w:tcPr>
            <w:tcW w:w="2249" w:type="dxa"/>
          </w:tcPr>
          <w:p w:rsidR="008F03B5" w:rsidRDefault="00586B9B">
            <w:pPr>
              <w:pStyle w:val="TableParagraph"/>
              <w:spacing w:before="119"/>
              <w:ind w:left="107"/>
            </w:pPr>
            <w:r>
              <w:rPr>
                <w:b/>
              </w:rPr>
              <w:t>Karnik 2001</w:t>
            </w:r>
            <w:r>
              <w:rPr>
                <w:vertAlign w:val="superscript"/>
              </w:rPr>
              <w:t>1</w:t>
            </w:r>
          </w:p>
        </w:tc>
        <w:tc>
          <w:tcPr>
            <w:tcW w:w="1532" w:type="dxa"/>
          </w:tcPr>
          <w:p w:rsidR="008F03B5" w:rsidRDefault="00586B9B">
            <w:pPr>
              <w:pStyle w:val="TableParagraph"/>
              <w:spacing w:before="119"/>
              <w:ind w:left="578" w:right="569"/>
              <w:jc w:val="center"/>
            </w:pPr>
            <w:r>
              <w:t>400</w:t>
            </w:r>
          </w:p>
        </w:tc>
        <w:tc>
          <w:tcPr>
            <w:tcW w:w="1558" w:type="dxa"/>
          </w:tcPr>
          <w:p w:rsidR="008F03B5" w:rsidRDefault="00586B9B">
            <w:pPr>
              <w:pStyle w:val="TableParagraph"/>
              <w:spacing w:before="119"/>
              <w:ind w:left="289" w:right="276"/>
              <w:jc w:val="center"/>
            </w:pPr>
            <w:r>
              <w:t>7%</w:t>
            </w:r>
          </w:p>
        </w:tc>
        <w:tc>
          <w:tcPr>
            <w:tcW w:w="1844" w:type="dxa"/>
            <w:shd w:val="clear" w:color="auto" w:fill="EBF3F9"/>
          </w:tcPr>
          <w:p w:rsidR="008F03B5" w:rsidRDefault="00586B9B">
            <w:pPr>
              <w:pStyle w:val="TableParagraph"/>
              <w:spacing w:before="119"/>
              <w:ind w:left="431" w:right="421"/>
              <w:jc w:val="center"/>
            </w:pPr>
            <w:r>
              <w:t>81%</w:t>
            </w:r>
          </w:p>
        </w:tc>
        <w:tc>
          <w:tcPr>
            <w:tcW w:w="2269" w:type="dxa"/>
          </w:tcPr>
          <w:p w:rsidR="008F03B5" w:rsidRDefault="00586B9B">
            <w:pPr>
              <w:pStyle w:val="TableParagraph"/>
              <w:spacing w:before="119"/>
              <w:ind w:left="713" w:right="706"/>
              <w:jc w:val="center"/>
            </w:pPr>
            <w:r>
              <w:t>12%</w:t>
            </w:r>
          </w:p>
        </w:tc>
      </w:tr>
      <w:tr w:rsidR="008F03B5">
        <w:trPr>
          <w:trHeight w:val="539"/>
        </w:trPr>
        <w:tc>
          <w:tcPr>
            <w:tcW w:w="2249" w:type="dxa"/>
          </w:tcPr>
          <w:p w:rsidR="008F03B5" w:rsidRDefault="00586B9B">
            <w:pPr>
              <w:pStyle w:val="TableParagraph"/>
              <w:spacing w:before="119"/>
              <w:ind w:left="107"/>
              <w:rPr>
                <w:b/>
              </w:rPr>
            </w:pPr>
            <w:r>
              <w:rPr>
                <w:b/>
              </w:rPr>
              <w:t>Davis 2008</w:t>
            </w:r>
            <w:r>
              <w:rPr>
                <w:b/>
                <w:vertAlign w:val="superscript"/>
              </w:rPr>
              <w:t>2</w:t>
            </w:r>
          </w:p>
        </w:tc>
        <w:tc>
          <w:tcPr>
            <w:tcW w:w="1532" w:type="dxa"/>
          </w:tcPr>
          <w:p w:rsidR="008F03B5" w:rsidRDefault="00586B9B">
            <w:pPr>
              <w:pStyle w:val="TableParagraph"/>
              <w:spacing w:before="119"/>
              <w:ind w:left="578" w:right="569"/>
              <w:jc w:val="center"/>
            </w:pPr>
            <w:r>
              <w:t>152</w:t>
            </w:r>
          </w:p>
        </w:tc>
        <w:tc>
          <w:tcPr>
            <w:tcW w:w="1558" w:type="dxa"/>
          </w:tcPr>
          <w:p w:rsidR="008F03B5" w:rsidRDefault="00586B9B">
            <w:pPr>
              <w:pStyle w:val="TableParagraph"/>
              <w:spacing w:before="119"/>
              <w:ind w:left="289" w:right="276"/>
              <w:jc w:val="center"/>
            </w:pPr>
            <w:r>
              <w:t>10%</w:t>
            </w:r>
          </w:p>
        </w:tc>
        <w:tc>
          <w:tcPr>
            <w:tcW w:w="1844" w:type="dxa"/>
            <w:shd w:val="clear" w:color="auto" w:fill="EBF3F9"/>
          </w:tcPr>
          <w:p w:rsidR="008F03B5" w:rsidRDefault="00586B9B">
            <w:pPr>
              <w:pStyle w:val="TableParagraph"/>
              <w:spacing w:before="119"/>
              <w:ind w:left="431" w:right="421"/>
              <w:jc w:val="center"/>
            </w:pPr>
            <w:r>
              <w:t>70%</w:t>
            </w:r>
          </w:p>
        </w:tc>
        <w:tc>
          <w:tcPr>
            <w:tcW w:w="2269" w:type="dxa"/>
          </w:tcPr>
          <w:p w:rsidR="008F03B5" w:rsidRDefault="00586B9B">
            <w:pPr>
              <w:pStyle w:val="TableParagraph"/>
              <w:spacing w:before="119"/>
              <w:ind w:left="713" w:right="706"/>
              <w:jc w:val="center"/>
            </w:pPr>
            <w:r>
              <w:t>20%</w:t>
            </w:r>
          </w:p>
        </w:tc>
      </w:tr>
      <w:tr w:rsidR="008F03B5">
        <w:trPr>
          <w:trHeight w:val="856"/>
        </w:trPr>
        <w:tc>
          <w:tcPr>
            <w:tcW w:w="2249" w:type="dxa"/>
          </w:tcPr>
          <w:p w:rsidR="008F03B5" w:rsidRDefault="00586B9B">
            <w:pPr>
              <w:pStyle w:val="TableParagraph"/>
              <w:spacing w:before="116"/>
              <w:ind w:left="107"/>
              <w:rPr>
                <w:b/>
              </w:rPr>
            </w:pPr>
            <w:r>
              <w:rPr>
                <w:b/>
              </w:rPr>
              <w:t>La France 2006</w:t>
            </w:r>
            <w:r>
              <w:rPr>
                <w:b/>
                <w:vertAlign w:val="superscript"/>
              </w:rPr>
              <w:t>3</w:t>
            </w:r>
          </w:p>
        </w:tc>
        <w:tc>
          <w:tcPr>
            <w:tcW w:w="1532" w:type="dxa"/>
          </w:tcPr>
          <w:p w:rsidR="008F03B5" w:rsidRDefault="00586B9B">
            <w:pPr>
              <w:pStyle w:val="TableParagraph"/>
              <w:spacing w:before="116"/>
              <w:ind w:left="578" w:right="569"/>
              <w:jc w:val="center"/>
            </w:pPr>
            <w:r>
              <w:t>38</w:t>
            </w:r>
          </w:p>
        </w:tc>
        <w:tc>
          <w:tcPr>
            <w:tcW w:w="1558" w:type="dxa"/>
          </w:tcPr>
          <w:p w:rsidR="008F03B5" w:rsidRDefault="00586B9B">
            <w:pPr>
              <w:pStyle w:val="TableParagraph"/>
              <w:spacing w:before="116"/>
              <w:ind w:left="289" w:right="276"/>
              <w:jc w:val="center"/>
            </w:pPr>
            <w:r>
              <w:t>8%</w:t>
            </w:r>
          </w:p>
        </w:tc>
        <w:tc>
          <w:tcPr>
            <w:tcW w:w="1844" w:type="dxa"/>
            <w:shd w:val="clear" w:color="auto" w:fill="EBF3F9"/>
          </w:tcPr>
          <w:p w:rsidR="008F03B5" w:rsidRDefault="00586B9B">
            <w:pPr>
              <w:pStyle w:val="TableParagraph"/>
              <w:spacing w:before="116"/>
              <w:ind w:left="431" w:right="421"/>
              <w:jc w:val="center"/>
            </w:pPr>
            <w:r>
              <w:t>78%</w:t>
            </w:r>
          </w:p>
        </w:tc>
        <w:tc>
          <w:tcPr>
            <w:tcW w:w="2269" w:type="dxa"/>
          </w:tcPr>
          <w:p w:rsidR="008F03B5" w:rsidRDefault="00586B9B">
            <w:pPr>
              <w:pStyle w:val="TableParagraph"/>
              <w:spacing w:before="116"/>
              <w:ind w:left="713" w:right="706"/>
              <w:jc w:val="center"/>
            </w:pPr>
            <w:r>
              <w:t>14%</w:t>
            </w:r>
          </w:p>
        </w:tc>
      </w:tr>
    </w:tbl>
    <w:p w:rsidR="008F03B5" w:rsidRDefault="008F03B5">
      <w:pPr>
        <w:pStyle w:val="a3"/>
        <w:spacing w:before="2"/>
        <w:rPr>
          <w:sz w:val="17"/>
        </w:rPr>
      </w:pPr>
    </w:p>
    <w:p w:rsidR="008F03B5" w:rsidRDefault="00586B9B">
      <w:pPr>
        <w:pStyle w:val="3"/>
        <w:spacing w:before="56"/>
      </w:pPr>
      <w:r>
        <w:t>Table 27: Timing of cardiac arrest during dialysis in out-patient centres.</w:t>
      </w:r>
    </w:p>
    <w:p w:rsidR="008F03B5" w:rsidRDefault="00586B9B">
      <w:pPr>
        <w:spacing w:before="3"/>
        <w:ind w:left="217"/>
        <w:rPr>
          <w:sz w:val="18"/>
        </w:rPr>
      </w:pPr>
      <w:r>
        <w:rPr>
          <w:sz w:val="18"/>
        </w:rPr>
        <w:t>HD – haemodialysis</w:t>
      </w:r>
    </w:p>
    <w:p w:rsidR="008F03B5" w:rsidRDefault="008F03B5">
      <w:pPr>
        <w:pStyle w:val="a3"/>
        <w:rPr>
          <w:sz w:val="18"/>
        </w:rPr>
      </w:pPr>
    </w:p>
    <w:p w:rsidR="008F03B5" w:rsidRDefault="008F03B5">
      <w:pPr>
        <w:pStyle w:val="a3"/>
        <w:spacing w:before="9"/>
        <w:rPr>
          <w:sz w:val="26"/>
        </w:rPr>
      </w:pPr>
    </w:p>
    <w:p w:rsidR="008F03B5" w:rsidRDefault="00586B9B">
      <w:pPr>
        <w:pStyle w:val="a3"/>
        <w:spacing w:line="276" w:lineRule="auto"/>
        <w:ind w:left="217" w:right="339"/>
      </w:pPr>
      <w:r>
        <w:t>Shockable cardiac arrest rhythms (pulseless VT or VF), have been reported to be more common in the dialysis population than non-shockable rhythms (PEA or asystole). Davis et al demonstrated a shockable primary arrest rhythm in 65% of arrests</w:t>
      </w:r>
      <w:r w:rsidR="00903055">
        <w:t>.</w:t>
      </w:r>
      <w:r w:rsidR="00903055">
        <w:rPr>
          <w:vertAlign w:val="superscript"/>
        </w:rPr>
        <w:t>2</w:t>
      </w:r>
      <w:r w:rsidR="00903055">
        <w:t xml:space="preserve"> </w:t>
      </w:r>
      <w:r w:rsidR="00903055">
        <w:rPr>
          <w:rFonts w:ascii="宋体" w:eastAsia="宋体" w:hAnsi="宋体" w:cs="宋体" w:hint="eastAsia"/>
        </w:rPr>
        <w:t>。。</w:t>
      </w:r>
      <w:r w:rsidR="00903055">
        <w:t>K</w:t>
      </w:r>
      <w:r>
        <w:t>arnik et al reported the arrest rhythm in only 16% of cases but of these, the initial rhythm was VF in 42%, VT in 20% and asystole in 15%</w:t>
      </w:r>
      <w:r w:rsidR="00903055">
        <w:t>.</w:t>
      </w:r>
      <w:r w:rsidR="00903055">
        <w:rPr>
          <w:vertAlign w:val="superscript"/>
        </w:rPr>
        <w:t>1</w:t>
      </w:r>
      <w:r w:rsidR="00903055">
        <w:t xml:space="preserve"> </w:t>
      </w:r>
      <w:r w:rsidR="00903055">
        <w:rPr>
          <w:rFonts w:ascii="宋体" w:eastAsia="宋体" w:hAnsi="宋体" w:cs="宋体" w:hint="eastAsia"/>
        </w:rPr>
        <w:t>。。</w:t>
      </w:r>
      <w:r w:rsidR="00903055">
        <w:t>L</w:t>
      </w:r>
      <w:r>
        <w:t>aFrance et al reported data on the first cardiac arrest rhythm in only 12 patients - VF/VT (6/12 patients), PEA/ asystole (6/12 patients).</w:t>
      </w:r>
      <w:r>
        <w:rPr>
          <w:vertAlign w:val="superscript"/>
        </w:rPr>
        <w:t>3</w:t>
      </w:r>
    </w:p>
    <w:p w:rsidR="008F03B5" w:rsidRDefault="008F03B5">
      <w:pPr>
        <w:pStyle w:val="a3"/>
        <w:rPr>
          <w:sz w:val="20"/>
        </w:rPr>
      </w:pPr>
    </w:p>
    <w:p w:rsidR="008F03B5" w:rsidRDefault="008F03B5">
      <w:pPr>
        <w:pStyle w:val="a3"/>
        <w:spacing w:before="4"/>
        <w:rPr>
          <w:sz w:val="15"/>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69"/>
        <w:gridCol w:w="1133"/>
        <w:gridCol w:w="1200"/>
        <w:gridCol w:w="1152"/>
        <w:gridCol w:w="1075"/>
        <w:gridCol w:w="1236"/>
        <w:gridCol w:w="1237"/>
      </w:tblGrid>
      <w:tr w:rsidR="008F03B5">
        <w:trPr>
          <w:trHeight w:val="556"/>
        </w:trPr>
        <w:tc>
          <w:tcPr>
            <w:tcW w:w="2069" w:type="dxa"/>
            <w:tcBorders>
              <w:right w:val="single" w:sz="12" w:space="0" w:color="000000"/>
            </w:tcBorders>
          </w:tcPr>
          <w:p w:rsidR="008F03B5" w:rsidRDefault="008F03B5">
            <w:pPr>
              <w:pStyle w:val="TableParagraph"/>
              <w:rPr>
                <w:rFonts w:ascii="Times New Roman"/>
                <w:sz w:val="20"/>
              </w:rPr>
            </w:pPr>
          </w:p>
        </w:tc>
        <w:tc>
          <w:tcPr>
            <w:tcW w:w="3485" w:type="dxa"/>
            <w:gridSpan w:val="3"/>
            <w:tcBorders>
              <w:left w:val="single" w:sz="12" w:space="0" w:color="000000"/>
              <w:right w:val="single" w:sz="12" w:space="0" w:color="000000"/>
            </w:tcBorders>
            <w:shd w:val="clear" w:color="auto" w:fill="E9EEF7"/>
          </w:tcPr>
          <w:p w:rsidR="008F03B5" w:rsidRDefault="00586B9B">
            <w:pPr>
              <w:pStyle w:val="TableParagraph"/>
              <w:spacing w:before="140"/>
              <w:ind w:left="1140"/>
              <w:rPr>
                <w:b/>
              </w:rPr>
            </w:pPr>
            <w:r>
              <w:rPr>
                <w:b/>
              </w:rPr>
              <w:t>PEA/Asystole</w:t>
            </w:r>
          </w:p>
        </w:tc>
        <w:tc>
          <w:tcPr>
            <w:tcW w:w="3548" w:type="dxa"/>
            <w:gridSpan w:val="3"/>
            <w:tcBorders>
              <w:left w:val="single" w:sz="12" w:space="0" w:color="000000"/>
            </w:tcBorders>
            <w:shd w:val="clear" w:color="auto" w:fill="FFDDDD"/>
          </w:tcPr>
          <w:p w:rsidR="008F03B5" w:rsidRDefault="00586B9B">
            <w:pPr>
              <w:pStyle w:val="TableParagraph"/>
              <w:spacing w:before="140"/>
              <w:ind w:left="1082"/>
              <w:rPr>
                <w:b/>
              </w:rPr>
            </w:pPr>
            <w:r>
              <w:rPr>
                <w:b/>
              </w:rPr>
              <w:t>VF/VT</w:t>
            </w:r>
          </w:p>
        </w:tc>
      </w:tr>
      <w:tr w:rsidR="008F03B5">
        <w:trPr>
          <w:trHeight w:val="870"/>
        </w:trPr>
        <w:tc>
          <w:tcPr>
            <w:tcW w:w="2069" w:type="dxa"/>
            <w:tcBorders>
              <w:right w:val="single" w:sz="12" w:space="0" w:color="000000"/>
            </w:tcBorders>
          </w:tcPr>
          <w:p w:rsidR="008F03B5" w:rsidRDefault="00586B9B">
            <w:pPr>
              <w:pStyle w:val="TableParagraph"/>
              <w:spacing w:before="11"/>
              <w:ind w:left="14"/>
              <w:rPr>
                <w:b/>
              </w:rPr>
            </w:pPr>
            <w:r>
              <w:rPr>
                <w:b/>
              </w:rPr>
              <w:t>Study</w:t>
            </w:r>
          </w:p>
        </w:tc>
        <w:tc>
          <w:tcPr>
            <w:tcW w:w="1133" w:type="dxa"/>
            <w:tcBorders>
              <w:left w:val="single" w:sz="12" w:space="0" w:color="000000"/>
            </w:tcBorders>
            <w:shd w:val="clear" w:color="auto" w:fill="E9EEF7"/>
          </w:tcPr>
          <w:p w:rsidR="008F03B5" w:rsidRDefault="00586B9B">
            <w:pPr>
              <w:pStyle w:val="TableParagraph"/>
              <w:spacing w:before="11"/>
              <w:ind w:left="237" w:right="229"/>
              <w:jc w:val="center"/>
              <w:rPr>
                <w:b/>
              </w:rPr>
            </w:pPr>
            <w:r>
              <w:rPr>
                <w:b/>
              </w:rPr>
              <w:t>Events</w:t>
            </w:r>
          </w:p>
          <w:p w:rsidR="008F03B5" w:rsidRDefault="00586B9B">
            <w:pPr>
              <w:pStyle w:val="TableParagraph"/>
              <w:ind w:left="4"/>
              <w:jc w:val="center"/>
              <w:rPr>
                <w:b/>
              </w:rPr>
            </w:pPr>
            <w:r>
              <w:rPr>
                <w:b/>
              </w:rPr>
              <w:t>%</w:t>
            </w:r>
          </w:p>
        </w:tc>
        <w:tc>
          <w:tcPr>
            <w:tcW w:w="1200" w:type="dxa"/>
            <w:shd w:val="clear" w:color="auto" w:fill="E9EEF7"/>
          </w:tcPr>
          <w:p w:rsidR="008F03B5" w:rsidRDefault="00586B9B">
            <w:pPr>
              <w:pStyle w:val="TableParagraph"/>
              <w:spacing w:before="11"/>
              <w:ind w:left="176" w:right="162"/>
              <w:jc w:val="center"/>
              <w:rPr>
                <w:b/>
              </w:rPr>
            </w:pPr>
            <w:r>
              <w:rPr>
                <w:b/>
              </w:rPr>
              <w:t>ROSC</w:t>
            </w:r>
          </w:p>
          <w:p w:rsidR="008F03B5" w:rsidRDefault="00586B9B">
            <w:pPr>
              <w:pStyle w:val="TableParagraph"/>
              <w:ind w:left="177" w:right="162"/>
              <w:jc w:val="center"/>
              <w:rPr>
                <w:b/>
              </w:rPr>
            </w:pPr>
            <w:r>
              <w:rPr>
                <w:b/>
              </w:rPr>
              <w:t>Achieved (%)</w:t>
            </w:r>
          </w:p>
        </w:tc>
        <w:tc>
          <w:tcPr>
            <w:tcW w:w="1152" w:type="dxa"/>
            <w:tcBorders>
              <w:right w:val="single" w:sz="12" w:space="0" w:color="000000"/>
            </w:tcBorders>
            <w:shd w:val="clear" w:color="auto" w:fill="E9EEF7"/>
          </w:tcPr>
          <w:p w:rsidR="008F03B5" w:rsidRDefault="00586B9B">
            <w:pPr>
              <w:pStyle w:val="TableParagraph"/>
              <w:spacing w:before="11"/>
              <w:ind w:left="201" w:right="52" w:hanging="113"/>
              <w:rPr>
                <w:b/>
              </w:rPr>
            </w:pPr>
            <w:r>
              <w:rPr>
                <w:b/>
              </w:rPr>
              <w:t>Survival to D/C (%)</w:t>
            </w:r>
          </w:p>
        </w:tc>
        <w:tc>
          <w:tcPr>
            <w:tcW w:w="1075" w:type="dxa"/>
            <w:tcBorders>
              <w:left w:val="single" w:sz="12" w:space="0" w:color="000000"/>
            </w:tcBorders>
            <w:shd w:val="clear" w:color="auto" w:fill="FFDDDD"/>
          </w:tcPr>
          <w:p w:rsidR="008F03B5" w:rsidRDefault="00586B9B">
            <w:pPr>
              <w:pStyle w:val="TableParagraph"/>
              <w:spacing w:before="11"/>
              <w:ind w:left="206" w:right="201"/>
              <w:jc w:val="center"/>
              <w:rPr>
                <w:b/>
              </w:rPr>
            </w:pPr>
            <w:r>
              <w:rPr>
                <w:b/>
              </w:rPr>
              <w:t>Events</w:t>
            </w:r>
          </w:p>
          <w:p w:rsidR="008F03B5" w:rsidRDefault="00586B9B">
            <w:pPr>
              <w:pStyle w:val="TableParagraph"/>
              <w:ind w:left="6"/>
              <w:jc w:val="center"/>
              <w:rPr>
                <w:b/>
              </w:rPr>
            </w:pPr>
            <w:r>
              <w:rPr>
                <w:b/>
              </w:rPr>
              <w:t>%</w:t>
            </w:r>
          </w:p>
        </w:tc>
        <w:tc>
          <w:tcPr>
            <w:tcW w:w="1236" w:type="dxa"/>
            <w:shd w:val="clear" w:color="auto" w:fill="FFDDDD"/>
          </w:tcPr>
          <w:p w:rsidR="008F03B5" w:rsidRDefault="00586B9B">
            <w:pPr>
              <w:pStyle w:val="TableParagraph"/>
              <w:spacing w:before="11"/>
              <w:ind w:left="196" w:right="178"/>
              <w:jc w:val="center"/>
              <w:rPr>
                <w:b/>
              </w:rPr>
            </w:pPr>
            <w:r>
              <w:rPr>
                <w:b/>
              </w:rPr>
              <w:t>ROSC</w:t>
            </w:r>
          </w:p>
          <w:p w:rsidR="008F03B5" w:rsidRDefault="00586B9B">
            <w:pPr>
              <w:pStyle w:val="TableParagraph"/>
              <w:ind w:left="197" w:right="178"/>
              <w:jc w:val="center"/>
              <w:rPr>
                <w:b/>
              </w:rPr>
            </w:pPr>
            <w:r>
              <w:rPr>
                <w:b/>
              </w:rPr>
              <w:t>Achieved (%)</w:t>
            </w:r>
          </w:p>
        </w:tc>
        <w:tc>
          <w:tcPr>
            <w:tcW w:w="1237" w:type="dxa"/>
            <w:shd w:val="clear" w:color="auto" w:fill="FFDDDD"/>
          </w:tcPr>
          <w:p w:rsidR="008F03B5" w:rsidRDefault="00586B9B">
            <w:pPr>
              <w:pStyle w:val="TableParagraph"/>
              <w:spacing w:before="131" w:line="276" w:lineRule="auto"/>
              <w:ind w:left="246" w:right="99" w:hanging="113"/>
              <w:rPr>
                <w:b/>
              </w:rPr>
            </w:pPr>
            <w:r>
              <w:rPr>
                <w:b/>
              </w:rPr>
              <w:t>Survival to D/C (%)</w:t>
            </w:r>
          </w:p>
        </w:tc>
      </w:tr>
      <w:tr w:rsidR="008F03B5">
        <w:trPr>
          <w:trHeight w:val="1132"/>
        </w:trPr>
        <w:tc>
          <w:tcPr>
            <w:tcW w:w="2069" w:type="dxa"/>
            <w:tcBorders>
              <w:right w:val="single" w:sz="12" w:space="0" w:color="000000"/>
            </w:tcBorders>
          </w:tcPr>
          <w:p w:rsidR="008F03B5" w:rsidRDefault="00586B9B">
            <w:pPr>
              <w:pStyle w:val="TableParagraph"/>
              <w:spacing w:before="11"/>
              <w:ind w:left="14" w:right="709"/>
            </w:pPr>
            <w:r>
              <w:rPr>
                <w:b/>
              </w:rPr>
              <w:t>Davis 2008</w:t>
            </w:r>
            <w:r>
              <w:rPr>
                <w:b/>
                <w:vertAlign w:val="superscript"/>
              </w:rPr>
              <w:t>2</w:t>
            </w:r>
            <w:r>
              <w:rPr>
                <w:b/>
              </w:rPr>
              <w:t xml:space="preserve"> </w:t>
            </w:r>
            <w:r>
              <w:t>HD patients Out-pt HD unit n= 152</w:t>
            </w:r>
          </w:p>
        </w:tc>
        <w:tc>
          <w:tcPr>
            <w:tcW w:w="1133" w:type="dxa"/>
            <w:tcBorders>
              <w:left w:val="single" w:sz="12" w:space="0" w:color="000000"/>
            </w:tcBorders>
            <w:shd w:val="clear" w:color="auto" w:fill="E9EEF7"/>
          </w:tcPr>
          <w:p w:rsidR="008F03B5" w:rsidRDefault="00586B9B">
            <w:pPr>
              <w:pStyle w:val="TableParagraph"/>
              <w:spacing w:before="11"/>
              <w:ind w:left="235" w:right="229"/>
              <w:jc w:val="center"/>
            </w:pPr>
            <w:r>
              <w:t>35</w:t>
            </w:r>
          </w:p>
        </w:tc>
        <w:tc>
          <w:tcPr>
            <w:tcW w:w="1200" w:type="dxa"/>
            <w:shd w:val="clear" w:color="auto" w:fill="E9EEF7"/>
          </w:tcPr>
          <w:p w:rsidR="008F03B5" w:rsidRDefault="00586B9B">
            <w:pPr>
              <w:pStyle w:val="TableParagraph"/>
              <w:spacing w:before="11"/>
              <w:ind w:left="176" w:right="162"/>
              <w:jc w:val="center"/>
            </w:pPr>
            <w:r>
              <w:t>37</w:t>
            </w:r>
          </w:p>
        </w:tc>
        <w:tc>
          <w:tcPr>
            <w:tcW w:w="1152" w:type="dxa"/>
            <w:tcBorders>
              <w:right w:val="single" w:sz="12" w:space="0" w:color="000000"/>
            </w:tcBorders>
            <w:shd w:val="clear" w:color="auto" w:fill="E9EEF7"/>
          </w:tcPr>
          <w:p w:rsidR="008F03B5" w:rsidRDefault="00586B9B">
            <w:pPr>
              <w:pStyle w:val="TableParagraph"/>
              <w:spacing w:before="11"/>
              <w:ind w:left="420" w:right="398"/>
              <w:jc w:val="center"/>
            </w:pPr>
            <w:r>
              <w:t>11</w:t>
            </w:r>
          </w:p>
        </w:tc>
        <w:tc>
          <w:tcPr>
            <w:tcW w:w="1075" w:type="dxa"/>
            <w:tcBorders>
              <w:left w:val="single" w:sz="12" w:space="0" w:color="000000"/>
            </w:tcBorders>
            <w:shd w:val="clear" w:color="auto" w:fill="FFDDDD"/>
          </w:tcPr>
          <w:p w:rsidR="008F03B5" w:rsidRDefault="00586B9B">
            <w:pPr>
              <w:pStyle w:val="TableParagraph"/>
              <w:spacing w:before="11"/>
              <w:ind w:left="417"/>
            </w:pPr>
            <w:r>
              <w:t>65</w:t>
            </w:r>
          </w:p>
        </w:tc>
        <w:tc>
          <w:tcPr>
            <w:tcW w:w="1236" w:type="dxa"/>
            <w:shd w:val="clear" w:color="auto" w:fill="FFDDDD"/>
          </w:tcPr>
          <w:p w:rsidR="008F03B5" w:rsidRDefault="00586B9B">
            <w:pPr>
              <w:pStyle w:val="TableParagraph"/>
              <w:spacing w:before="11"/>
              <w:ind w:left="196" w:right="178"/>
              <w:jc w:val="center"/>
            </w:pPr>
            <w:r>
              <w:t>51</w:t>
            </w:r>
          </w:p>
        </w:tc>
        <w:tc>
          <w:tcPr>
            <w:tcW w:w="1237" w:type="dxa"/>
            <w:shd w:val="clear" w:color="auto" w:fill="FFDDDD"/>
          </w:tcPr>
          <w:p w:rsidR="008F03B5" w:rsidRDefault="00586B9B">
            <w:pPr>
              <w:pStyle w:val="TableParagraph"/>
              <w:spacing w:before="131"/>
              <w:ind w:right="487"/>
              <w:jc w:val="right"/>
            </w:pPr>
            <w:r>
              <w:t>31</w:t>
            </w:r>
          </w:p>
        </w:tc>
      </w:tr>
      <w:tr w:rsidR="008F03B5">
        <w:trPr>
          <w:trHeight w:val="1132"/>
        </w:trPr>
        <w:tc>
          <w:tcPr>
            <w:tcW w:w="2069" w:type="dxa"/>
            <w:tcBorders>
              <w:right w:val="single" w:sz="12" w:space="0" w:color="000000"/>
            </w:tcBorders>
          </w:tcPr>
          <w:p w:rsidR="008F03B5" w:rsidRDefault="00586B9B">
            <w:pPr>
              <w:pStyle w:val="TableParagraph"/>
              <w:spacing w:before="13"/>
              <w:ind w:left="14" w:right="601"/>
            </w:pPr>
            <w:r>
              <w:rPr>
                <w:b/>
              </w:rPr>
              <w:t>La France 2006</w:t>
            </w:r>
            <w:r>
              <w:rPr>
                <w:b/>
                <w:vertAlign w:val="superscript"/>
              </w:rPr>
              <w:t>3</w:t>
            </w:r>
            <w:r>
              <w:rPr>
                <w:b/>
              </w:rPr>
              <w:t xml:space="preserve"> </w:t>
            </w:r>
            <w:r>
              <w:t>HD patients Out-pt HD unit n= 24</w:t>
            </w:r>
          </w:p>
        </w:tc>
        <w:tc>
          <w:tcPr>
            <w:tcW w:w="1133" w:type="dxa"/>
            <w:tcBorders>
              <w:left w:val="single" w:sz="12" w:space="0" w:color="000000"/>
              <w:bottom w:val="single" w:sz="4" w:space="0" w:color="000000"/>
            </w:tcBorders>
            <w:shd w:val="clear" w:color="auto" w:fill="E9EEF7"/>
          </w:tcPr>
          <w:p w:rsidR="008F03B5" w:rsidRDefault="00586B9B">
            <w:pPr>
              <w:pStyle w:val="TableParagraph"/>
              <w:spacing w:before="13"/>
              <w:ind w:left="234" w:right="229"/>
              <w:jc w:val="center"/>
            </w:pPr>
            <w:r>
              <w:t>*50</w:t>
            </w:r>
          </w:p>
        </w:tc>
        <w:tc>
          <w:tcPr>
            <w:tcW w:w="1200" w:type="dxa"/>
            <w:tcBorders>
              <w:bottom w:val="single" w:sz="4" w:space="0" w:color="000000"/>
            </w:tcBorders>
            <w:shd w:val="clear" w:color="auto" w:fill="E9EEF7"/>
          </w:tcPr>
          <w:p w:rsidR="008F03B5" w:rsidRDefault="00586B9B">
            <w:pPr>
              <w:pStyle w:val="TableParagraph"/>
              <w:spacing w:before="13"/>
              <w:ind w:left="177" w:right="161"/>
              <w:jc w:val="center"/>
            </w:pPr>
            <w:r>
              <w:t>NA</w:t>
            </w:r>
          </w:p>
        </w:tc>
        <w:tc>
          <w:tcPr>
            <w:tcW w:w="1152" w:type="dxa"/>
            <w:tcBorders>
              <w:bottom w:val="single" w:sz="4" w:space="0" w:color="000000"/>
              <w:right w:val="single" w:sz="12" w:space="0" w:color="000000"/>
            </w:tcBorders>
            <w:shd w:val="clear" w:color="auto" w:fill="E9EEF7"/>
          </w:tcPr>
          <w:p w:rsidR="008F03B5" w:rsidRDefault="00586B9B">
            <w:pPr>
              <w:pStyle w:val="TableParagraph"/>
              <w:spacing w:before="13"/>
              <w:ind w:left="421" w:right="398"/>
              <w:jc w:val="center"/>
            </w:pPr>
            <w:r>
              <w:t>NA</w:t>
            </w:r>
          </w:p>
        </w:tc>
        <w:tc>
          <w:tcPr>
            <w:tcW w:w="1075" w:type="dxa"/>
            <w:tcBorders>
              <w:left w:val="single" w:sz="12" w:space="0" w:color="000000"/>
              <w:bottom w:val="single" w:sz="4" w:space="0" w:color="000000"/>
            </w:tcBorders>
            <w:shd w:val="clear" w:color="auto" w:fill="FFDDDD"/>
          </w:tcPr>
          <w:p w:rsidR="008F03B5" w:rsidRDefault="00586B9B">
            <w:pPr>
              <w:pStyle w:val="TableParagraph"/>
              <w:spacing w:before="13"/>
              <w:ind w:left="362"/>
            </w:pPr>
            <w:r>
              <w:t>*50</w:t>
            </w:r>
          </w:p>
        </w:tc>
        <w:tc>
          <w:tcPr>
            <w:tcW w:w="1236" w:type="dxa"/>
            <w:tcBorders>
              <w:bottom w:val="single" w:sz="4" w:space="0" w:color="000000"/>
            </w:tcBorders>
            <w:shd w:val="clear" w:color="auto" w:fill="FFDDDD"/>
          </w:tcPr>
          <w:p w:rsidR="008F03B5" w:rsidRDefault="00586B9B">
            <w:pPr>
              <w:pStyle w:val="TableParagraph"/>
              <w:spacing w:before="13"/>
              <w:ind w:left="192" w:right="178"/>
              <w:jc w:val="center"/>
            </w:pPr>
            <w:r>
              <w:t>NA</w:t>
            </w:r>
          </w:p>
        </w:tc>
        <w:tc>
          <w:tcPr>
            <w:tcW w:w="1237" w:type="dxa"/>
            <w:tcBorders>
              <w:bottom w:val="single" w:sz="4" w:space="0" w:color="000000"/>
            </w:tcBorders>
            <w:shd w:val="clear" w:color="auto" w:fill="FFDDDD"/>
          </w:tcPr>
          <w:p w:rsidR="008F03B5" w:rsidRDefault="00586B9B">
            <w:pPr>
              <w:pStyle w:val="TableParagraph"/>
              <w:spacing w:before="133"/>
              <w:ind w:right="466"/>
              <w:jc w:val="right"/>
            </w:pPr>
            <w:r>
              <w:t>NA</w:t>
            </w:r>
          </w:p>
        </w:tc>
      </w:tr>
      <w:tr w:rsidR="008F03B5">
        <w:trPr>
          <w:trHeight w:val="1108"/>
        </w:trPr>
        <w:tc>
          <w:tcPr>
            <w:tcW w:w="2069" w:type="dxa"/>
            <w:tcBorders>
              <w:right w:val="single" w:sz="12" w:space="0" w:color="000000"/>
            </w:tcBorders>
          </w:tcPr>
          <w:p w:rsidR="008F03B5" w:rsidRDefault="00586B9B">
            <w:pPr>
              <w:pStyle w:val="TableParagraph"/>
              <w:spacing w:before="14"/>
              <w:ind w:left="14" w:right="508"/>
            </w:pPr>
            <w:r>
              <w:rPr>
                <w:b/>
              </w:rPr>
              <w:t>Meaney 2010</w:t>
            </w:r>
            <w:r>
              <w:rPr>
                <w:b/>
                <w:vertAlign w:val="superscript"/>
              </w:rPr>
              <w:t>6</w:t>
            </w:r>
            <w:r>
              <w:rPr>
                <w:b/>
              </w:rPr>
              <w:t xml:space="preserve"> </w:t>
            </w:r>
            <w:r>
              <w:t>US gen pop IHCA n= 51,919</w:t>
            </w:r>
          </w:p>
        </w:tc>
        <w:tc>
          <w:tcPr>
            <w:tcW w:w="1133" w:type="dxa"/>
            <w:tcBorders>
              <w:top w:val="single" w:sz="4" w:space="0" w:color="000000"/>
              <w:left w:val="single" w:sz="12" w:space="0" w:color="000000"/>
              <w:bottom w:val="single" w:sz="4" w:space="0" w:color="000000"/>
            </w:tcBorders>
            <w:shd w:val="clear" w:color="auto" w:fill="E9EEF7"/>
          </w:tcPr>
          <w:p w:rsidR="008F03B5" w:rsidRDefault="00586B9B">
            <w:pPr>
              <w:pStyle w:val="TableParagraph"/>
              <w:spacing w:before="14"/>
              <w:ind w:left="235" w:right="229"/>
              <w:jc w:val="center"/>
            </w:pPr>
            <w:r>
              <w:t>76</w:t>
            </w:r>
          </w:p>
        </w:tc>
        <w:tc>
          <w:tcPr>
            <w:tcW w:w="1200" w:type="dxa"/>
            <w:tcBorders>
              <w:top w:val="single" w:sz="4" w:space="0" w:color="000000"/>
              <w:bottom w:val="single" w:sz="4" w:space="0" w:color="000000"/>
            </w:tcBorders>
            <w:shd w:val="clear" w:color="auto" w:fill="E9EEF7"/>
          </w:tcPr>
          <w:p w:rsidR="008F03B5" w:rsidRDefault="00586B9B">
            <w:pPr>
              <w:pStyle w:val="TableParagraph"/>
              <w:spacing w:before="14"/>
              <w:ind w:left="176" w:right="162"/>
              <w:jc w:val="center"/>
            </w:pPr>
            <w:r>
              <w:t>42</w:t>
            </w:r>
          </w:p>
        </w:tc>
        <w:tc>
          <w:tcPr>
            <w:tcW w:w="1152" w:type="dxa"/>
            <w:tcBorders>
              <w:top w:val="single" w:sz="4" w:space="0" w:color="000000"/>
              <w:bottom w:val="single" w:sz="4" w:space="0" w:color="000000"/>
              <w:right w:val="single" w:sz="12" w:space="0" w:color="000000"/>
            </w:tcBorders>
            <w:shd w:val="clear" w:color="auto" w:fill="E9EEF7"/>
          </w:tcPr>
          <w:p w:rsidR="008F03B5" w:rsidRDefault="00586B9B">
            <w:pPr>
              <w:pStyle w:val="TableParagraph"/>
              <w:spacing w:before="14"/>
              <w:ind w:left="420" w:right="398"/>
              <w:jc w:val="center"/>
            </w:pPr>
            <w:r>
              <w:t>11</w:t>
            </w:r>
          </w:p>
        </w:tc>
        <w:tc>
          <w:tcPr>
            <w:tcW w:w="1075" w:type="dxa"/>
            <w:tcBorders>
              <w:top w:val="single" w:sz="4" w:space="0" w:color="000000"/>
              <w:left w:val="single" w:sz="12" w:space="0" w:color="000000"/>
              <w:bottom w:val="single" w:sz="4" w:space="0" w:color="000000"/>
            </w:tcBorders>
            <w:shd w:val="clear" w:color="auto" w:fill="FFDDDD"/>
          </w:tcPr>
          <w:p w:rsidR="008F03B5" w:rsidRDefault="00586B9B">
            <w:pPr>
              <w:pStyle w:val="TableParagraph"/>
              <w:spacing w:before="14"/>
              <w:ind w:left="417"/>
            </w:pPr>
            <w:r>
              <w:t>24</w:t>
            </w:r>
          </w:p>
        </w:tc>
        <w:tc>
          <w:tcPr>
            <w:tcW w:w="1236" w:type="dxa"/>
            <w:tcBorders>
              <w:top w:val="single" w:sz="4" w:space="0" w:color="000000"/>
              <w:bottom w:val="single" w:sz="4" w:space="0" w:color="000000"/>
            </w:tcBorders>
            <w:shd w:val="clear" w:color="auto" w:fill="FFDDDD"/>
          </w:tcPr>
          <w:p w:rsidR="008F03B5" w:rsidRDefault="00586B9B">
            <w:pPr>
              <w:pStyle w:val="TableParagraph"/>
              <w:spacing w:before="14"/>
              <w:ind w:left="196" w:right="178"/>
              <w:jc w:val="center"/>
            </w:pPr>
            <w:r>
              <w:t>64</w:t>
            </w:r>
          </w:p>
        </w:tc>
        <w:tc>
          <w:tcPr>
            <w:tcW w:w="1237" w:type="dxa"/>
            <w:tcBorders>
              <w:top w:val="single" w:sz="4" w:space="0" w:color="000000"/>
              <w:bottom w:val="single" w:sz="4" w:space="0" w:color="000000"/>
            </w:tcBorders>
            <w:shd w:val="clear" w:color="auto" w:fill="FFDDDD"/>
          </w:tcPr>
          <w:p w:rsidR="008F03B5" w:rsidRDefault="00586B9B">
            <w:pPr>
              <w:pStyle w:val="TableParagraph"/>
              <w:spacing w:before="134"/>
              <w:ind w:right="487"/>
              <w:jc w:val="right"/>
            </w:pPr>
            <w:r>
              <w:t>37</w:t>
            </w:r>
          </w:p>
        </w:tc>
      </w:tr>
      <w:tr w:rsidR="008F03B5">
        <w:trPr>
          <w:trHeight w:val="1110"/>
        </w:trPr>
        <w:tc>
          <w:tcPr>
            <w:tcW w:w="2069" w:type="dxa"/>
            <w:tcBorders>
              <w:right w:val="single" w:sz="12" w:space="0" w:color="000000"/>
            </w:tcBorders>
          </w:tcPr>
          <w:p w:rsidR="008F03B5" w:rsidRDefault="00586B9B">
            <w:pPr>
              <w:pStyle w:val="TableParagraph"/>
              <w:spacing w:before="13"/>
              <w:ind w:left="64" w:right="917" w:hanging="51"/>
              <w:jc w:val="both"/>
            </w:pPr>
            <w:r>
              <w:rPr>
                <w:b/>
              </w:rPr>
              <w:t>Nolan 2014</w:t>
            </w:r>
            <w:r>
              <w:rPr>
                <w:b/>
                <w:vertAlign w:val="superscript"/>
              </w:rPr>
              <w:t>7</w:t>
            </w:r>
            <w:r>
              <w:rPr>
                <w:b/>
              </w:rPr>
              <w:t xml:space="preserve"> </w:t>
            </w:r>
            <w:r>
              <w:t>UK gen pop IHCA</w:t>
            </w:r>
          </w:p>
          <w:p w:rsidR="008F03B5" w:rsidRDefault="00586B9B">
            <w:pPr>
              <w:pStyle w:val="TableParagraph"/>
              <w:spacing w:before="1"/>
              <w:ind w:left="14"/>
              <w:jc w:val="both"/>
            </w:pPr>
            <w:r>
              <w:t>n= 23,554</w:t>
            </w:r>
          </w:p>
        </w:tc>
        <w:tc>
          <w:tcPr>
            <w:tcW w:w="1133" w:type="dxa"/>
            <w:tcBorders>
              <w:top w:val="single" w:sz="4" w:space="0" w:color="000000"/>
              <w:left w:val="single" w:sz="12" w:space="0" w:color="000000"/>
            </w:tcBorders>
            <w:shd w:val="clear" w:color="auto" w:fill="E9EEF7"/>
          </w:tcPr>
          <w:p w:rsidR="008F03B5" w:rsidRDefault="00586B9B">
            <w:pPr>
              <w:pStyle w:val="TableParagraph"/>
              <w:spacing w:before="13"/>
              <w:ind w:left="235" w:right="229"/>
              <w:jc w:val="center"/>
            </w:pPr>
            <w:r>
              <w:t>72</w:t>
            </w:r>
          </w:p>
        </w:tc>
        <w:tc>
          <w:tcPr>
            <w:tcW w:w="1200" w:type="dxa"/>
            <w:tcBorders>
              <w:top w:val="single" w:sz="4" w:space="0" w:color="000000"/>
            </w:tcBorders>
            <w:shd w:val="clear" w:color="auto" w:fill="E9EEF7"/>
          </w:tcPr>
          <w:p w:rsidR="008F03B5" w:rsidRDefault="00586B9B">
            <w:pPr>
              <w:pStyle w:val="TableParagraph"/>
              <w:spacing w:before="13"/>
              <w:ind w:left="176" w:right="162"/>
              <w:jc w:val="center"/>
            </w:pPr>
            <w:r>
              <w:t>26</w:t>
            </w:r>
          </w:p>
        </w:tc>
        <w:tc>
          <w:tcPr>
            <w:tcW w:w="1152" w:type="dxa"/>
            <w:tcBorders>
              <w:top w:val="single" w:sz="4" w:space="0" w:color="000000"/>
              <w:right w:val="single" w:sz="12" w:space="0" w:color="000000"/>
            </w:tcBorders>
            <w:shd w:val="clear" w:color="auto" w:fill="E9EEF7"/>
          </w:tcPr>
          <w:p w:rsidR="008F03B5" w:rsidRDefault="00586B9B">
            <w:pPr>
              <w:pStyle w:val="TableParagraph"/>
              <w:spacing w:before="13"/>
              <w:ind w:left="420" w:right="398"/>
              <w:jc w:val="center"/>
            </w:pPr>
            <w:r>
              <w:t>11</w:t>
            </w:r>
          </w:p>
        </w:tc>
        <w:tc>
          <w:tcPr>
            <w:tcW w:w="1075" w:type="dxa"/>
            <w:tcBorders>
              <w:top w:val="single" w:sz="4" w:space="0" w:color="000000"/>
              <w:left w:val="single" w:sz="12" w:space="0" w:color="000000"/>
            </w:tcBorders>
            <w:shd w:val="clear" w:color="auto" w:fill="FFDDDD"/>
          </w:tcPr>
          <w:p w:rsidR="008F03B5" w:rsidRDefault="00586B9B">
            <w:pPr>
              <w:pStyle w:val="TableParagraph"/>
              <w:spacing w:before="13"/>
              <w:ind w:left="417"/>
            </w:pPr>
            <w:r>
              <w:t>17</w:t>
            </w:r>
          </w:p>
        </w:tc>
        <w:tc>
          <w:tcPr>
            <w:tcW w:w="1236" w:type="dxa"/>
            <w:tcBorders>
              <w:top w:val="single" w:sz="4" w:space="0" w:color="000000"/>
            </w:tcBorders>
            <w:shd w:val="clear" w:color="auto" w:fill="FFDDDD"/>
          </w:tcPr>
          <w:p w:rsidR="008F03B5" w:rsidRDefault="00586B9B">
            <w:pPr>
              <w:pStyle w:val="TableParagraph"/>
              <w:spacing w:before="13"/>
              <w:ind w:left="196" w:right="178"/>
              <w:jc w:val="center"/>
            </w:pPr>
            <w:r>
              <w:t>76</w:t>
            </w:r>
          </w:p>
        </w:tc>
        <w:tc>
          <w:tcPr>
            <w:tcW w:w="1237" w:type="dxa"/>
            <w:tcBorders>
              <w:top w:val="single" w:sz="4" w:space="0" w:color="000000"/>
            </w:tcBorders>
            <w:shd w:val="clear" w:color="auto" w:fill="FFDDDD"/>
          </w:tcPr>
          <w:p w:rsidR="008F03B5" w:rsidRDefault="00586B9B">
            <w:pPr>
              <w:pStyle w:val="TableParagraph"/>
              <w:spacing w:before="133"/>
              <w:ind w:right="487"/>
              <w:jc w:val="right"/>
            </w:pPr>
            <w:r>
              <w:t>49</w:t>
            </w:r>
          </w:p>
        </w:tc>
      </w:tr>
    </w:tbl>
    <w:p w:rsidR="008F03B5" w:rsidRDefault="00586B9B">
      <w:pPr>
        <w:pStyle w:val="3"/>
        <w:spacing w:before="117" w:line="276" w:lineRule="auto"/>
        <w:ind w:right="546"/>
      </w:pPr>
      <w:r>
        <w:t>Table 28: Outcome of cardiac arrest in patients receiving haemodialysis (HD) in an outpatient dialysis facility versus all in-hospital cardiac arrests.</w:t>
      </w:r>
    </w:p>
    <w:p w:rsidR="008F03B5" w:rsidRDefault="00586B9B">
      <w:pPr>
        <w:spacing w:before="3"/>
        <w:ind w:left="217" w:right="3078"/>
        <w:rPr>
          <w:sz w:val="18"/>
        </w:rPr>
      </w:pPr>
      <w:r>
        <w:rPr>
          <w:sz w:val="18"/>
        </w:rPr>
        <w:t>PEA – pulseless electrical activity; VF – ventricular fibrillation; VT – ventricular tachycardia; ROSC – return of spontaneous circulation; IHCA – In hospital cardiac arrest</w:t>
      </w:r>
    </w:p>
    <w:p w:rsidR="008F03B5" w:rsidRDefault="00586B9B">
      <w:pPr>
        <w:spacing w:line="219" w:lineRule="exact"/>
        <w:ind w:left="217"/>
        <w:rPr>
          <w:sz w:val="18"/>
        </w:rPr>
      </w:pPr>
      <w:r>
        <w:rPr>
          <w:sz w:val="18"/>
        </w:rPr>
        <w:t>NA – not available; D/C – discharge; Out-pt – out-patient; gen pop – general population</w:t>
      </w:r>
    </w:p>
    <w:p w:rsidR="008F03B5" w:rsidRDefault="00586B9B">
      <w:pPr>
        <w:spacing w:line="219" w:lineRule="exact"/>
        <w:ind w:left="217"/>
        <w:rPr>
          <w:sz w:val="18"/>
        </w:rPr>
      </w:pPr>
      <w:r>
        <w:rPr>
          <w:sz w:val="18"/>
        </w:rPr>
        <w:t>* Data available for primary cardiac arrest rhythm in only 12/24 patients</w:t>
      </w:r>
    </w:p>
    <w:p w:rsidR="008F03B5" w:rsidRDefault="008F03B5">
      <w:pPr>
        <w:spacing w:line="219" w:lineRule="exact"/>
        <w:rPr>
          <w:sz w:val="18"/>
        </w:rPr>
        <w:sectPr w:rsidR="008F03B5">
          <w:pgSz w:w="11910" w:h="16840"/>
          <w:pgMar w:top="1540" w:right="780" w:bottom="1100" w:left="860" w:header="425" w:footer="912" w:gutter="0"/>
          <w:cols w:space="720"/>
        </w:sectPr>
      </w:pPr>
    </w:p>
    <w:p w:rsidR="008F03B5" w:rsidRDefault="00586B9B">
      <w:pPr>
        <w:pStyle w:val="a3"/>
        <w:spacing w:before="116" w:line="276" w:lineRule="auto"/>
        <w:ind w:left="217" w:right="323"/>
      </w:pPr>
      <w:r>
        <w:lastRenderedPageBreak/>
        <w:t>Shockable rhythms are associated with a higher incidence of return of spontaneous circulation (ROSC) and survival to hospital discharge in the general population as well as in patients with ESRD as shown in Table 28. Non-shockable cardiac arrest rhythms are associated with a poor outcome. Registry data in the general population in the UK and USA demonstrate survival to hospital discharge of 11% in patients presenting with PEA/ asystole</w:t>
      </w:r>
      <w:r w:rsidR="00903055">
        <w:t>.</w:t>
      </w:r>
      <w:r w:rsidR="00903055">
        <w:rPr>
          <w:vertAlign w:val="superscript"/>
        </w:rPr>
        <w:t>6,</w:t>
      </w:r>
      <w:r w:rsidR="00903055">
        <w:t xml:space="preserve"> </w:t>
      </w:r>
      <w:r w:rsidR="00903055">
        <w:rPr>
          <w:vertAlign w:val="superscript"/>
        </w:rPr>
        <w:t>7</w:t>
      </w:r>
      <w:r w:rsidR="00903055">
        <w:t xml:space="preserve"> </w:t>
      </w:r>
      <w:r w:rsidR="00903055">
        <w:rPr>
          <w:rFonts w:ascii="宋体" w:eastAsia="宋体" w:hAnsi="宋体" w:cs="宋体" w:hint="eastAsia"/>
        </w:rPr>
        <w:t>。。</w:t>
      </w:r>
      <w:r w:rsidR="00903055">
        <w:t>I</w:t>
      </w:r>
      <w:r>
        <w:t>n contrast, Wang et al reported a non-shockable rhythm in 92.7% of IHCA in hyperkalaemic patients which in part accounts for the survival to hospital discharge of only 3.7% in this study.</w:t>
      </w:r>
      <w:r>
        <w:rPr>
          <w:vertAlign w:val="superscript"/>
        </w:rPr>
        <w:t>8</w:t>
      </w:r>
    </w:p>
    <w:p w:rsidR="008F03B5" w:rsidRDefault="009A3CBD">
      <w:pPr>
        <w:pStyle w:val="a3"/>
        <w:spacing w:before="4"/>
        <w:rPr>
          <w:sz w:val="24"/>
        </w:rPr>
      </w:pPr>
      <w:r>
        <w:pict>
          <v:shape id="_x0000_s1034" type="#_x0000_t202" style="position:absolute;margin-left:110.1pt;margin-top:17.25pt;width:355.9pt;height:99.8pt;z-index:-15710720;mso-wrap-distance-left:0;mso-wrap-distance-right:0;mso-position-horizontal-relative:page" fillcolor="#deebf7">
            <v:textbox inset="0,0,0,0">
              <w:txbxContent>
                <w:p w:rsidR="008F03B5" w:rsidRDefault="00586B9B">
                  <w:pPr>
                    <w:spacing w:before="191" w:line="360" w:lineRule="auto"/>
                    <w:ind w:left="142" w:right="1492"/>
                    <w:rPr>
                      <w:b/>
                      <w:sz w:val="24"/>
                    </w:rPr>
                  </w:pPr>
                  <w:r>
                    <w:rPr>
                      <w:b/>
                      <w:sz w:val="24"/>
                    </w:rPr>
                    <w:t>Shockable cardiac arrest rhythms are more common in haemodialysis patients than in the general population.</w:t>
                  </w:r>
                </w:p>
                <w:p w:rsidR="008F03B5" w:rsidRDefault="00586B9B">
                  <w:pPr>
                    <w:spacing w:before="197"/>
                    <w:ind w:left="142"/>
                    <w:rPr>
                      <w:b/>
                      <w:sz w:val="24"/>
                    </w:rPr>
                  </w:pPr>
                  <w:r>
                    <w:rPr>
                      <w:b/>
                      <w:sz w:val="24"/>
                    </w:rPr>
                    <w:t>Survival after cardiac arrest is better with shockable rhythms.</w:t>
                  </w:r>
                </w:p>
              </w:txbxContent>
            </v:textbox>
            <w10:wrap type="topAndBottom" anchorx="page"/>
          </v:shape>
        </w:pict>
      </w:r>
    </w:p>
    <w:p w:rsidR="008F03B5" w:rsidRDefault="008F03B5">
      <w:pPr>
        <w:pStyle w:val="a3"/>
        <w:spacing w:before="11"/>
        <w:rPr>
          <w:sz w:val="25"/>
        </w:rPr>
      </w:pPr>
    </w:p>
    <w:p w:rsidR="008F03B5" w:rsidRDefault="00586B9B">
      <w:pPr>
        <w:pStyle w:val="3"/>
      </w:pPr>
      <w:r>
        <w:t>Modifications to ALS in Renal Failure</w:t>
      </w:r>
    </w:p>
    <w:p w:rsidR="008F03B5" w:rsidRDefault="00586B9B">
      <w:pPr>
        <w:pStyle w:val="a3"/>
        <w:spacing w:before="161" w:line="276" w:lineRule="auto"/>
        <w:ind w:left="217" w:right="936"/>
      </w:pPr>
      <w:r>
        <w:t>The universal ALS algorithm applies to all patients and the initial steps of recognition of cardiac arrest, initiating high-quality CPR with minimal interruption, and attempting defibrillation if required, are independent of the cause of cardiac arrest.</w:t>
      </w:r>
    </w:p>
    <w:p w:rsidR="008F03B5" w:rsidRDefault="00586B9B">
      <w:pPr>
        <w:pStyle w:val="a3"/>
        <w:spacing w:before="121" w:line="276" w:lineRule="auto"/>
        <w:ind w:left="217" w:right="362"/>
      </w:pPr>
      <w:r>
        <w:t>During CPR, reversible causes should be considered and treated. If the serum potassium is ≥ 6.5 mmol/L before or early in the resuscitation attempt, hyperkalaemia should be considered to be the potential cause of the cardiac arrest. Hyperkalaemia occurring late in the resuscitation attempt may be the consequence of progressive acidosis and hypoxia, and may not be the precipitant of the cardiac arrest or require specific intervention.</w:t>
      </w:r>
    </w:p>
    <w:p w:rsidR="008F03B5" w:rsidRDefault="00586B9B">
      <w:pPr>
        <w:pStyle w:val="a3"/>
        <w:spacing w:before="119" w:line="276" w:lineRule="auto"/>
        <w:ind w:left="217" w:right="470"/>
        <w:jc w:val="both"/>
      </w:pPr>
      <w:r>
        <w:t>Special considerations during resuscitation in dialysis patients is shown in Table 29. The cardiac arrest team may have little knowledge of these considerations in dialysis patients, therefore expert help is essential for optimising care and safety.</w:t>
      </w:r>
    </w:p>
    <w:p w:rsidR="008F03B5" w:rsidRDefault="00586B9B">
      <w:pPr>
        <w:pStyle w:val="a3"/>
        <w:spacing w:before="120" w:line="276" w:lineRule="auto"/>
        <w:ind w:left="217" w:right="519"/>
      </w:pPr>
      <w:r>
        <w:t>The practice of defibrillation in HD units is variable across the UK and many staff are unaware of the safety considerations</w:t>
      </w:r>
      <w:r w:rsidR="00903055">
        <w:t>.</w:t>
      </w:r>
      <w:r w:rsidR="00903055">
        <w:rPr>
          <w:vertAlign w:val="superscript"/>
        </w:rPr>
        <w:t>9</w:t>
      </w:r>
      <w:r w:rsidR="00903055">
        <w:t xml:space="preserve"> </w:t>
      </w:r>
      <w:r w:rsidR="00903055">
        <w:rPr>
          <w:rFonts w:ascii="宋体" w:eastAsia="宋体" w:hAnsi="宋体" w:cs="宋体" w:hint="eastAsia"/>
        </w:rPr>
        <w:t>。。</w:t>
      </w:r>
      <w:r w:rsidR="00903055">
        <w:t>T</w:t>
      </w:r>
      <w:r>
        <w:t>he ERC Guidelines (2015) recommends disconnection from dialysis equipment prior to defibrillation, unless defibrillator-proof, in keeping with the International Electrotechnical Committee (IEC) standards 60601-2-4</w:t>
      </w:r>
      <w:r w:rsidR="00903055">
        <w:t>.</w:t>
      </w:r>
      <w:r w:rsidR="00903055">
        <w:rPr>
          <w:vertAlign w:val="superscript"/>
        </w:rPr>
        <w:t>10</w:t>
      </w:r>
      <w:r w:rsidR="00903055">
        <w:t xml:space="preserve"> </w:t>
      </w:r>
      <w:r w:rsidR="00903055">
        <w:rPr>
          <w:rFonts w:ascii="宋体" w:eastAsia="宋体" w:hAnsi="宋体" w:cs="宋体" w:hint="eastAsia"/>
        </w:rPr>
        <w:t>。。</w:t>
      </w:r>
      <w:r w:rsidR="00903055">
        <w:t>M</w:t>
      </w:r>
      <w:r>
        <w:t>ost haemodialysis equipment is not defibrillator-proof.</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rPr>
          <w:sz w:val="20"/>
        </w:rPr>
      </w:pPr>
    </w:p>
    <w:p w:rsidR="008F03B5" w:rsidRDefault="008F03B5">
      <w:pPr>
        <w:pStyle w:val="a3"/>
        <w:spacing w:before="6" w:after="1"/>
        <w:rPr>
          <w:sz w:val="19"/>
        </w:rPr>
      </w:pPr>
    </w:p>
    <w:tbl>
      <w:tblPr>
        <w:tblStyle w:val="TableNormal"/>
        <w:tblW w:w="0" w:type="auto"/>
        <w:tblInd w:w="2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20"/>
        <w:gridCol w:w="1496"/>
        <w:gridCol w:w="4108"/>
        <w:gridCol w:w="1029"/>
      </w:tblGrid>
      <w:tr w:rsidR="008F03B5">
        <w:trPr>
          <w:trHeight w:val="3145"/>
        </w:trPr>
        <w:tc>
          <w:tcPr>
            <w:tcW w:w="8153" w:type="dxa"/>
            <w:gridSpan w:val="4"/>
            <w:tcBorders>
              <w:bottom w:val="nil"/>
            </w:tcBorders>
            <w:shd w:val="clear" w:color="auto" w:fill="E9EEF7"/>
          </w:tcPr>
          <w:p w:rsidR="008F03B5" w:rsidRDefault="00586B9B">
            <w:pPr>
              <w:pStyle w:val="TableParagraph"/>
              <w:spacing w:before="192"/>
              <w:ind w:left="166"/>
              <w:rPr>
                <w:b/>
                <w:sz w:val="24"/>
              </w:rPr>
            </w:pPr>
            <w:r>
              <w:rPr>
                <w:b/>
                <w:sz w:val="24"/>
              </w:rPr>
              <w:t>Special considerations during resuscitation of haemodialysis patients</w:t>
            </w:r>
          </w:p>
          <w:p w:rsidR="008F03B5" w:rsidRDefault="008F03B5">
            <w:pPr>
              <w:pStyle w:val="TableParagraph"/>
              <w:spacing w:before="10"/>
              <w:rPr>
                <w:sz w:val="21"/>
              </w:rPr>
            </w:pPr>
          </w:p>
          <w:p w:rsidR="008F03B5" w:rsidRDefault="00586B9B">
            <w:pPr>
              <w:pStyle w:val="TableParagraph"/>
              <w:ind w:left="168" w:right="1118"/>
              <w:rPr>
                <w:sz w:val="24"/>
              </w:rPr>
            </w:pPr>
            <w:r>
              <w:rPr>
                <w:b/>
                <w:sz w:val="24"/>
              </w:rPr>
              <w:t xml:space="preserve">Reversible causes </w:t>
            </w:r>
            <w:r>
              <w:rPr>
                <w:sz w:val="24"/>
              </w:rPr>
              <w:t>– 4 Hs &amp; 4 Ts – electrolyte disorder (hyperkalaemia, hypokalaemia, calcium disorder), pulmonary oedema</w:t>
            </w:r>
          </w:p>
          <w:p w:rsidR="008F03B5" w:rsidRDefault="00586B9B">
            <w:pPr>
              <w:pStyle w:val="TableParagraph"/>
              <w:spacing w:before="120"/>
              <w:ind w:left="168" w:right="1056"/>
              <w:rPr>
                <w:sz w:val="24"/>
              </w:rPr>
            </w:pPr>
            <w:r>
              <w:rPr>
                <w:b/>
                <w:sz w:val="24"/>
              </w:rPr>
              <w:t xml:space="preserve">Dialysis access </w:t>
            </w:r>
            <w:r>
              <w:rPr>
                <w:sz w:val="24"/>
              </w:rPr>
              <w:t>– arteriovenous fistulas and dialysis lines can be used in life-threatening emergencies.</w:t>
            </w:r>
          </w:p>
          <w:p w:rsidR="008F03B5" w:rsidRDefault="00586B9B">
            <w:pPr>
              <w:pStyle w:val="TableParagraph"/>
              <w:spacing w:before="119"/>
              <w:ind w:left="168" w:right="976"/>
              <w:rPr>
                <w:sz w:val="24"/>
              </w:rPr>
            </w:pPr>
            <w:r>
              <w:rPr>
                <w:b/>
                <w:sz w:val="24"/>
              </w:rPr>
              <w:t xml:space="preserve">Defibrillation practice </w:t>
            </w:r>
            <w:r>
              <w:rPr>
                <w:sz w:val="24"/>
              </w:rPr>
              <w:t>– disconnect prior to defibrillation unless dialysis machine is ‘defibrillator proof’ (check for these symbol on machine)</w:t>
            </w:r>
          </w:p>
        </w:tc>
      </w:tr>
      <w:tr w:rsidR="008F03B5">
        <w:trPr>
          <w:trHeight w:val="1180"/>
        </w:trPr>
        <w:tc>
          <w:tcPr>
            <w:tcW w:w="1520" w:type="dxa"/>
            <w:tcBorders>
              <w:top w:val="single" w:sz="4" w:space="0" w:color="000000"/>
              <w:left w:val="thickThinMediumGap" w:sz="3" w:space="0" w:color="000000"/>
              <w:bottom w:val="single" w:sz="4" w:space="0" w:color="000000"/>
              <w:right w:val="single" w:sz="4" w:space="0" w:color="000000"/>
            </w:tcBorders>
            <w:shd w:val="clear" w:color="auto" w:fill="FFFFFF"/>
          </w:tcPr>
          <w:p w:rsidR="008F03B5" w:rsidRDefault="00586B9B">
            <w:pPr>
              <w:pStyle w:val="TableParagraph"/>
              <w:ind w:left="160"/>
              <w:rPr>
                <w:sz w:val="20"/>
              </w:rPr>
            </w:pPr>
            <w:r>
              <w:rPr>
                <w:noProof/>
                <w:sz w:val="20"/>
              </w:rPr>
              <w:drawing>
                <wp:inline distT="0" distB="0" distL="0" distR="0">
                  <wp:extent cx="781963" cy="718947"/>
                  <wp:effectExtent l="0" t="0" r="0" b="0"/>
                  <wp:docPr id="33" name="image20.jpeg" descr="http://medicaldeviceacademy.com/wp-content/uploads/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16" cstate="print"/>
                          <a:stretch>
                            <a:fillRect/>
                          </a:stretch>
                        </pic:blipFill>
                        <pic:spPr>
                          <a:xfrm>
                            <a:off x="0" y="0"/>
                            <a:ext cx="781963" cy="718947"/>
                          </a:xfrm>
                          <a:prstGeom prst="rect">
                            <a:avLst/>
                          </a:prstGeom>
                        </pic:spPr>
                      </pic:pic>
                    </a:graphicData>
                  </a:graphic>
                </wp:inline>
              </w:drawing>
            </w:r>
          </w:p>
        </w:tc>
        <w:tc>
          <w:tcPr>
            <w:tcW w:w="1496" w:type="dxa"/>
            <w:tcBorders>
              <w:top w:val="single" w:sz="4" w:space="0" w:color="000000"/>
              <w:left w:val="single" w:sz="4" w:space="0" w:color="000000"/>
              <w:bottom w:val="single" w:sz="4" w:space="0" w:color="000000"/>
              <w:right w:val="single" w:sz="4" w:space="0" w:color="000000"/>
            </w:tcBorders>
            <w:shd w:val="clear" w:color="auto" w:fill="FFFFFF"/>
          </w:tcPr>
          <w:p w:rsidR="008F03B5" w:rsidRDefault="008F03B5">
            <w:pPr>
              <w:pStyle w:val="TableParagraph"/>
              <w:rPr>
                <w:sz w:val="20"/>
              </w:rPr>
            </w:pPr>
          </w:p>
          <w:p w:rsidR="008F03B5" w:rsidRDefault="008F03B5">
            <w:pPr>
              <w:pStyle w:val="TableParagraph"/>
              <w:spacing w:before="7"/>
              <w:rPr>
                <w:sz w:val="19"/>
              </w:rPr>
            </w:pPr>
          </w:p>
          <w:p w:rsidR="008F03B5" w:rsidRDefault="00586B9B">
            <w:pPr>
              <w:pStyle w:val="TableParagraph"/>
              <w:ind w:right="101"/>
              <w:jc w:val="right"/>
              <w:rPr>
                <w:sz w:val="20"/>
              </w:rPr>
            </w:pPr>
            <w:r>
              <w:rPr>
                <w:sz w:val="20"/>
              </w:rPr>
              <w:t>IEC 60417-5841</w:t>
            </w:r>
          </w:p>
        </w:tc>
        <w:tc>
          <w:tcPr>
            <w:tcW w:w="4108" w:type="dxa"/>
            <w:tcBorders>
              <w:top w:val="single" w:sz="4" w:space="0" w:color="000000"/>
              <w:left w:val="single" w:sz="4" w:space="0" w:color="000000"/>
              <w:bottom w:val="single" w:sz="4" w:space="0" w:color="000000"/>
              <w:right w:val="single" w:sz="4" w:space="0" w:color="000000"/>
            </w:tcBorders>
            <w:shd w:val="clear" w:color="auto" w:fill="FFFFFF"/>
          </w:tcPr>
          <w:p w:rsidR="008F03B5" w:rsidRDefault="008F03B5">
            <w:pPr>
              <w:pStyle w:val="TableParagraph"/>
              <w:rPr>
                <w:sz w:val="20"/>
              </w:rPr>
            </w:pPr>
          </w:p>
          <w:p w:rsidR="008F03B5" w:rsidRDefault="008F03B5">
            <w:pPr>
              <w:pStyle w:val="TableParagraph"/>
              <w:spacing w:before="7"/>
              <w:rPr>
                <w:sz w:val="19"/>
              </w:rPr>
            </w:pPr>
          </w:p>
          <w:p w:rsidR="008F03B5" w:rsidRDefault="00586B9B">
            <w:pPr>
              <w:pStyle w:val="TableParagraph"/>
              <w:ind w:left="110"/>
              <w:rPr>
                <w:sz w:val="20"/>
              </w:rPr>
            </w:pPr>
            <w:r>
              <w:rPr>
                <w:sz w:val="20"/>
              </w:rPr>
              <w:t>DEFIBRILLATION-PROOF TYPE B APPLIED PART</w:t>
            </w:r>
          </w:p>
        </w:tc>
        <w:tc>
          <w:tcPr>
            <w:tcW w:w="1029" w:type="dxa"/>
            <w:vMerge w:val="restart"/>
            <w:tcBorders>
              <w:top w:val="nil"/>
              <w:left w:val="single" w:sz="4" w:space="0" w:color="000000"/>
              <w:bottom w:val="nil"/>
            </w:tcBorders>
            <w:shd w:val="clear" w:color="auto" w:fill="E9EEF7"/>
          </w:tcPr>
          <w:p w:rsidR="008F03B5" w:rsidRDefault="008F03B5">
            <w:pPr>
              <w:pStyle w:val="TableParagraph"/>
              <w:rPr>
                <w:rFonts w:ascii="Times New Roman"/>
              </w:rPr>
            </w:pPr>
          </w:p>
        </w:tc>
      </w:tr>
      <w:tr w:rsidR="008F03B5">
        <w:trPr>
          <w:trHeight w:val="1391"/>
        </w:trPr>
        <w:tc>
          <w:tcPr>
            <w:tcW w:w="1520" w:type="dxa"/>
            <w:tcBorders>
              <w:top w:val="single" w:sz="4" w:space="0" w:color="000000"/>
              <w:left w:val="thickThinMediumGap" w:sz="3" w:space="0" w:color="000000"/>
              <w:bottom w:val="single" w:sz="4" w:space="0" w:color="000000"/>
              <w:right w:val="single" w:sz="4" w:space="0" w:color="000000"/>
            </w:tcBorders>
            <w:shd w:val="clear" w:color="auto" w:fill="FFFFFF"/>
          </w:tcPr>
          <w:p w:rsidR="008F03B5" w:rsidRDefault="00586B9B">
            <w:pPr>
              <w:pStyle w:val="TableParagraph"/>
              <w:ind w:left="147"/>
              <w:rPr>
                <w:sz w:val="20"/>
              </w:rPr>
            </w:pPr>
            <w:r>
              <w:rPr>
                <w:noProof/>
                <w:sz w:val="20"/>
              </w:rPr>
              <w:drawing>
                <wp:inline distT="0" distB="0" distL="0" distR="0">
                  <wp:extent cx="778158" cy="725424"/>
                  <wp:effectExtent l="0" t="0" r="0" b="0"/>
                  <wp:docPr id="35" name="image21.png" descr="http://medicaldeviceacademy.com/wp-content/uploads/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17" cstate="print"/>
                          <a:stretch>
                            <a:fillRect/>
                          </a:stretch>
                        </pic:blipFill>
                        <pic:spPr>
                          <a:xfrm>
                            <a:off x="0" y="0"/>
                            <a:ext cx="778158" cy="725424"/>
                          </a:xfrm>
                          <a:prstGeom prst="rect">
                            <a:avLst/>
                          </a:prstGeom>
                        </pic:spPr>
                      </pic:pic>
                    </a:graphicData>
                  </a:graphic>
                </wp:inline>
              </w:drawing>
            </w:r>
          </w:p>
        </w:tc>
        <w:tc>
          <w:tcPr>
            <w:tcW w:w="1496" w:type="dxa"/>
            <w:tcBorders>
              <w:top w:val="single" w:sz="4" w:space="0" w:color="000000"/>
              <w:left w:val="single" w:sz="4" w:space="0" w:color="000000"/>
              <w:bottom w:val="single" w:sz="4" w:space="0" w:color="000000"/>
              <w:right w:val="single" w:sz="4" w:space="0" w:color="000000"/>
            </w:tcBorders>
            <w:shd w:val="clear" w:color="auto" w:fill="FFFFFF"/>
          </w:tcPr>
          <w:p w:rsidR="008F03B5" w:rsidRDefault="008F03B5">
            <w:pPr>
              <w:pStyle w:val="TableParagraph"/>
              <w:rPr>
                <w:sz w:val="20"/>
              </w:rPr>
            </w:pPr>
          </w:p>
          <w:p w:rsidR="008F03B5" w:rsidRDefault="008F03B5">
            <w:pPr>
              <w:pStyle w:val="TableParagraph"/>
              <w:spacing w:before="7"/>
              <w:rPr>
                <w:sz w:val="19"/>
              </w:rPr>
            </w:pPr>
          </w:p>
          <w:p w:rsidR="008F03B5" w:rsidRDefault="00586B9B">
            <w:pPr>
              <w:pStyle w:val="TableParagraph"/>
              <w:ind w:right="101"/>
              <w:jc w:val="right"/>
              <w:rPr>
                <w:sz w:val="20"/>
              </w:rPr>
            </w:pPr>
            <w:r>
              <w:rPr>
                <w:sz w:val="20"/>
              </w:rPr>
              <w:t>IEC 60417-5334</w:t>
            </w:r>
          </w:p>
        </w:tc>
        <w:tc>
          <w:tcPr>
            <w:tcW w:w="4108" w:type="dxa"/>
            <w:tcBorders>
              <w:top w:val="single" w:sz="4" w:space="0" w:color="000000"/>
              <w:left w:val="single" w:sz="4" w:space="0" w:color="000000"/>
              <w:bottom w:val="single" w:sz="4" w:space="0" w:color="000000"/>
              <w:right w:val="single" w:sz="4" w:space="0" w:color="000000"/>
            </w:tcBorders>
            <w:shd w:val="clear" w:color="auto" w:fill="FFFFFF"/>
          </w:tcPr>
          <w:p w:rsidR="008F03B5" w:rsidRDefault="008F03B5">
            <w:pPr>
              <w:pStyle w:val="TableParagraph"/>
              <w:rPr>
                <w:sz w:val="20"/>
              </w:rPr>
            </w:pPr>
          </w:p>
          <w:p w:rsidR="008F03B5" w:rsidRDefault="008F03B5">
            <w:pPr>
              <w:pStyle w:val="TableParagraph"/>
              <w:spacing w:before="7"/>
              <w:rPr>
                <w:sz w:val="19"/>
              </w:rPr>
            </w:pPr>
          </w:p>
          <w:p w:rsidR="008F03B5" w:rsidRDefault="00586B9B">
            <w:pPr>
              <w:pStyle w:val="TableParagraph"/>
              <w:ind w:left="110"/>
              <w:rPr>
                <w:sz w:val="20"/>
              </w:rPr>
            </w:pPr>
            <w:r>
              <w:rPr>
                <w:sz w:val="20"/>
              </w:rPr>
              <w:t>DEFIBRILLATION-PROOF TYPE BF APPLIED PART</w:t>
            </w:r>
          </w:p>
        </w:tc>
        <w:tc>
          <w:tcPr>
            <w:tcW w:w="1029" w:type="dxa"/>
            <w:vMerge/>
            <w:tcBorders>
              <w:top w:val="nil"/>
              <w:left w:val="single" w:sz="4" w:space="0" w:color="000000"/>
              <w:bottom w:val="nil"/>
            </w:tcBorders>
            <w:shd w:val="clear" w:color="auto" w:fill="E9EEF7"/>
          </w:tcPr>
          <w:p w:rsidR="008F03B5" w:rsidRDefault="008F03B5">
            <w:pPr>
              <w:rPr>
                <w:sz w:val="2"/>
                <w:szCs w:val="2"/>
              </w:rPr>
            </w:pPr>
          </w:p>
        </w:tc>
      </w:tr>
      <w:tr w:rsidR="008F03B5">
        <w:trPr>
          <w:trHeight w:val="1360"/>
        </w:trPr>
        <w:tc>
          <w:tcPr>
            <w:tcW w:w="1520" w:type="dxa"/>
            <w:tcBorders>
              <w:top w:val="single" w:sz="4" w:space="0" w:color="000000"/>
              <w:left w:val="thickThinMediumGap" w:sz="3" w:space="0" w:color="000000"/>
              <w:bottom w:val="single" w:sz="4" w:space="0" w:color="000000"/>
              <w:right w:val="single" w:sz="4" w:space="0" w:color="000000"/>
            </w:tcBorders>
            <w:shd w:val="clear" w:color="auto" w:fill="FFFFFF"/>
          </w:tcPr>
          <w:p w:rsidR="008F03B5" w:rsidRDefault="00586B9B">
            <w:pPr>
              <w:pStyle w:val="TableParagraph"/>
              <w:ind w:left="147"/>
              <w:rPr>
                <w:sz w:val="20"/>
              </w:rPr>
            </w:pPr>
            <w:r>
              <w:rPr>
                <w:noProof/>
                <w:sz w:val="20"/>
              </w:rPr>
              <w:drawing>
                <wp:inline distT="0" distB="0" distL="0" distR="0">
                  <wp:extent cx="802913" cy="713422"/>
                  <wp:effectExtent l="0" t="0" r="0" b="0"/>
                  <wp:docPr id="37" name="image22.png" descr="http://medicaldeviceacademy.com/wp-content/uploads/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18" cstate="print"/>
                          <a:stretch>
                            <a:fillRect/>
                          </a:stretch>
                        </pic:blipFill>
                        <pic:spPr>
                          <a:xfrm>
                            <a:off x="0" y="0"/>
                            <a:ext cx="802913" cy="713422"/>
                          </a:xfrm>
                          <a:prstGeom prst="rect">
                            <a:avLst/>
                          </a:prstGeom>
                        </pic:spPr>
                      </pic:pic>
                    </a:graphicData>
                  </a:graphic>
                </wp:inline>
              </w:drawing>
            </w:r>
          </w:p>
        </w:tc>
        <w:tc>
          <w:tcPr>
            <w:tcW w:w="1496" w:type="dxa"/>
            <w:tcBorders>
              <w:top w:val="single" w:sz="4" w:space="0" w:color="000000"/>
              <w:left w:val="single" w:sz="4" w:space="0" w:color="000000"/>
              <w:bottom w:val="single" w:sz="4" w:space="0" w:color="000000"/>
              <w:right w:val="single" w:sz="4" w:space="0" w:color="000000"/>
            </w:tcBorders>
            <w:shd w:val="clear" w:color="auto" w:fill="FFFFFF"/>
          </w:tcPr>
          <w:p w:rsidR="008F03B5" w:rsidRDefault="008F03B5">
            <w:pPr>
              <w:pStyle w:val="TableParagraph"/>
              <w:rPr>
                <w:sz w:val="20"/>
              </w:rPr>
            </w:pPr>
          </w:p>
          <w:p w:rsidR="008F03B5" w:rsidRDefault="008F03B5">
            <w:pPr>
              <w:pStyle w:val="TableParagraph"/>
              <w:spacing w:before="5"/>
              <w:rPr>
                <w:sz w:val="19"/>
              </w:rPr>
            </w:pPr>
          </w:p>
          <w:p w:rsidR="008F03B5" w:rsidRDefault="00586B9B">
            <w:pPr>
              <w:pStyle w:val="TableParagraph"/>
              <w:ind w:right="101"/>
              <w:jc w:val="right"/>
              <w:rPr>
                <w:sz w:val="20"/>
              </w:rPr>
            </w:pPr>
            <w:r>
              <w:rPr>
                <w:sz w:val="20"/>
              </w:rPr>
              <w:t>IEC 60417-5336</w:t>
            </w:r>
          </w:p>
        </w:tc>
        <w:tc>
          <w:tcPr>
            <w:tcW w:w="4108" w:type="dxa"/>
            <w:tcBorders>
              <w:top w:val="single" w:sz="4" w:space="0" w:color="000000"/>
              <w:left w:val="single" w:sz="4" w:space="0" w:color="000000"/>
              <w:bottom w:val="single" w:sz="4" w:space="0" w:color="000000"/>
              <w:right w:val="single" w:sz="4" w:space="0" w:color="000000"/>
            </w:tcBorders>
            <w:shd w:val="clear" w:color="auto" w:fill="FFFFFF"/>
          </w:tcPr>
          <w:p w:rsidR="008F03B5" w:rsidRDefault="008F03B5">
            <w:pPr>
              <w:pStyle w:val="TableParagraph"/>
              <w:rPr>
                <w:sz w:val="20"/>
              </w:rPr>
            </w:pPr>
          </w:p>
          <w:p w:rsidR="008F03B5" w:rsidRDefault="008F03B5">
            <w:pPr>
              <w:pStyle w:val="TableParagraph"/>
              <w:spacing w:before="5"/>
              <w:rPr>
                <w:sz w:val="19"/>
              </w:rPr>
            </w:pPr>
          </w:p>
          <w:p w:rsidR="008F03B5" w:rsidRDefault="00586B9B">
            <w:pPr>
              <w:pStyle w:val="TableParagraph"/>
              <w:ind w:left="110"/>
              <w:rPr>
                <w:sz w:val="20"/>
              </w:rPr>
            </w:pPr>
            <w:r>
              <w:rPr>
                <w:sz w:val="20"/>
              </w:rPr>
              <w:t>DEFIBRILLATION-PROOF TYPE CF APPLIED PART</w:t>
            </w:r>
          </w:p>
        </w:tc>
        <w:tc>
          <w:tcPr>
            <w:tcW w:w="1029" w:type="dxa"/>
            <w:vMerge/>
            <w:tcBorders>
              <w:top w:val="nil"/>
              <w:left w:val="single" w:sz="4" w:space="0" w:color="000000"/>
              <w:bottom w:val="nil"/>
            </w:tcBorders>
            <w:shd w:val="clear" w:color="auto" w:fill="E9EEF7"/>
          </w:tcPr>
          <w:p w:rsidR="008F03B5" w:rsidRDefault="008F03B5">
            <w:pPr>
              <w:rPr>
                <w:sz w:val="2"/>
                <w:szCs w:val="2"/>
              </w:rPr>
            </w:pPr>
          </w:p>
        </w:tc>
      </w:tr>
      <w:tr w:rsidR="008F03B5">
        <w:trPr>
          <w:trHeight w:val="1272"/>
        </w:trPr>
        <w:tc>
          <w:tcPr>
            <w:tcW w:w="8153" w:type="dxa"/>
            <w:gridSpan w:val="4"/>
            <w:tcBorders>
              <w:top w:val="nil"/>
            </w:tcBorders>
            <w:shd w:val="clear" w:color="auto" w:fill="E9EEF7"/>
          </w:tcPr>
          <w:p w:rsidR="008F03B5" w:rsidRDefault="008F03B5">
            <w:pPr>
              <w:pStyle w:val="TableParagraph"/>
              <w:spacing w:before="7"/>
              <w:rPr>
                <w:sz w:val="19"/>
              </w:rPr>
            </w:pPr>
          </w:p>
          <w:p w:rsidR="008F03B5" w:rsidRDefault="00586B9B">
            <w:pPr>
              <w:pStyle w:val="TableParagraph"/>
              <w:ind w:left="151" w:right="797"/>
              <w:rPr>
                <w:sz w:val="24"/>
              </w:rPr>
            </w:pPr>
            <w:r>
              <w:rPr>
                <w:b/>
                <w:sz w:val="24"/>
              </w:rPr>
              <w:t xml:space="preserve">Post-resus care </w:t>
            </w:r>
            <w:r>
              <w:rPr>
                <w:sz w:val="24"/>
              </w:rPr>
              <w:t>– repeat serum K</w:t>
            </w:r>
            <w:r>
              <w:rPr>
                <w:sz w:val="24"/>
                <w:vertAlign w:val="superscript"/>
              </w:rPr>
              <w:t>+</w:t>
            </w:r>
            <w:r>
              <w:rPr>
                <w:sz w:val="24"/>
              </w:rPr>
              <w:t>, blood glucose and ECG; preserve dialysis access; move to an area with dialysis facilities (ICU or Renal HDU); consider timing and need for dialysis after ROSC</w:t>
            </w:r>
          </w:p>
        </w:tc>
      </w:tr>
    </w:tbl>
    <w:p w:rsidR="008F03B5" w:rsidRDefault="008F03B5">
      <w:pPr>
        <w:pStyle w:val="a3"/>
        <w:spacing w:before="3"/>
        <w:rPr>
          <w:sz w:val="13"/>
        </w:rPr>
      </w:pPr>
    </w:p>
    <w:p w:rsidR="008F03B5" w:rsidRDefault="00586B9B">
      <w:pPr>
        <w:pStyle w:val="3"/>
        <w:spacing w:before="56"/>
      </w:pPr>
      <w:r>
        <w:t>Table 29: Special considerations during resuscitation in haemodialysis patients.</w:t>
      </w:r>
    </w:p>
    <w:p w:rsidR="008F03B5" w:rsidRDefault="008F03B5">
      <w:pPr>
        <w:pStyle w:val="a3"/>
        <w:rPr>
          <w:b/>
        </w:rPr>
      </w:pPr>
    </w:p>
    <w:p w:rsidR="008F03B5" w:rsidRDefault="008F03B5">
      <w:pPr>
        <w:pStyle w:val="a3"/>
        <w:spacing w:before="6"/>
        <w:rPr>
          <w:b/>
          <w:sz w:val="26"/>
        </w:rPr>
      </w:pPr>
    </w:p>
    <w:p w:rsidR="008F03B5" w:rsidRDefault="00586B9B">
      <w:pPr>
        <w:pStyle w:val="a3"/>
        <w:spacing w:line="276" w:lineRule="auto"/>
        <w:ind w:left="217" w:right="403"/>
      </w:pPr>
      <w:r>
        <w:t>Automated external defibrillators (AED) are now widely available for non-expert use worldwide to facilitate early defibrillation. Many dialysis centres are predominantly nurse-led. For this reason, the National Kidney Foundation KDOQI Guidelines (2005) recommended that all dialysis facilities should have on-site capability of defibrillation and the use of AEDs is the simplest and most cost effective device</w:t>
      </w:r>
      <w:r w:rsidR="00903055">
        <w:t>.</w:t>
      </w:r>
      <w:r w:rsidR="00903055">
        <w:rPr>
          <w:vertAlign w:val="superscript"/>
        </w:rPr>
        <w:t>11</w:t>
      </w:r>
      <w:r w:rsidR="00903055">
        <w:t xml:space="preserve"> </w:t>
      </w:r>
      <w:r w:rsidR="00903055">
        <w:rPr>
          <w:rFonts w:ascii="宋体" w:eastAsia="宋体" w:hAnsi="宋体" w:cs="宋体" w:hint="eastAsia"/>
        </w:rPr>
        <w:t>。。</w:t>
      </w:r>
      <w:r w:rsidR="00903055">
        <w:t>T</w:t>
      </w:r>
      <w:r>
        <w:t>he implementation of AEDs within dialysis facilities was mandated within one year of this guideline. Shortly thereafter, Lehrich et al investigated the use of AEDs in dialysis centres and reported that the presence of AEDs alone did not independently improve survival and suggested that further measures are required to affect outcome.</w:t>
      </w:r>
      <w:r>
        <w:rPr>
          <w:vertAlign w:val="superscript"/>
        </w:rPr>
        <w:t>12</w:t>
      </w:r>
    </w:p>
    <w:p w:rsidR="008F03B5" w:rsidRDefault="00586B9B" w:rsidP="00194032">
      <w:pPr>
        <w:pStyle w:val="a3"/>
        <w:spacing w:before="120" w:line="276" w:lineRule="auto"/>
        <w:ind w:left="217" w:right="513"/>
        <w:sectPr w:rsidR="008F03B5">
          <w:pgSz w:w="11910" w:h="16840"/>
          <w:pgMar w:top="1540" w:right="780" w:bottom="1100" w:left="860" w:header="425" w:footer="912" w:gutter="0"/>
          <w:cols w:space="720"/>
        </w:sectPr>
      </w:pPr>
      <w:r>
        <w:t>The impact of dialysis unit staff initiating resuscitation before arrival of paramedics has recently been reported to assess outcomes of staff-led CPR and AED use. In this study of OHCA in out-patient dialysis clinics (n=398 events), dialysis staff initiated CPR in 81% of events, but applied an AED before paramedics arrived in only 52.3%</w:t>
      </w:r>
      <w:r w:rsidR="00903055">
        <w:t>.</w:t>
      </w:r>
      <w:r w:rsidR="00903055">
        <w:rPr>
          <w:vertAlign w:val="superscript"/>
        </w:rPr>
        <w:t>13</w:t>
      </w:r>
      <w:r w:rsidR="00903055">
        <w:t xml:space="preserve"> </w:t>
      </w:r>
      <w:r w:rsidR="00903055">
        <w:rPr>
          <w:rFonts w:ascii="宋体" w:eastAsia="宋体" w:hAnsi="宋体" w:cs="宋体" w:hint="eastAsia"/>
        </w:rPr>
        <w:t>。。</w:t>
      </w:r>
      <w:r w:rsidR="00903055">
        <w:t>T</w:t>
      </w:r>
      <w:r>
        <w:t xml:space="preserve">he timing of events in relation to dialysis is not available. When dialysis staff were the first to apply the AED, there was a greater proportion of shockable rhythms (41% vs 25%), </w:t>
      </w:r>
      <w:r>
        <w:lastRenderedPageBreak/>
        <w:t>reinforcing</w:t>
      </w:r>
      <w:r w:rsidR="00194032">
        <w:t xml:space="preserve"> </w:t>
      </w:r>
    </w:p>
    <w:p w:rsidR="008F03B5" w:rsidRDefault="00586B9B">
      <w:pPr>
        <w:pStyle w:val="a3"/>
        <w:spacing w:before="116" w:line="276" w:lineRule="auto"/>
        <w:ind w:left="217" w:right="315"/>
      </w:pPr>
      <w:r>
        <w:lastRenderedPageBreak/>
        <w:t>early application of AED. The odds of survival to hospital discharge was 3-fold higher with staff-initiated CPR, but there was only a non-significant trend towards improved survival to discharge with staff-initiated AED. This may be explained by the low usage of AED by nursing staff.</w:t>
      </w:r>
    </w:p>
    <w:p w:rsidR="008F03B5" w:rsidRDefault="008F03B5">
      <w:pPr>
        <w:pStyle w:val="a3"/>
        <w:rPr>
          <w:sz w:val="20"/>
        </w:rPr>
      </w:pPr>
    </w:p>
    <w:p w:rsidR="008F03B5" w:rsidRDefault="009A3CBD">
      <w:pPr>
        <w:pStyle w:val="a3"/>
        <w:spacing w:before="5"/>
        <w:rPr>
          <w:sz w:val="17"/>
        </w:rPr>
      </w:pPr>
      <w:r>
        <w:pict>
          <v:shape id="_x0000_s1033" type="#_x0000_t202" style="position:absolute;margin-left:84.6pt;margin-top:13pt;width:424.05pt;height:2in;z-index:-15710208;mso-wrap-distance-left:0;mso-wrap-distance-right:0;mso-position-horizontal-relative:page" fillcolor="#deebf7">
            <v:textbox inset="0,0,0,0">
              <w:txbxContent>
                <w:p w:rsidR="008F03B5" w:rsidRDefault="00586B9B">
                  <w:pPr>
                    <w:spacing w:before="72" w:line="523" w:lineRule="auto"/>
                    <w:ind w:left="144" w:right="2530"/>
                    <w:rPr>
                      <w:b/>
                      <w:sz w:val="24"/>
                    </w:rPr>
                  </w:pPr>
                  <w:r>
                    <w:rPr>
                      <w:b/>
                      <w:sz w:val="24"/>
                    </w:rPr>
                    <w:t>Cardiac arrest in dialysis centres are witnessed events. CPR should be initiated by nursing staff.</w:t>
                  </w:r>
                </w:p>
                <w:p w:rsidR="008F03B5" w:rsidRDefault="00586B9B">
                  <w:pPr>
                    <w:spacing w:line="292" w:lineRule="exact"/>
                    <w:ind w:left="144"/>
                    <w:rPr>
                      <w:b/>
                      <w:sz w:val="24"/>
                    </w:rPr>
                  </w:pPr>
                  <w:r>
                    <w:rPr>
                      <w:b/>
                      <w:sz w:val="24"/>
                    </w:rPr>
                    <w:t>First responders require regular training in use of an AED.</w:t>
                  </w:r>
                </w:p>
                <w:p w:rsidR="008F03B5" w:rsidRDefault="008F03B5">
                  <w:pPr>
                    <w:pStyle w:val="a3"/>
                    <w:spacing w:before="2"/>
                    <w:rPr>
                      <w:b/>
                      <w:sz w:val="28"/>
                    </w:rPr>
                  </w:pPr>
                </w:p>
                <w:p w:rsidR="008F03B5" w:rsidRDefault="00586B9B">
                  <w:pPr>
                    <w:spacing w:line="360" w:lineRule="auto"/>
                    <w:ind w:left="144"/>
                    <w:rPr>
                      <w:b/>
                      <w:sz w:val="24"/>
                    </w:rPr>
                  </w:pPr>
                  <w:r>
                    <w:rPr>
                      <w:b/>
                      <w:sz w:val="24"/>
                    </w:rPr>
                    <w:t>Ensure safety: Disconnect patient from haemodialysis machine prior to defibrillation (most machines are not ‘defib-proof’).</w:t>
                  </w:r>
                </w:p>
              </w:txbxContent>
            </v:textbox>
            <w10:wrap type="topAndBottom" anchorx="page"/>
          </v:shape>
        </w:pict>
      </w:r>
    </w:p>
    <w:p w:rsidR="008F03B5" w:rsidRDefault="008F03B5">
      <w:pPr>
        <w:pStyle w:val="a3"/>
        <w:spacing w:before="9"/>
      </w:pPr>
    </w:p>
    <w:p w:rsidR="008F03B5" w:rsidRDefault="00586B9B">
      <w:pPr>
        <w:pStyle w:val="a3"/>
        <w:spacing w:before="1" w:line="276" w:lineRule="auto"/>
        <w:ind w:left="217" w:right="607"/>
      </w:pPr>
      <w:r>
        <w:t>Within out-patient dialysis centres, cardiac arrest occurs most often during dialysis thereby are witnessed events. Shockable rhythms are more common, therefore early defibrillation using safe practice should be attempted. Patients with a shockable rhythm have the best chance of survival, therefore prompt and effective action by first responders is crucial.</w:t>
      </w:r>
    </w:p>
    <w:p w:rsidR="008F03B5" w:rsidRDefault="008F03B5">
      <w:pPr>
        <w:pStyle w:val="a3"/>
        <w:spacing w:before="11"/>
        <w:rPr>
          <w:sz w:val="19"/>
        </w:rPr>
      </w:pPr>
    </w:p>
    <w:p w:rsidR="008F03B5" w:rsidRDefault="00586B9B">
      <w:pPr>
        <w:ind w:left="217"/>
        <w:rPr>
          <w:b/>
          <w:sz w:val="24"/>
        </w:rPr>
      </w:pPr>
      <w:r>
        <w:rPr>
          <w:b/>
          <w:color w:val="44536A"/>
          <w:sz w:val="24"/>
        </w:rPr>
        <w:t>References</w:t>
      </w:r>
    </w:p>
    <w:p w:rsidR="008F03B5" w:rsidRDefault="00586B9B">
      <w:pPr>
        <w:pStyle w:val="a4"/>
        <w:numPr>
          <w:ilvl w:val="2"/>
          <w:numId w:val="42"/>
        </w:numPr>
        <w:tabs>
          <w:tab w:val="left" w:pos="939"/>
        </w:tabs>
        <w:spacing w:before="161"/>
        <w:ind w:hanging="361"/>
      </w:pPr>
      <w:r>
        <w:t xml:space="preserve">Karnik, J.A., et al., </w:t>
      </w:r>
      <w:r>
        <w:rPr>
          <w:i/>
        </w:rPr>
        <w:t>Cardiac arrest and sudden death in dialysis units</w:t>
      </w:r>
      <w:r>
        <w:t xml:space="preserve">. Kidney Int, 2001. </w:t>
      </w:r>
      <w:r>
        <w:rPr>
          <w:b/>
        </w:rPr>
        <w:t>60</w:t>
      </w:r>
      <w:r>
        <w:t>(1): p.</w:t>
      </w:r>
      <w:r>
        <w:rPr>
          <w:spacing w:val="-30"/>
        </w:rPr>
        <w:t xml:space="preserve"> </w:t>
      </w:r>
      <w:r>
        <w:t>350-7.</w:t>
      </w:r>
    </w:p>
    <w:p w:rsidR="008F03B5" w:rsidRDefault="008F03B5">
      <w:pPr>
        <w:pStyle w:val="a3"/>
      </w:pPr>
    </w:p>
    <w:p w:rsidR="008F03B5" w:rsidRDefault="008F03B5">
      <w:pPr>
        <w:pStyle w:val="a3"/>
        <w:spacing w:before="10"/>
        <w:rPr>
          <w:sz w:val="20"/>
        </w:rPr>
      </w:pPr>
    </w:p>
    <w:p w:rsidR="008F03B5" w:rsidRDefault="00586B9B">
      <w:pPr>
        <w:pStyle w:val="2"/>
      </w:pPr>
      <w:bookmarkStart w:id="23" w:name="_bookmark41"/>
      <w:bookmarkEnd w:id="23"/>
      <w:r>
        <w:rPr>
          <w:color w:val="1F4E79"/>
        </w:rPr>
        <w:t>Treatment: Calcium chloride (Guidelines 25.1)</w:t>
      </w:r>
    </w:p>
    <w:p w:rsidR="008F03B5" w:rsidRDefault="008F03B5">
      <w:pPr>
        <w:pStyle w:val="a3"/>
        <w:rPr>
          <w:b/>
          <w:sz w:val="24"/>
        </w:rPr>
      </w:pPr>
    </w:p>
    <w:p w:rsidR="008F03B5" w:rsidRDefault="008F03B5">
      <w:pPr>
        <w:pStyle w:val="a3"/>
        <w:spacing w:before="7"/>
        <w:rPr>
          <w:b/>
          <w:sz w:val="24"/>
        </w:rPr>
      </w:pPr>
    </w:p>
    <w:p w:rsidR="008F03B5" w:rsidRDefault="00586B9B">
      <w:pPr>
        <w:pStyle w:val="3"/>
      </w:pPr>
      <w:r>
        <w:t>Guideline 25.1 – Cardiac Arrest: Treatment - Intravenous calcium</w:t>
      </w:r>
    </w:p>
    <w:p w:rsidR="008F03B5" w:rsidRDefault="00586B9B">
      <w:pPr>
        <w:pStyle w:val="a3"/>
        <w:spacing w:before="159" w:line="276" w:lineRule="auto"/>
        <w:ind w:left="217" w:right="315"/>
      </w:pPr>
      <w:r>
        <w:t>We recommend that intravenous calcium chloride is administered if hyperkalaemia is known or suspected to be the cause of cardiac arrest. (1C)</w:t>
      </w:r>
    </w:p>
    <w:p w:rsidR="008F03B5" w:rsidRDefault="008F03B5">
      <w:pPr>
        <w:pStyle w:val="a3"/>
      </w:pPr>
    </w:p>
    <w:p w:rsidR="008F03B5" w:rsidRDefault="008F03B5">
      <w:pPr>
        <w:pStyle w:val="a3"/>
        <w:spacing w:before="11"/>
        <w:rPr>
          <w:sz w:val="32"/>
        </w:rPr>
      </w:pPr>
    </w:p>
    <w:p w:rsidR="008F03B5" w:rsidRDefault="00586B9B">
      <w:pPr>
        <w:spacing w:before="1"/>
        <w:ind w:left="217"/>
        <w:rPr>
          <w:b/>
          <w:sz w:val="24"/>
        </w:rPr>
      </w:pPr>
      <w:r>
        <w:rPr>
          <w:b/>
          <w:color w:val="44536A"/>
          <w:sz w:val="24"/>
        </w:rPr>
        <w:t>Audit measures</w:t>
      </w:r>
    </w:p>
    <w:p w:rsidR="008F03B5" w:rsidRDefault="00586B9B">
      <w:pPr>
        <w:pStyle w:val="a3"/>
        <w:spacing w:before="162"/>
        <w:ind w:left="578"/>
      </w:pPr>
      <w:r>
        <w:t>1. The proportion of patients treated with intravenous calcium for hyperkalaemic cardiac arrest.</w:t>
      </w:r>
    </w:p>
    <w:p w:rsidR="008F03B5" w:rsidRDefault="008F03B5">
      <w:pPr>
        <w:pStyle w:val="a3"/>
      </w:pPr>
    </w:p>
    <w:p w:rsidR="008F03B5" w:rsidRDefault="008F03B5">
      <w:pPr>
        <w:pStyle w:val="a3"/>
      </w:pPr>
    </w:p>
    <w:p w:rsidR="008F03B5" w:rsidRDefault="00586B9B">
      <w:pPr>
        <w:spacing w:before="175"/>
        <w:ind w:left="217"/>
        <w:rPr>
          <w:b/>
          <w:sz w:val="24"/>
        </w:rPr>
      </w:pPr>
      <w:r>
        <w:rPr>
          <w:b/>
          <w:color w:val="44536A"/>
          <w:sz w:val="24"/>
        </w:rPr>
        <w:t>Rationale (Guidelines 25.1)</w:t>
      </w:r>
    </w:p>
    <w:p w:rsidR="008F03B5" w:rsidRDefault="00586B9B">
      <w:pPr>
        <w:pStyle w:val="a3"/>
        <w:spacing w:before="160" w:line="276" w:lineRule="auto"/>
        <w:ind w:left="217" w:right="338"/>
      </w:pPr>
      <w:r>
        <w:t xml:space="preserve">This guideline extrapolates from management in the non-arrested patient, recognising the sparsity of evidence for the use of specific medical interventions in hyperkalaemic cardiac arrest. Intravenous calcium is widely recommended for treatment of hyperkalaemia in the context of toxic ECG changes, arrhythmias and cardiac arrest. </w:t>
      </w:r>
      <w:r>
        <w:rPr>
          <w:vertAlign w:val="superscript"/>
        </w:rPr>
        <w:t>1-3</w:t>
      </w:r>
      <w:r>
        <w:t xml:space="preserve"> However, in the absence of hyperkalaemia or other specific indication, IV calcium can have deleterious effects in cardiac arrest with coronary vasospasm and worsening cerebral hypoxic damage.</w:t>
      </w:r>
    </w:p>
    <w:p w:rsidR="008F03B5" w:rsidRDefault="00586B9B">
      <w:pPr>
        <w:pStyle w:val="a3"/>
        <w:spacing w:before="121" w:line="276" w:lineRule="auto"/>
        <w:ind w:left="217" w:right="296"/>
      </w:pPr>
      <w:r>
        <w:t>The quality of evidence for the general use of IV calcium in cardiac arrest was reviewed using the 2010 International Liaison Committee on Resuscitation (ILCOR) evidence evaluation process</w:t>
      </w:r>
      <w:r w:rsidR="00903055">
        <w:t>.</w:t>
      </w:r>
      <w:r w:rsidR="00903055">
        <w:rPr>
          <w:vertAlign w:val="superscript"/>
        </w:rPr>
        <w:t>4</w:t>
      </w:r>
      <w:r w:rsidR="00903055">
        <w:t xml:space="preserve"> </w:t>
      </w:r>
      <w:r w:rsidR="00903055">
        <w:rPr>
          <w:rFonts w:ascii="宋体" w:eastAsia="宋体" w:hAnsi="宋体" w:cs="宋体" w:hint="eastAsia"/>
        </w:rPr>
        <w:t>。。</w:t>
      </w:r>
      <w:r w:rsidR="00903055">
        <w:t>O</w:t>
      </w:r>
      <w:r>
        <w:t xml:space="preserve">nly 10 studies </w:t>
      </w:r>
      <w:r>
        <w:lastRenderedPageBreak/>
        <w:t>were adequate for inclusion and only two studies had a blinded randomised design. The analysis was further limited by the wide variation in sample size, reported data and outcomes. The conclusion was that there is no evidence that IV calcium during CPR improves survival after cardiac arrest. Its role in specific settings of hyperkalaemia, calcium channel blocker intoxication, hypocalcaemia and hypermagnesaemia remain unclear due to limited</w:t>
      </w:r>
      <w:r>
        <w:rPr>
          <w:spacing w:val="-2"/>
        </w:rPr>
        <w:t xml:space="preserve"> </w:t>
      </w:r>
      <w:r>
        <w:t>data.</w:t>
      </w:r>
    </w:p>
    <w:p w:rsidR="008F03B5" w:rsidRDefault="00586B9B">
      <w:pPr>
        <w:pStyle w:val="a3"/>
        <w:spacing w:before="122" w:line="276" w:lineRule="auto"/>
        <w:ind w:left="217" w:right="402"/>
      </w:pPr>
      <w:r>
        <w:t>More recently, Wang et al (2016) have reported the outcome of IV calcium in hyperkalaemic IHCA</w:t>
      </w:r>
      <w:r w:rsidR="00903055">
        <w:t>.</w:t>
      </w:r>
      <w:r w:rsidR="00903055">
        <w:rPr>
          <w:vertAlign w:val="superscript"/>
        </w:rPr>
        <w:t>5</w:t>
      </w:r>
      <w:r w:rsidR="00903055">
        <w:t xml:space="preserve"> </w:t>
      </w:r>
      <w:r w:rsidR="00903055">
        <w:rPr>
          <w:rFonts w:ascii="宋体" w:eastAsia="宋体" w:hAnsi="宋体" w:cs="宋体" w:hint="eastAsia"/>
        </w:rPr>
        <w:t>。。</w:t>
      </w:r>
      <w:r w:rsidR="00903055">
        <w:t>I</w:t>
      </w:r>
      <w:r>
        <w:t>n this study, 56% of patients received IV calcium either alone (4/ 109; 4%) or more frequently in combination with sodium bicarbonate (57/ 109; 52%). ROSC was achieved in only one patient who received IV calcium alone (1/4; 25%), but this patient did not survive &gt; 24 hours. In comparison, ROSC was achieved in a higher proportion of patients who received both drugs (12/57; 21%).</w:t>
      </w:r>
    </w:p>
    <w:p w:rsidR="008F03B5" w:rsidRDefault="00586B9B">
      <w:pPr>
        <w:pStyle w:val="a3"/>
        <w:spacing w:before="119" w:line="276" w:lineRule="auto"/>
        <w:ind w:left="217" w:right="546"/>
      </w:pPr>
      <w:r>
        <w:t>Despite the limited evidence-base, IV calcium has become standard practice for preventing and treating arrhythmias in hyperkalaemia. Its effect is evidenced by the improvement in the ECG changes in the non- arrested patient. Its effects last only 30-60 minutes, therefore further doses may be required if hyperkalaemia persists or during prolonged resuscitation attempts.</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spacing w:before="119"/>
        <w:ind w:left="217"/>
        <w:rPr>
          <w:b/>
          <w:sz w:val="24"/>
        </w:rPr>
      </w:pPr>
      <w:r>
        <w:rPr>
          <w:b/>
          <w:color w:val="44536A"/>
          <w:sz w:val="24"/>
        </w:rPr>
        <w:lastRenderedPageBreak/>
        <w:t>References</w:t>
      </w:r>
    </w:p>
    <w:p w:rsidR="008F03B5" w:rsidRDefault="00586B9B">
      <w:pPr>
        <w:pStyle w:val="a4"/>
        <w:numPr>
          <w:ilvl w:val="0"/>
          <w:numId w:val="41"/>
        </w:numPr>
        <w:tabs>
          <w:tab w:val="left" w:pos="939"/>
        </w:tabs>
        <w:spacing w:before="160" w:line="276" w:lineRule="auto"/>
        <w:ind w:right="963"/>
      </w:pPr>
      <w:r>
        <w:t xml:space="preserve">Truhlar, A., et al., </w:t>
      </w:r>
      <w:r>
        <w:rPr>
          <w:i/>
        </w:rPr>
        <w:t xml:space="preserve">European Resuscitation Council Guidelines for Resuscitation 2015: Section 4. Cardiac arrest in special circumstances. </w:t>
      </w:r>
      <w:r>
        <w:t xml:space="preserve">Resuscitation, 2015. </w:t>
      </w:r>
      <w:r>
        <w:rPr>
          <w:b/>
        </w:rPr>
        <w:t>95</w:t>
      </w:r>
      <w:r>
        <w:t>: p.</w:t>
      </w:r>
      <w:r>
        <w:rPr>
          <w:spacing w:val="-14"/>
        </w:rPr>
        <w:t xml:space="preserve"> </w:t>
      </w:r>
      <w:r>
        <w:t>148-201.</w:t>
      </w:r>
    </w:p>
    <w:p w:rsidR="008F03B5" w:rsidRDefault="008F03B5">
      <w:pPr>
        <w:pStyle w:val="a3"/>
      </w:pPr>
    </w:p>
    <w:p w:rsidR="008F03B5" w:rsidRDefault="008F03B5">
      <w:pPr>
        <w:pStyle w:val="a3"/>
        <w:spacing w:before="6"/>
        <w:rPr>
          <w:sz w:val="29"/>
        </w:rPr>
      </w:pPr>
    </w:p>
    <w:p w:rsidR="008F03B5" w:rsidRDefault="00586B9B">
      <w:pPr>
        <w:pStyle w:val="2"/>
      </w:pPr>
      <w:bookmarkStart w:id="24" w:name="_bookmark42"/>
      <w:bookmarkEnd w:id="24"/>
      <w:r>
        <w:rPr>
          <w:color w:val="1F4E79"/>
        </w:rPr>
        <w:t>Treatment: Insulin-glucose (Guidelines 25.2)</w:t>
      </w:r>
    </w:p>
    <w:p w:rsidR="008F03B5" w:rsidRDefault="008F03B5">
      <w:pPr>
        <w:pStyle w:val="a3"/>
        <w:rPr>
          <w:b/>
          <w:sz w:val="24"/>
        </w:rPr>
      </w:pPr>
    </w:p>
    <w:p w:rsidR="008F03B5" w:rsidRDefault="008F03B5">
      <w:pPr>
        <w:pStyle w:val="a3"/>
        <w:spacing w:before="5"/>
        <w:rPr>
          <w:b/>
          <w:sz w:val="21"/>
        </w:rPr>
      </w:pPr>
    </w:p>
    <w:p w:rsidR="008F03B5" w:rsidRDefault="00586B9B">
      <w:pPr>
        <w:pStyle w:val="3"/>
      </w:pPr>
      <w:r>
        <w:t>Guideline 25.2.1 – Cardiac Arrest: Treatment – Insulin-glucose</w:t>
      </w:r>
    </w:p>
    <w:p w:rsidR="008F03B5" w:rsidRDefault="008F03B5">
      <w:pPr>
        <w:pStyle w:val="a3"/>
        <w:spacing w:before="6"/>
        <w:rPr>
          <w:b/>
          <w:sz w:val="19"/>
        </w:rPr>
      </w:pPr>
    </w:p>
    <w:p w:rsidR="008F03B5" w:rsidRDefault="00586B9B">
      <w:pPr>
        <w:pStyle w:val="a3"/>
        <w:spacing w:line="276" w:lineRule="auto"/>
        <w:ind w:left="217" w:right="555"/>
      </w:pPr>
      <w:r>
        <w:t>We recommend that 10 units soluble insulin and 25g glucose is administered if hyperkalaemia is known or suspected to be the cause of cardiac arrest. (1B)</w:t>
      </w:r>
    </w:p>
    <w:p w:rsidR="008F03B5" w:rsidRDefault="008F03B5">
      <w:pPr>
        <w:pStyle w:val="a3"/>
      </w:pPr>
    </w:p>
    <w:p w:rsidR="008F03B5" w:rsidRDefault="008F03B5">
      <w:pPr>
        <w:pStyle w:val="a3"/>
        <w:rPr>
          <w:sz w:val="23"/>
        </w:rPr>
      </w:pPr>
    </w:p>
    <w:p w:rsidR="008F03B5" w:rsidRDefault="00586B9B">
      <w:pPr>
        <w:pStyle w:val="3"/>
      </w:pPr>
      <w:r>
        <w:t>Guideline 25.2.2 – Cardiac Arrest: Treatment – Insulin-glucose</w:t>
      </w:r>
    </w:p>
    <w:p w:rsidR="008F03B5" w:rsidRDefault="00586B9B">
      <w:pPr>
        <w:pStyle w:val="a3"/>
        <w:spacing w:before="161" w:line="273" w:lineRule="auto"/>
        <w:ind w:left="217" w:right="871"/>
      </w:pPr>
      <w:r>
        <w:t>We suggest 10% glucose infusion be initiated if the blood glucose is &lt; 7.0 mmol/l at the time of cardiac arrest. (2C)</w:t>
      </w:r>
    </w:p>
    <w:p w:rsidR="008F03B5" w:rsidRDefault="008F03B5">
      <w:pPr>
        <w:pStyle w:val="a3"/>
      </w:pPr>
    </w:p>
    <w:p w:rsidR="008F03B5" w:rsidRDefault="008F03B5">
      <w:pPr>
        <w:pStyle w:val="a3"/>
      </w:pPr>
    </w:p>
    <w:p w:rsidR="008F03B5" w:rsidRDefault="00586B9B">
      <w:pPr>
        <w:spacing w:before="139"/>
        <w:ind w:left="217"/>
        <w:rPr>
          <w:b/>
          <w:sz w:val="24"/>
        </w:rPr>
      </w:pPr>
      <w:r>
        <w:rPr>
          <w:b/>
          <w:color w:val="44536A"/>
          <w:sz w:val="24"/>
        </w:rPr>
        <w:t>Rationale (Guidelines 25.2.1 – Guideline 25.2.2)</w:t>
      </w:r>
    </w:p>
    <w:p w:rsidR="008F03B5" w:rsidRDefault="00586B9B">
      <w:pPr>
        <w:pStyle w:val="a3"/>
        <w:spacing w:before="161" w:line="276" w:lineRule="auto"/>
        <w:ind w:left="217" w:right="301"/>
      </w:pPr>
      <w:r>
        <w:t xml:space="preserve">Insulin and glucose is the most effective treatment for hyperkalaemia in the non-arrested patient as discussed in Guideline 16.3. The onset of action is within 15 minutes </w:t>
      </w:r>
      <w:r>
        <w:rPr>
          <w:vertAlign w:val="superscript"/>
        </w:rPr>
        <w:t>1,</w:t>
      </w:r>
      <w:r>
        <w:t xml:space="preserve"> </w:t>
      </w:r>
      <w:r>
        <w:rPr>
          <w:vertAlign w:val="superscript"/>
        </w:rPr>
        <w:t>2</w:t>
      </w:r>
      <w:r>
        <w:t xml:space="preserve"> with a peak reduction in serum K+ ranging from 0.65 – 1.0 mmol/l by 60 minutes</w:t>
      </w:r>
      <w:r w:rsidR="00903055">
        <w:t>.</w:t>
      </w:r>
      <w:r w:rsidR="00903055">
        <w:rPr>
          <w:vertAlign w:val="superscript"/>
        </w:rPr>
        <w:t>1-5</w:t>
      </w:r>
      <w:r w:rsidR="00903055">
        <w:t xml:space="preserve"> </w:t>
      </w:r>
      <w:r w:rsidR="00903055">
        <w:rPr>
          <w:rFonts w:ascii="宋体" w:eastAsia="宋体" w:hAnsi="宋体" w:cs="宋体" w:hint="eastAsia"/>
        </w:rPr>
        <w:t>。。</w:t>
      </w:r>
      <w:r w:rsidR="00903055">
        <w:t>A</w:t>
      </w:r>
      <w:r>
        <w:t>lthough several studies have shown equivalent efficacy with standard (10 units) vs low dose (5 units) insulin, Garcia et al have found a trend towards greater efficacy with 10 units compared with 5 units insulin in patients with a serum K &gt; 6.0 mmol/l</w:t>
      </w:r>
      <w:r w:rsidR="00903055">
        <w:t>.</w:t>
      </w:r>
      <w:r w:rsidR="00903055">
        <w:rPr>
          <w:vertAlign w:val="superscript"/>
        </w:rPr>
        <w:t>6</w:t>
      </w:r>
      <w:r w:rsidR="00903055">
        <w:t xml:space="preserve"> </w:t>
      </w:r>
      <w:r w:rsidR="00903055">
        <w:rPr>
          <w:rFonts w:ascii="宋体" w:eastAsia="宋体" w:hAnsi="宋体" w:cs="宋体" w:hint="eastAsia"/>
        </w:rPr>
        <w:t>。。</w:t>
      </w:r>
      <w:r w:rsidR="00903055">
        <w:t>M</w:t>
      </w:r>
      <w:r>
        <w:t>oussavi et al also demonstrated significantly greater K+-lowering with 10 units insulin compared with low-dose insulin</w:t>
      </w:r>
      <w:r w:rsidR="00903055">
        <w:t>.</w:t>
      </w:r>
      <w:r w:rsidR="00903055">
        <w:rPr>
          <w:vertAlign w:val="superscript"/>
        </w:rPr>
        <w:t>7</w:t>
      </w:r>
      <w:r w:rsidR="00903055">
        <w:t xml:space="preserve"> </w:t>
      </w:r>
      <w:r w:rsidR="00903055">
        <w:rPr>
          <w:rFonts w:ascii="宋体" w:eastAsia="宋体" w:hAnsi="宋体" w:cs="宋体" w:hint="eastAsia"/>
        </w:rPr>
        <w:t>。。</w:t>
      </w:r>
      <w:r w:rsidR="00903055">
        <w:t>T</w:t>
      </w:r>
      <w:r>
        <w:t>hese observations are important in patients with life-threatening hyperkalaemia. The main adverse effect is hypoglycaemia, therefore blood glucose monitoring is essential.</w:t>
      </w:r>
    </w:p>
    <w:p w:rsidR="008F03B5" w:rsidRDefault="00586B9B" w:rsidP="00194032">
      <w:pPr>
        <w:pStyle w:val="a3"/>
        <w:spacing w:before="122" w:line="276" w:lineRule="auto"/>
        <w:ind w:left="217" w:right="514"/>
      </w:pPr>
      <w:r>
        <w:t>International resuscitation guidelines have historically recommended the use of insulin-glucose for hyperkalaemic cardiac arrest based on treatment in the non-arrested patient</w:t>
      </w:r>
      <w:r w:rsidR="00903055">
        <w:t>.</w:t>
      </w:r>
      <w:r w:rsidR="00903055">
        <w:rPr>
          <w:vertAlign w:val="superscript"/>
        </w:rPr>
        <w:t>8-10</w:t>
      </w:r>
      <w:r w:rsidR="00903055">
        <w:t xml:space="preserve"> </w:t>
      </w:r>
      <w:r w:rsidR="00903055">
        <w:rPr>
          <w:rFonts w:ascii="宋体" w:eastAsia="宋体" w:hAnsi="宋体" w:cs="宋体" w:hint="eastAsia"/>
        </w:rPr>
        <w:t>。。</w:t>
      </w:r>
      <w:r w:rsidR="00903055">
        <w:t>T</w:t>
      </w:r>
      <w:r>
        <w:t>he efficacy of insulin- glucose is augmented with the use of salbutamol and novel potassium binders in the non-arrested patient. In cardiac arrest, the use of adrenaline has an analogous effect to salbutamol and will likely enhance K+-</w:t>
      </w:r>
      <w:r w:rsidR="00194032">
        <w:t xml:space="preserve"> </w:t>
      </w:r>
      <w:r>
        <w:t>lowering, but unfortunately there are no clinical trials to confirm this. For consistency, the treatment protocol in hyperkalaemic cardiac arrest is the same as in the non-arrested patient.</w:t>
      </w:r>
    </w:p>
    <w:p w:rsidR="008F03B5" w:rsidRDefault="00586B9B">
      <w:pPr>
        <w:pStyle w:val="a3"/>
        <w:spacing w:before="119" w:line="276" w:lineRule="auto"/>
        <w:ind w:left="217" w:right="497"/>
      </w:pPr>
      <w:r>
        <w:t>The ERC recommendation for insulin-glucose during cardiac arrest has changed over the past two decades. The ERC Resuscitation Guidelines (2000, 2005) for managing life-threatening electrolyte abnormalities recommended 10 units insulin with 50g glucose</w:t>
      </w:r>
      <w:r w:rsidR="00903055">
        <w:t>.</w:t>
      </w:r>
      <w:r w:rsidR="00903055">
        <w:rPr>
          <w:vertAlign w:val="superscript"/>
        </w:rPr>
        <w:t>11,</w:t>
      </w:r>
      <w:r w:rsidR="00903055">
        <w:t xml:space="preserve"> </w:t>
      </w:r>
      <w:r w:rsidR="00903055">
        <w:rPr>
          <w:vertAlign w:val="superscript"/>
        </w:rPr>
        <w:t>12</w:t>
      </w:r>
      <w:r w:rsidR="00903055">
        <w:t xml:space="preserve"> </w:t>
      </w:r>
      <w:r w:rsidR="00903055">
        <w:rPr>
          <w:rFonts w:ascii="宋体" w:eastAsia="宋体" w:hAnsi="宋体" w:cs="宋体" w:hint="eastAsia"/>
        </w:rPr>
        <w:t>。。</w:t>
      </w:r>
      <w:r w:rsidR="00903055">
        <w:t>S</w:t>
      </w:r>
      <w:r>
        <w:t>ubsequent ERC guidelines (2010, 2015) altered the dose of glucose to 25g based on the available evidence and the Cochrane review on the emergency interventions for hyperkalaemia published in 2005.</w:t>
      </w:r>
      <w:r>
        <w:rPr>
          <w:vertAlign w:val="superscript"/>
        </w:rPr>
        <w:t>10,</w:t>
      </w:r>
      <w:r>
        <w:t xml:space="preserve"> </w:t>
      </w:r>
      <w:r>
        <w:rPr>
          <w:vertAlign w:val="superscript"/>
        </w:rPr>
        <w:t>13,</w:t>
      </w:r>
      <w:r>
        <w:t xml:space="preserve"> </w:t>
      </w:r>
      <w:r>
        <w:rPr>
          <w:vertAlign w:val="superscript"/>
        </w:rPr>
        <w:t>14</w:t>
      </w:r>
    </w:p>
    <w:p w:rsidR="008F03B5" w:rsidRDefault="00586B9B">
      <w:pPr>
        <w:pStyle w:val="a3"/>
        <w:spacing w:before="122" w:line="276" w:lineRule="auto"/>
        <w:ind w:left="217" w:right="281"/>
      </w:pPr>
      <w:r>
        <w:t>Given the sparsity of evidence for medical treatments in hyperkalaemic cardiac arrest, it is interesting to consider an analogous circumstance. Cardiac arrest is induced to facilitate cardiopulmonary bypass. The standard technique for induction of cardiac arrest includes the delivery of a high concentration of K+ to the myocardium</w:t>
      </w:r>
      <w:r w:rsidR="00903055">
        <w:t>.</w:t>
      </w:r>
      <w:r w:rsidR="00903055">
        <w:rPr>
          <w:vertAlign w:val="superscript"/>
        </w:rPr>
        <w:t>15</w:t>
      </w:r>
      <w:r w:rsidR="00903055">
        <w:t xml:space="preserve"> </w:t>
      </w:r>
      <w:r w:rsidR="00903055">
        <w:rPr>
          <w:rFonts w:ascii="宋体" w:eastAsia="宋体" w:hAnsi="宋体" w:cs="宋体" w:hint="eastAsia"/>
        </w:rPr>
        <w:t>。。</w:t>
      </w:r>
      <w:r w:rsidR="00903055">
        <w:t>T</w:t>
      </w:r>
      <w:r>
        <w:t>herefore, hyperkalaemia frequently occurs after cardioplegia</w:t>
      </w:r>
      <w:r w:rsidR="00903055">
        <w:t>.</w:t>
      </w:r>
      <w:r w:rsidR="00903055">
        <w:rPr>
          <w:vertAlign w:val="superscript"/>
        </w:rPr>
        <w:t>15,</w:t>
      </w:r>
      <w:r w:rsidR="00903055">
        <w:t xml:space="preserve"> </w:t>
      </w:r>
      <w:r w:rsidR="00903055">
        <w:rPr>
          <w:vertAlign w:val="superscript"/>
        </w:rPr>
        <w:t>16</w:t>
      </w:r>
      <w:r w:rsidR="00903055">
        <w:t xml:space="preserve"> </w:t>
      </w:r>
      <w:r w:rsidR="00903055">
        <w:rPr>
          <w:rFonts w:ascii="宋体" w:eastAsia="宋体" w:hAnsi="宋体" w:cs="宋体" w:hint="eastAsia"/>
        </w:rPr>
        <w:t>。。</w:t>
      </w:r>
      <w:r w:rsidR="00903055">
        <w:t>T</w:t>
      </w:r>
      <w:r>
        <w:t xml:space="preserve">his scenario is </w:t>
      </w:r>
      <w:r>
        <w:lastRenderedPageBreak/>
        <w:t>essentially an iatrogenic hyperkalaemic cardiac arrest. The 2019 European Guidelines on cardiopulmonary bypass in adult cardiac surgery suggests treatment with IV calcium and insulin-glucose (dose unspecified) if the serum K+ exceeds 6.5 – 7.0 mmol/l.</w:t>
      </w:r>
      <w:r>
        <w:rPr>
          <w:vertAlign w:val="superscript"/>
        </w:rPr>
        <w:t>15</w:t>
      </w:r>
    </w:p>
    <w:p w:rsidR="008F03B5" w:rsidRDefault="00586B9B">
      <w:pPr>
        <w:pStyle w:val="a3"/>
        <w:spacing w:before="121" w:line="276" w:lineRule="auto"/>
        <w:ind w:left="217" w:right="353"/>
      </w:pPr>
      <w:r>
        <w:t>The optimal dose of insulin and glucose during cardioplegia is unclear. Morgan et al suggested 30-50g per 10 units of insulin</w:t>
      </w:r>
      <w:r w:rsidR="00903055">
        <w:t>.</w:t>
      </w:r>
      <w:r w:rsidR="00903055">
        <w:rPr>
          <w:vertAlign w:val="superscript"/>
        </w:rPr>
        <w:t>17</w:t>
      </w:r>
      <w:r w:rsidR="00903055">
        <w:t xml:space="preserve"> </w:t>
      </w:r>
      <w:r w:rsidR="00903055">
        <w:rPr>
          <w:rFonts w:ascii="宋体" w:eastAsia="宋体" w:hAnsi="宋体" w:cs="宋体" w:hint="eastAsia"/>
        </w:rPr>
        <w:t>。。</w:t>
      </w:r>
      <w:r w:rsidR="00903055">
        <w:t>D</w:t>
      </w:r>
      <w:r>
        <w:t>avis et al suggested that if the glucose dose is 0.5 – 2g/kg, then the appropriate ratio is 1 unit insulin to 4g glucose</w:t>
      </w:r>
      <w:r w:rsidR="00903055">
        <w:t>.</w:t>
      </w:r>
      <w:r w:rsidR="00903055">
        <w:rPr>
          <w:vertAlign w:val="superscript"/>
        </w:rPr>
        <w:t>18</w:t>
      </w:r>
      <w:r w:rsidR="00903055">
        <w:t xml:space="preserve"> </w:t>
      </w:r>
      <w:r w:rsidR="00903055">
        <w:rPr>
          <w:rFonts w:ascii="宋体" w:eastAsia="宋体" w:hAnsi="宋体" w:cs="宋体" w:hint="eastAsia"/>
        </w:rPr>
        <w:t>。。</w:t>
      </w:r>
      <w:r w:rsidR="00903055">
        <w:t>K</w:t>
      </w:r>
      <w:r>
        <w:t>ocoglu et al suggested 2g of glucose for 1 unit of insulin, but hypoglycaemia was common and required treatment with 10% glucose</w:t>
      </w:r>
      <w:r w:rsidR="00903055">
        <w:t>.</w:t>
      </w:r>
      <w:r w:rsidR="00903055">
        <w:rPr>
          <w:vertAlign w:val="superscript"/>
        </w:rPr>
        <w:t>16</w:t>
      </w:r>
      <w:r w:rsidR="00903055">
        <w:t xml:space="preserve"> </w:t>
      </w:r>
      <w:r w:rsidR="00903055">
        <w:rPr>
          <w:rFonts w:ascii="宋体" w:eastAsia="宋体" w:hAnsi="宋体" w:cs="宋体" w:hint="eastAsia"/>
        </w:rPr>
        <w:t>。。</w:t>
      </w:r>
      <w:r w:rsidR="00903055">
        <w:t>T</w:t>
      </w:r>
      <w:r>
        <w:t xml:space="preserve">his data demonstrates that 25g glucose was insufficient to prevent hypoglycaemia when administered with 10 units insulin </w:t>
      </w:r>
      <w:r>
        <w:rPr>
          <w:vertAlign w:val="superscript"/>
        </w:rPr>
        <w:t>10,</w:t>
      </w:r>
      <w:r>
        <w:t xml:space="preserve"> </w:t>
      </w:r>
      <w:r>
        <w:rPr>
          <w:vertAlign w:val="superscript"/>
        </w:rPr>
        <w:t>15,</w:t>
      </w:r>
      <w:r>
        <w:t xml:space="preserve"> </w:t>
      </w:r>
      <w:r>
        <w:rPr>
          <w:vertAlign w:val="superscript"/>
        </w:rPr>
        <w:t>16</w:t>
      </w:r>
      <w:r>
        <w:t xml:space="preserve"> and in one study 10% glucose infusion was</w:t>
      </w:r>
      <w:r>
        <w:rPr>
          <w:spacing w:val="-1"/>
        </w:rPr>
        <w:t xml:space="preserve"> </w:t>
      </w:r>
      <w:r>
        <w:t>required.</w:t>
      </w:r>
      <w:r>
        <w:rPr>
          <w:vertAlign w:val="superscript"/>
        </w:rPr>
        <w:t>16</w:t>
      </w:r>
    </w:p>
    <w:p w:rsidR="008F03B5" w:rsidRDefault="00586B9B">
      <w:pPr>
        <w:pStyle w:val="a3"/>
        <w:spacing w:before="120" w:line="276" w:lineRule="auto"/>
        <w:ind w:left="217" w:right="295"/>
      </w:pPr>
      <w:r>
        <w:t>The current RA Hyperkalaemia guideline (2020) recommends 10 units insulin with 25g glucose for treating acute hyperkalaemia (Guideline 16.3.1). An infusion of 10% glucose (50ml/hr for 5 hours) is suggested if the pre-treatment blood glucose &lt; 7.0 mmol/l to avoid iatrogenic hypoglycaemia (Guideline 16.3.3). Although it is important to prevent hypoglycaemia in cardiac arrest, there is some evidence that the administration of glucose during resuscitation results in lower rates of survival and worse neurological outcome</w:t>
      </w:r>
      <w:r w:rsidR="00903055">
        <w:t>.</w:t>
      </w:r>
      <w:r w:rsidR="00903055">
        <w:rPr>
          <w:vertAlign w:val="superscript"/>
        </w:rPr>
        <w:t>19</w:t>
      </w:r>
      <w:r w:rsidR="00903055">
        <w:t xml:space="preserve"> </w:t>
      </w:r>
      <w:r w:rsidR="00903055">
        <w:rPr>
          <w:rFonts w:ascii="宋体" w:eastAsia="宋体" w:hAnsi="宋体" w:cs="宋体" w:hint="eastAsia"/>
        </w:rPr>
        <w:t>。。</w:t>
      </w:r>
      <w:r w:rsidR="00903055">
        <w:t>I</w:t>
      </w:r>
      <w:r>
        <w:t>n this observational study, it was not possible to determine the reason, timing or dosage for glucose administration and the effect was more prominent in patients without diabetes</w:t>
      </w:r>
      <w:r>
        <w:rPr>
          <w:spacing w:val="-12"/>
        </w:rPr>
        <w:t xml:space="preserve"> </w:t>
      </w:r>
      <w:r>
        <w:t>mellitus.</w:t>
      </w:r>
    </w:p>
    <w:p w:rsidR="008F03B5" w:rsidRDefault="00586B9B">
      <w:pPr>
        <w:pStyle w:val="a3"/>
        <w:spacing w:before="121" w:line="276" w:lineRule="auto"/>
        <w:ind w:left="217" w:right="362"/>
      </w:pPr>
      <w:r>
        <w:t>Hyperkalaemic cardiac arrest usually requires prolonged resuscitation and often occurs in patients with other risk factors for iatrogenic hypoglycaemia including renal failure. The first available blood glucose post arrest and subsequent monitoring, should guide the need for initiation and rate of a 10% glucose infusion during the resuscitation attempt. In practical terms, a blood glucose range of 6 – 10 mmol/l is accepted for critically ill patients.</w:t>
      </w:r>
      <w:r>
        <w:rPr>
          <w:vertAlign w:val="superscript"/>
        </w:rPr>
        <w:t>20</w:t>
      </w:r>
    </w:p>
    <w:p w:rsidR="008F03B5" w:rsidRDefault="008F03B5">
      <w:pPr>
        <w:pStyle w:val="a3"/>
        <w:spacing w:before="10"/>
        <w:rPr>
          <w:sz w:val="19"/>
        </w:rPr>
      </w:pPr>
    </w:p>
    <w:p w:rsidR="008F03B5" w:rsidRDefault="00586B9B">
      <w:pPr>
        <w:ind w:left="217"/>
        <w:rPr>
          <w:b/>
          <w:sz w:val="24"/>
        </w:rPr>
      </w:pPr>
      <w:r>
        <w:rPr>
          <w:b/>
          <w:color w:val="44536A"/>
          <w:sz w:val="24"/>
        </w:rPr>
        <w:t>References</w:t>
      </w:r>
    </w:p>
    <w:p w:rsidR="008F03B5" w:rsidRDefault="00586B9B">
      <w:pPr>
        <w:pStyle w:val="a4"/>
        <w:numPr>
          <w:ilvl w:val="0"/>
          <w:numId w:val="40"/>
        </w:numPr>
        <w:tabs>
          <w:tab w:val="left" w:pos="939"/>
        </w:tabs>
        <w:spacing w:before="160" w:line="276" w:lineRule="auto"/>
        <w:ind w:right="973"/>
      </w:pPr>
      <w:r>
        <w:t xml:space="preserve">Allon, M. and C. Copkney, </w:t>
      </w:r>
      <w:r>
        <w:rPr>
          <w:i/>
        </w:rPr>
        <w:t>Albuterol and insulin for treatment of hyperkalemia in hemodialysis patients</w:t>
      </w:r>
      <w:r>
        <w:t xml:space="preserve">. Kidney International, 1990. </w:t>
      </w:r>
      <w:r>
        <w:rPr>
          <w:b/>
        </w:rPr>
        <w:t>38</w:t>
      </w:r>
      <w:r>
        <w:t>(5): p.</w:t>
      </w:r>
      <w:r>
        <w:rPr>
          <w:spacing w:val="-6"/>
        </w:rPr>
        <w:t xml:space="preserve"> </w:t>
      </w:r>
      <w:r>
        <w:t>869-872.</w:t>
      </w:r>
    </w:p>
    <w:p w:rsidR="008F03B5" w:rsidRDefault="00586B9B">
      <w:pPr>
        <w:pStyle w:val="2"/>
        <w:spacing w:before="119"/>
      </w:pPr>
      <w:bookmarkStart w:id="25" w:name="_bookmark43"/>
      <w:bookmarkEnd w:id="25"/>
      <w:r>
        <w:rPr>
          <w:color w:val="1F4E79"/>
        </w:rPr>
        <w:t>Treatment: Sodium bicarbonate (Guidelines 25.3)</w:t>
      </w:r>
    </w:p>
    <w:p w:rsidR="008F03B5" w:rsidRDefault="00586B9B">
      <w:pPr>
        <w:pStyle w:val="3"/>
        <w:spacing w:before="160"/>
      </w:pPr>
      <w:r>
        <w:t>Guideline 25.3 – Hyperkalaemia; Cardiac Arrest – Sodium bicarbonate</w:t>
      </w:r>
    </w:p>
    <w:p w:rsidR="008F03B5" w:rsidRDefault="00586B9B">
      <w:pPr>
        <w:pStyle w:val="a3"/>
        <w:spacing w:before="161" w:line="276" w:lineRule="auto"/>
        <w:ind w:left="217" w:right="330"/>
      </w:pPr>
      <w:r>
        <w:t>We suggest that sodium bicarbonate is administered if hyperkalaemia is known or suspected to be the cause of cardiac arrest. (2C)</w:t>
      </w:r>
    </w:p>
    <w:p w:rsidR="008F03B5" w:rsidRDefault="008F03B5">
      <w:pPr>
        <w:pStyle w:val="a3"/>
        <w:rPr>
          <w:sz w:val="20"/>
        </w:rPr>
      </w:pPr>
    </w:p>
    <w:p w:rsidR="008F03B5" w:rsidRDefault="00586B9B">
      <w:pPr>
        <w:ind w:left="217"/>
        <w:rPr>
          <w:b/>
          <w:sz w:val="24"/>
        </w:rPr>
      </w:pPr>
      <w:r>
        <w:rPr>
          <w:b/>
          <w:color w:val="44536A"/>
          <w:sz w:val="24"/>
        </w:rPr>
        <w:t>Audit measure</w:t>
      </w:r>
    </w:p>
    <w:p w:rsidR="008F03B5" w:rsidRDefault="00586B9B">
      <w:pPr>
        <w:pStyle w:val="a3"/>
        <w:spacing w:before="161"/>
        <w:ind w:left="578"/>
      </w:pPr>
      <w:r>
        <w:t>1. The proportion of patients treated with sodium bicarbonate for hyperkalaemic cardiac arrest.</w:t>
      </w:r>
    </w:p>
    <w:p w:rsidR="008F03B5" w:rsidRDefault="008F03B5">
      <w:pPr>
        <w:pStyle w:val="a3"/>
        <w:spacing w:before="2"/>
        <w:rPr>
          <w:sz w:val="23"/>
        </w:rPr>
      </w:pPr>
    </w:p>
    <w:p w:rsidR="008F03B5" w:rsidRDefault="00586B9B">
      <w:pPr>
        <w:spacing w:before="1"/>
        <w:ind w:left="217"/>
        <w:rPr>
          <w:b/>
          <w:sz w:val="24"/>
        </w:rPr>
      </w:pPr>
      <w:r>
        <w:rPr>
          <w:b/>
          <w:color w:val="44536A"/>
          <w:sz w:val="24"/>
        </w:rPr>
        <w:t>Rationale (Guidelines 25.3)</w:t>
      </w:r>
    </w:p>
    <w:p w:rsidR="008F03B5" w:rsidRDefault="00586B9B">
      <w:pPr>
        <w:pStyle w:val="a3"/>
        <w:spacing w:before="161" w:line="276" w:lineRule="auto"/>
        <w:ind w:left="217" w:right="309"/>
      </w:pPr>
      <w:r>
        <w:t>The use of sodium bicarbonate in cardiac arrest has evolved over the past few decades. The rationale for using sodium bicarbonate (SB) is to counteract the worsening metabolic acidosis in cardiac arrest as a result of hypoxia, poor perfusion and increased lactate production. The potential deleterious effects of using SB in cardiac arrest are an increase in intracellular acidosis, reduced cardiac output and worsening tissue acidosis.</w:t>
      </w:r>
      <w:r>
        <w:rPr>
          <w:vertAlign w:val="superscript"/>
        </w:rPr>
        <w:t>1</w:t>
      </w:r>
    </w:p>
    <w:p w:rsidR="008F03B5" w:rsidRDefault="00586B9B">
      <w:pPr>
        <w:pStyle w:val="a3"/>
        <w:spacing w:before="120" w:line="276" w:lineRule="auto"/>
        <w:ind w:left="217" w:right="329"/>
      </w:pPr>
      <w:r>
        <w:t xml:space="preserve">Sodium bicarbonate was commonly used in the early resuscitation guidelines in the 1970’s – 1980’s, but use declined in the 1990’s in light of concerns related to potential harm. A review by Adgey et al in 1998 recommended that treatment with SB should be reserved for cardiac arrest in one of four settings: 1) severe acidosis (pH &lt; 7.1), 2) prolonged cardiac arrest (&gt; 10-20 minutes), 3) hyperkalaemia and 4) overdose of </w:t>
      </w:r>
      <w:r>
        <w:lastRenderedPageBreak/>
        <w:t>tricyclic antidepressants</w:t>
      </w:r>
      <w:r w:rsidR="00903055">
        <w:t>.</w:t>
      </w:r>
      <w:r w:rsidR="00903055">
        <w:rPr>
          <w:vertAlign w:val="superscript"/>
        </w:rPr>
        <w:t>2</w:t>
      </w:r>
      <w:r w:rsidR="00903055">
        <w:t xml:space="preserve">  </w:t>
      </w:r>
      <w:r w:rsidR="00903055">
        <w:rPr>
          <w:rFonts w:ascii="宋体" w:eastAsia="宋体" w:hAnsi="宋体" w:cs="宋体" w:hint="eastAsia"/>
        </w:rPr>
        <w:t>。。</w:t>
      </w:r>
      <w:r w:rsidR="00903055">
        <w:t>M</w:t>
      </w:r>
      <w:r>
        <w:t>ore recently, Weng et al (2013) showed no benefit of sodium bicarbonate during prolonged CPR</w:t>
      </w:r>
      <w:r w:rsidR="00903055">
        <w:t>.</w:t>
      </w:r>
      <w:r w:rsidR="00903055">
        <w:rPr>
          <w:vertAlign w:val="superscript"/>
        </w:rPr>
        <w:t>3</w:t>
      </w:r>
      <w:r w:rsidR="00903055">
        <w:t xml:space="preserve"> </w:t>
      </w:r>
      <w:r w:rsidR="00903055">
        <w:rPr>
          <w:rFonts w:ascii="宋体" w:eastAsia="宋体" w:hAnsi="宋体" w:cs="宋体" w:hint="eastAsia"/>
        </w:rPr>
        <w:t>。。</w:t>
      </w:r>
      <w:r w:rsidR="00903055">
        <w:t>V</w:t>
      </w:r>
      <w:r>
        <w:t>elissaris et al (2016) conducted a comprehensive review of the literature and found that there was little evidence to support the routine use of SB during</w:t>
      </w:r>
      <w:r>
        <w:rPr>
          <w:spacing w:val="-2"/>
        </w:rPr>
        <w:t xml:space="preserve"> </w:t>
      </w:r>
      <w:r>
        <w:t>CPR.</w:t>
      </w:r>
      <w:r>
        <w:rPr>
          <w:vertAlign w:val="superscript"/>
        </w:rPr>
        <w:t>1</w:t>
      </w:r>
    </w:p>
    <w:p w:rsidR="008F03B5" w:rsidRDefault="00586B9B">
      <w:pPr>
        <w:pStyle w:val="a3"/>
        <w:spacing w:before="1" w:line="276" w:lineRule="auto"/>
        <w:ind w:left="217" w:right="520"/>
        <w:jc w:val="both"/>
      </w:pPr>
      <w:r>
        <w:t>Clinical practice is guided by international resuscitation guidelines. The 2010 ACLS Guidelines for adults published by the American Heart Association stated that ‘the routine use of sodium bicarbonate is not</w:t>
      </w:r>
      <w:r w:rsidR="00194032">
        <w:t xml:space="preserve"> </w:t>
      </w:r>
      <w:r>
        <w:t>recommended for patients in cardiac arrest’, but supported its use in hyperkalaemia and tricyclic overdose with or without cardiac arrest</w:t>
      </w:r>
      <w:r w:rsidR="00903055">
        <w:t>.</w:t>
      </w:r>
      <w:r w:rsidR="00903055">
        <w:rPr>
          <w:vertAlign w:val="superscript"/>
        </w:rPr>
        <w:t>4</w:t>
      </w:r>
      <w:r w:rsidR="00903055">
        <w:t xml:space="preserve"> </w:t>
      </w:r>
      <w:r w:rsidR="00903055">
        <w:rPr>
          <w:rFonts w:ascii="宋体" w:eastAsia="宋体" w:hAnsi="宋体" w:cs="宋体" w:hint="eastAsia"/>
        </w:rPr>
        <w:t>。。</w:t>
      </w:r>
      <w:r w:rsidR="00903055">
        <w:t>S</w:t>
      </w:r>
      <w:r>
        <w:t>imilarly, the European Resuscitation Council (ERC) guidelines (2015) have also recommended the use of SB for these specific indications.</w:t>
      </w:r>
      <w:r>
        <w:rPr>
          <w:vertAlign w:val="superscript"/>
        </w:rPr>
        <w:t>5</w:t>
      </w:r>
    </w:p>
    <w:p w:rsidR="008F03B5" w:rsidRDefault="00586B9B">
      <w:pPr>
        <w:pStyle w:val="a3"/>
        <w:spacing w:before="120" w:line="276" w:lineRule="auto"/>
        <w:ind w:left="217" w:right="305"/>
      </w:pPr>
      <w:r>
        <w:t>Although there is little evidence that sodium bicarbonate lowers serum K+, the rationale for its use in hyperkalaemia cardiac arrest is to mitigate the effects of metabolic acidosis which exacerbates hyperkalaemia. The largest study of hyperkalaemic cardiac arrest undertaken by Wang et al (2016) demonstrated that approximately 82% of patients received SB either alone (32/109; 29%) or in combination with intravenous calcium (57/ 109; 52%)</w:t>
      </w:r>
      <w:r w:rsidR="00903055">
        <w:t>.</w:t>
      </w:r>
      <w:r w:rsidR="00903055">
        <w:rPr>
          <w:vertAlign w:val="superscript"/>
        </w:rPr>
        <w:t>6</w:t>
      </w:r>
      <w:r w:rsidR="00903055">
        <w:t xml:space="preserve"> </w:t>
      </w:r>
      <w:r w:rsidR="00903055">
        <w:rPr>
          <w:rFonts w:ascii="宋体" w:eastAsia="宋体" w:hAnsi="宋体" w:cs="宋体" w:hint="eastAsia"/>
        </w:rPr>
        <w:t>。。</w:t>
      </w:r>
      <w:r w:rsidR="00903055">
        <w:t>S</w:t>
      </w:r>
      <w:r>
        <w:t>B was administered early in the course of resuscitation (within 10 minutes) and ROSC was achieved in 47% of patients who received SB alone and 21% who received both drugs.</w:t>
      </w:r>
    </w:p>
    <w:p w:rsidR="008F03B5" w:rsidRDefault="00586B9B">
      <w:pPr>
        <w:pStyle w:val="a3"/>
        <w:spacing w:before="121" w:line="273" w:lineRule="auto"/>
        <w:ind w:left="217" w:right="288"/>
      </w:pPr>
      <w:r>
        <w:t>The treatment of hyperkalaemic cardiac arrest is multi-modal and both American and European resuscitation guidelines recommend the use of sodium bicarbonate in the setting of hyperkalaemic cardiac arrest.</w:t>
      </w:r>
    </w:p>
    <w:p w:rsidR="008F03B5" w:rsidRDefault="008F03B5">
      <w:pPr>
        <w:pStyle w:val="a3"/>
        <w:spacing w:before="3"/>
        <w:rPr>
          <w:sz w:val="20"/>
        </w:rPr>
      </w:pPr>
    </w:p>
    <w:p w:rsidR="008F03B5" w:rsidRDefault="00586B9B">
      <w:pPr>
        <w:ind w:left="217"/>
        <w:rPr>
          <w:b/>
          <w:sz w:val="24"/>
        </w:rPr>
      </w:pPr>
      <w:r>
        <w:rPr>
          <w:b/>
          <w:color w:val="44536A"/>
          <w:sz w:val="24"/>
        </w:rPr>
        <w:t>References</w:t>
      </w:r>
    </w:p>
    <w:p w:rsidR="008F03B5" w:rsidRDefault="00586B9B">
      <w:pPr>
        <w:pStyle w:val="a4"/>
        <w:numPr>
          <w:ilvl w:val="0"/>
          <w:numId w:val="39"/>
        </w:numPr>
        <w:tabs>
          <w:tab w:val="left" w:pos="939"/>
        </w:tabs>
        <w:spacing w:before="161" w:line="276" w:lineRule="auto"/>
        <w:ind w:right="545"/>
      </w:pPr>
      <w:r>
        <w:t xml:space="preserve">Velissaris, D., et al., </w:t>
      </w:r>
      <w:r>
        <w:rPr>
          <w:i/>
        </w:rPr>
        <w:t>Use of Sodium Bicarbonate in Cardiac Arrest: Current Guidelines and Literature Review</w:t>
      </w:r>
      <w:r>
        <w:t xml:space="preserve">. J Clin Med Res, 2016. </w:t>
      </w:r>
      <w:r>
        <w:rPr>
          <w:b/>
        </w:rPr>
        <w:t>8</w:t>
      </w:r>
      <w:r>
        <w:t>(4): p.</w:t>
      </w:r>
      <w:r>
        <w:rPr>
          <w:spacing w:val="-9"/>
        </w:rPr>
        <w:t xml:space="preserve"> </w:t>
      </w:r>
      <w:r>
        <w:t>277-83.</w:t>
      </w:r>
    </w:p>
    <w:p w:rsidR="008F03B5" w:rsidRDefault="008F03B5">
      <w:pPr>
        <w:pStyle w:val="a3"/>
        <w:spacing w:before="8"/>
        <w:rPr>
          <w:sz w:val="16"/>
        </w:rPr>
      </w:pPr>
    </w:p>
    <w:p w:rsidR="008F03B5" w:rsidRDefault="00586B9B">
      <w:pPr>
        <w:pStyle w:val="2"/>
      </w:pPr>
      <w:bookmarkStart w:id="26" w:name="_bookmark44"/>
      <w:bookmarkEnd w:id="26"/>
      <w:r>
        <w:rPr>
          <w:color w:val="1F4E79"/>
        </w:rPr>
        <w:t>Treatment: Initiation of dialysis during cardiac arrest (Guidelines 25.4)</w:t>
      </w:r>
    </w:p>
    <w:p w:rsidR="008F03B5" w:rsidRDefault="008F03B5">
      <w:pPr>
        <w:pStyle w:val="a3"/>
        <w:rPr>
          <w:b/>
          <w:sz w:val="24"/>
        </w:rPr>
      </w:pPr>
    </w:p>
    <w:p w:rsidR="008F03B5" w:rsidRDefault="008F03B5">
      <w:pPr>
        <w:pStyle w:val="a3"/>
        <w:spacing w:before="5"/>
        <w:rPr>
          <w:b/>
          <w:sz w:val="24"/>
        </w:rPr>
      </w:pPr>
    </w:p>
    <w:p w:rsidR="008F03B5" w:rsidRDefault="00586B9B">
      <w:pPr>
        <w:pStyle w:val="3"/>
      </w:pPr>
      <w:r>
        <w:t>Guideline 25.4 – Hyperkalaemia; Cardiac Arrest – Initiation of dialysis during CPR</w:t>
      </w:r>
    </w:p>
    <w:p w:rsidR="008F03B5" w:rsidRDefault="00586B9B">
      <w:pPr>
        <w:pStyle w:val="a3"/>
        <w:spacing w:before="161" w:line="273" w:lineRule="auto"/>
        <w:ind w:left="217" w:right="396"/>
      </w:pPr>
      <w:r>
        <w:t>We suggest that renal replacement therapy with ongoing CPR may be considered for hyperkalaemic cardiac arrest, if hyperkalaemia is resistant to medical therapy and appropriate staff and facilities are available. (2C)</w:t>
      </w:r>
    </w:p>
    <w:p w:rsidR="008F03B5" w:rsidRDefault="008F03B5">
      <w:pPr>
        <w:pStyle w:val="a3"/>
        <w:spacing w:before="3"/>
        <w:rPr>
          <w:sz w:val="20"/>
        </w:rPr>
      </w:pPr>
    </w:p>
    <w:p w:rsidR="008F03B5" w:rsidRDefault="00586B9B">
      <w:pPr>
        <w:ind w:left="217"/>
        <w:rPr>
          <w:b/>
          <w:sz w:val="24"/>
        </w:rPr>
      </w:pPr>
      <w:r>
        <w:rPr>
          <w:b/>
          <w:color w:val="44536A"/>
          <w:sz w:val="24"/>
        </w:rPr>
        <w:t>Audit measure</w:t>
      </w:r>
    </w:p>
    <w:p w:rsidR="008F03B5" w:rsidRDefault="00586B9B">
      <w:pPr>
        <w:pStyle w:val="a3"/>
        <w:spacing w:before="160" w:line="276" w:lineRule="auto"/>
        <w:ind w:left="938" w:right="546" w:hanging="360"/>
      </w:pPr>
      <w:r>
        <w:t>1. The number and outcome of patients with refractory hyperkalaemic cardiac arrest treated with dialysis initiation during CPR.</w:t>
      </w:r>
    </w:p>
    <w:p w:rsidR="008F03B5" w:rsidRDefault="008F03B5">
      <w:pPr>
        <w:pStyle w:val="a3"/>
        <w:rPr>
          <w:sz w:val="20"/>
        </w:rPr>
      </w:pPr>
    </w:p>
    <w:p w:rsidR="008F03B5" w:rsidRDefault="00586B9B">
      <w:pPr>
        <w:ind w:left="217"/>
        <w:rPr>
          <w:b/>
          <w:sz w:val="24"/>
        </w:rPr>
      </w:pPr>
      <w:r>
        <w:rPr>
          <w:b/>
          <w:color w:val="44536A"/>
          <w:sz w:val="24"/>
        </w:rPr>
        <w:t>Rationale (Guidelines 25.4)</w:t>
      </w:r>
    </w:p>
    <w:p w:rsidR="008F03B5" w:rsidRDefault="00586B9B">
      <w:pPr>
        <w:pStyle w:val="a3"/>
        <w:spacing w:before="161" w:line="276" w:lineRule="auto"/>
        <w:ind w:left="217" w:right="281"/>
      </w:pPr>
      <w:r>
        <w:t>The outcome of hyperkalaemic cardiac arrest is poor, therefore urgent action is required to prevent cardiac arrest. Prompt medical treatment and initiation of dialysis in patients with severe hyperkalaemia are crucial steps in avoiding cardiac arrest. If cardiac arrest occurs, survival is dependent on urgent control of the serum K+ level. Intravenous calcium does not alter serum K+ level and there is little evidence that sodium bicarbonate significantly lowers serum K+. Therefore, the only drugs administered during CPR which may lower the serum K+ are insulin-glucose and adrenaline.</w:t>
      </w:r>
    </w:p>
    <w:p w:rsidR="008F03B5" w:rsidRDefault="00586B9B">
      <w:pPr>
        <w:pStyle w:val="a3"/>
        <w:spacing w:line="276" w:lineRule="auto"/>
        <w:ind w:left="217"/>
      </w:pPr>
      <w:r>
        <w:t>In the largest study of hyperkalaemic cardiac arrest (n=109), dialysis was not instituted during CPR</w:t>
      </w:r>
      <w:r w:rsidR="00903055">
        <w:t>.</w:t>
      </w:r>
      <w:r w:rsidR="00903055">
        <w:rPr>
          <w:vertAlign w:val="superscript"/>
        </w:rPr>
        <w:t>1</w:t>
      </w:r>
      <w:r w:rsidR="00903055">
        <w:t xml:space="preserve"> </w:t>
      </w:r>
      <w:r w:rsidR="00903055">
        <w:rPr>
          <w:rFonts w:ascii="宋体" w:eastAsia="宋体" w:hAnsi="宋体" w:cs="宋体" w:hint="eastAsia"/>
        </w:rPr>
        <w:t>。。</w:t>
      </w:r>
      <w:r w:rsidR="00903055">
        <w:t>P</w:t>
      </w:r>
      <w:r>
        <w:t xml:space="preserve">atients were analysed by the severity of hyperkalaemia - K+ 6.5 – 7.9 mmol/l (72/ 109; 66%), K+ 7.9 – 9.4 mmol/l (30/109; 28%) and K+ &gt; 9.4 mmol/l (7/ 109; 6%). Overall, ROSC &gt; 20 minutes was achieved in 37% of patients, but only 4 patients (3.7%) survived to hospital discharge. The incidence of ROSC declined with </w:t>
      </w:r>
      <w:r>
        <w:lastRenderedPageBreak/>
        <w:t>increasing severity of hyperkalaemia and was achieved in: 32/72 (44%) patients with a serum K+ 6.5 – 7.9 mmol/l, 7/30 (23%) patients with a serum K+ 7.9 – 9.4 mmol/l and in 1/7 (14%) patients with a serum K+</w:t>
      </w:r>
      <w:r>
        <w:rPr>
          <w:spacing w:val="-31"/>
        </w:rPr>
        <w:t xml:space="preserve"> </w:t>
      </w:r>
      <w:r>
        <w:t>&gt;</w:t>
      </w:r>
      <w:r w:rsidR="00194032">
        <w:t xml:space="preserve"> </w:t>
      </w:r>
      <w:r>
        <w:t>9.4 mmol/l. No patients with a K+ &gt; 9.4 mmol/l survived beyond 24 hours. The authors suggested that there might be a threshold for medical therapies and beyond this level, dialysis may be an alternative option.</w:t>
      </w:r>
    </w:p>
    <w:p w:rsidR="008F03B5" w:rsidRDefault="00586B9B">
      <w:pPr>
        <w:pStyle w:val="a3"/>
        <w:spacing w:before="122" w:line="276" w:lineRule="auto"/>
        <w:ind w:left="217" w:right="313"/>
      </w:pPr>
      <w:r>
        <w:t>There have been several case reports of successful resuscitation following hyperkalaemic cardiac arrest in adults and children as shown in Table 30</w:t>
      </w:r>
      <w:r w:rsidR="00903055">
        <w:t>.</w:t>
      </w:r>
      <w:r w:rsidR="00903055">
        <w:rPr>
          <w:vertAlign w:val="superscript"/>
        </w:rPr>
        <w:t>2-14</w:t>
      </w:r>
      <w:r w:rsidR="00903055">
        <w:t xml:space="preserve"> </w:t>
      </w:r>
      <w:r w:rsidR="00903055">
        <w:rPr>
          <w:rFonts w:ascii="宋体" w:eastAsia="宋体" w:hAnsi="宋体" w:cs="宋体" w:hint="eastAsia"/>
        </w:rPr>
        <w:t>。。</w:t>
      </w:r>
      <w:r w:rsidR="00903055">
        <w:t>S</w:t>
      </w:r>
      <w:r>
        <w:t>urvival with good neurological outcome after both pulseless VT or VF and asystole or PEA cardiac arrest has been reported. In many of these reports, patients were refractory to defibrillation until the potassium was controlled. Resuscitation efforts were frequently prolonged, and in recent years, extra-corporeal membrane oxygenation (ECMO) support has been used to augment systemic perfusion.</w:t>
      </w:r>
      <w:r>
        <w:rPr>
          <w:vertAlign w:val="superscript"/>
        </w:rPr>
        <w:t>6,11-14</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a3"/>
        <w:spacing w:before="116" w:line="276" w:lineRule="auto"/>
        <w:ind w:left="217" w:right="459"/>
      </w:pPr>
      <w:r>
        <w:lastRenderedPageBreak/>
        <w:t xml:space="preserve">Success has been reported using all modes of RRT: haemodialysis (HD), haemofiltration (CVVH), haemodiafiltration (HDF), as well as peritoneal dialysis (PD). Dialysis has also been used successfully for re- warming in accidental hypothermia without cardiac arrest </w:t>
      </w:r>
      <w:r>
        <w:rPr>
          <w:vertAlign w:val="superscript"/>
        </w:rPr>
        <w:t>15-17</w:t>
      </w:r>
      <w:r>
        <w:t xml:space="preserve"> and in cardiac arrest.</w:t>
      </w:r>
      <w:r>
        <w:rPr>
          <w:vertAlign w:val="superscript"/>
        </w:rPr>
        <w:t>18,</w:t>
      </w:r>
      <w:r>
        <w:t xml:space="preserve"> </w:t>
      </w:r>
      <w:r>
        <w:rPr>
          <w:vertAlign w:val="superscript"/>
        </w:rPr>
        <w:t>19</w:t>
      </w:r>
      <w:r>
        <w:t>. In one of these cases, manual CPR was performed for 5.5 hours and CVVH was achieved with no technical difficulties for over 3 hours</w:t>
      </w:r>
      <w:r w:rsidR="00903055">
        <w:t>.</w:t>
      </w:r>
      <w:r w:rsidR="00903055">
        <w:rPr>
          <w:vertAlign w:val="superscript"/>
        </w:rPr>
        <w:t>18</w:t>
      </w:r>
      <w:r w:rsidR="00903055">
        <w:t xml:space="preserve"> </w:t>
      </w:r>
      <w:r w:rsidR="00903055">
        <w:rPr>
          <w:rFonts w:ascii="宋体" w:eastAsia="宋体" w:hAnsi="宋体" w:cs="宋体" w:hint="eastAsia"/>
        </w:rPr>
        <w:t>。。</w:t>
      </w:r>
      <w:r w:rsidR="00903055">
        <w:t>T</w:t>
      </w:r>
      <w:r>
        <w:t>his patient made a full neurological recovery, returned to work within 6 weeks and has become a parent.</w:t>
      </w:r>
    </w:p>
    <w:p w:rsidR="008F03B5" w:rsidRDefault="00586B9B">
      <w:pPr>
        <w:pStyle w:val="a3"/>
        <w:spacing w:before="1" w:line="276" w:lineRule="auto"/>
        <w:ind w:left="217" w:right="312"/>
      </w:pPr>
      <w:r>
        <w:t>It is important to acknowledge that this evidence is limited, but large scale studies to demonstrate efficacy of dialysis during CPR is not feasible. Despite advances in resuscitation practice in recent years, ROSC remains unlikely if hyperkalaemia is not controlled. Although these reports likely reflect publication bias illustrating good outcomes, they do show that dialysis with and without ECMO is technically feasible in cardiac arrest.</w:t>
      </w:r>
      <w:r w:rsidR="00194032">
        <w:t xml:space="preserve"> </w:t>
      </w:r>
      <w:r>
        <w:t>These reports also illustrate the evolution of the use of dialysis during CPR with ECMO providing a method to enhance resuscitation alongside conventional dialysis in recent years.</w:t>
      </w:r>
    </w:p>
    <w:p w:rsidR="008F03B5" w:rsidRDefault="008F03B5">
      <w:pPr>
        <w:spacing w:line="276" w:lineRule="auto"/>
        <w:sectPr w:rsidR="008F03B5">
          <w:pgSz w:w="11910" w:h="16840"/>
          <w:pgMar w:top="1540" w:right="780" w:bottom="1100" w:left="860" w:header="425" w:footer="912" w:gutter="0"/>
          <w:cols w:space="720"/>
        </w:sectPr>
      </w:pPr>
    </w:p>
    <w:tbl>
      <w:tblPr>
        <w:tblStyle w:val="TableNormal"/>
        <w:tblW w:w="0" w:type="auto"/>
        <w:tblInd w:w="2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0"/>
        <w:gridCol w:w="674"/>
        <w:gridCol w:w="996"/>
        <w:gridCol w:w="1077"/>
        <w:gridCol w:w="751"/>
        <w:gridCol w:w="972"/>
        <w:gridCol w:w="1190"/>
        <w:gridCol w:w="1080"/>
        <w:gridCol w:w="1778"/>
      </w:tblGrid>
      <w:tr w:rsidR="008F03B5">
        <w:trPr>
          <w:trHeight w:val="1103"/>
        </w:trPr>
        <w:tc>
          <w:tcPr>
            <w:tcW w:w="1260" w:type="dxa"/>
            <w:shd w:val="clear" w:color="auto" w:fill="DEEAF6"/>
          </w:tcPr>
          <w:p w:rsidR="008F03B5" w:rsidRDefault="00586B9B">
            <w:pPr>
              <w:pStyle w:val="TableParagraph"/>
              <w:spacing w:line="265" w:lineRule="exact"/>
              <w:ind w:left="14"/>
            </w:pPr>
            <w:r>
              <w:lastRenderedPageBreak/>
              <w:t>Study</w:t>
            </w:r>
          </w:p>
        </w:tc>
        <w:tc>
          <w:tcPr>
            <w:tcW w:w="674" w:type="dxa"/>
            <w:shd w:val="clear" w:color="auto" w:fill="DEEAF6"/>
          </w:tcPr>
          <w:p w:rsidR="008F03B5" w:rsidRDefault="00586B9B">
            <w:pPr>
              <w:pStyle w:val="TableParagraph"/>
              <w:ind w:left="14" w:right="229"/>
            </w:pPr>
            <w:r>
              <w:t>Age (yrs)</w:t>
            </w:r>
          </w:p>
        </w:tc>
        <w:tc>
          <w:tcPr>
            <w:tcW w:w="996" w:type="dxa"/>
            <w:shd w:val="clear" w:color="auto" w:fill="DEEAF6"/>
          </w:tcPr>
          <w:p w:rsidR="008F03B5" w:rsidRDefault="00586B9B">
            <w:pPr>
              <w:pStyle w:val="TableParagraph"/>
              <w:ind w:left="14" w:right="247"/>
            </w:pPr>
            <w:r>
              <w:t>Arrest Rhythm</w:t>
            </w:r>
          </w:p>
        </w:tc>
        <w:tc>
          <w:tcPr>
            <w:tcW w:w="1077" w:type="dxa"/>
            <w:shd w:val="clear" w:color="auto" w:fill="DEEAF6"/>
          </w:tcPr>
          <w:p w:rsidR="008F03B5" w:rsidRDefault="00586B9B">
            <w:pPr>
              <w:pStyle w:val="TableParagraph"/>
              <w:ind w:left="15" w:right="198"/>
            </w:pPr>
            <w:r>
              <w:t>[K] at arrest (mmol/L)</w:t>
            </w:r>
          </w:p>
        </w:tc>
        <w:tc>
          <w:tcPr>
            <w:tcW w:w="751" w:type="dxa"/>
            <w:shd w:val="clear" w:color="auto" w:fill="DEEAF6"/>
          </w:tcPr>
          <w:p w:rsidR="008F03B5" w:rsidRDefault="00586B9B">
            <w:pPr>
              <w:pStyle w:val="TableParagraph"/>
              <w:spacing w:line="265" w:lineRule="exact"/>
              <w:ind w:left="16"/>
            </w:pPr>
            <w:r>
              <w:t>CPR</w:t>
            </w:r>
          </w:p>
          <w:p w:rsidR="008F03B5" w:rsidRDefault="00586B9B">
            <w:pPr>
              <w:pStyle w:val="TableParagraph"/>
              <w:ind w:left="16" w:right="330"/>
            </w:pPr>
            <w:r>
              <w:t>pre- RRT</w:t>
            </w:r>
          </w:p>
          <w:p w:rsidR="008F03B5" w:rsidRDefault="00586B9B">
            <w:pPr>
              <w:pStyle w:val="TableParagraph"/>
              <w:ind w:left="16"/>
            </w:pPr>
            <w:r>
              <w:t>(min)</w:t>
            </w:r>
          </w:p>
        </w:tc>
        <w:tc>
          <w:tcPr>
            <w:tcW w:w="972" w:type="dxa"/>
            <w:shd w:val="clear" w:color="auto" w:fill="DEEAF6"/>
          </w:tcPr>
          <w:p w:rsidR="008F03B5" w:rsidRDefault="00586B9B">
            <w:pPr>
              <w:pStyle w:val="TableParagraph"/>
              <w:ind w:left="16" w:right="134"/>
            </w:pPr>
            <w:r>
              <w:t>Dialysis modality</w:t>
            </w:r>
          </w:p>
        </w:tc>
        <w:tc>
          <w:tcPr>
            <w:tcW w:w="1190" w:type="dxa"/>
            <w:shd w:val="clear" w:color="auto" w:fill="DEEAF6"/>
          </w:tcPr>
          <w:p w:rsidR="008F03B5" w:rsidRDefault="00586B9B">
            <w:pPr>
              <w:pStyle w:val="TableParagraph"/>
              <w:ind w:left="16" w:right="369"/>
            </w:pPr>
            <w:r>
              <w:t>Dialysis duration (min)</w:t>
            </w:r>
          </w:p>
        </w:tc>
        <w:tc>
          <w:tcPr>
            <w:tcW w:w="1080" w:type="dxa"/>
            <w:shd w:val="clear" w:color="auto" w:fill="DEEAF6"/>
          </w:tcPr>
          <w:p w:rsidR="008F03B5" w:rsidRDefault="00586B9B">
            <w:pPr>
              <w:pStyle w:val="TableParagraph"/>
              <w:ind w:left="14" w:right="547"/>
            </w:pPr>
            <w:r>
              <w:t>[K] at ROSC</w:t>
            </w:r>
          </w:p>
          <w:p w:rsidR="008F03B5" w:rsidRDefault="00586B9B">
            <w:pPr>
              <w:pStyle w:val="TableParagraph"/>
              <w:ind w:left="14"/>
            </w:pPr>
            <w:r>
              <w:t>(mmol/L)</w:t>
            </w:r>
          </w:p>
        </w:tc>
        <w:tc>
          <w:tcPr>
            <w:tcW w:w="1778" w:type="dxa"/>
            <w:shd w:val="clear" w:color="auto" w:fill="DEEAF6"/>
          </w:tcPr>
          <w:p w:rsidR="008F03B5" w:rsidRDefault="00586B9B">
            <w:pPr>
              <w:pStyle w:val="TableParagraph"/>
              <w:spacing w:line="265" w:lineRule="exact"/>
              <w:ind w:left="15"/>
            </w:pPr>
            <w:r>
              <w:t>Outcome</w:t>
            </w:r>
          </w:p>
        </w:tc>
      </w:tr>
      <w:tr w:rsidR="008F03B5">
        <w:trPr>
          <w:trHeight w:val="834"/>
        </w:trPr>
        <w:tc>
          <w:tcPr>
            <w:tcW w:w="1260" w:type="dxa"/>
          </w:tcPr>
          <w:p w:rsidR="008F03B5" w:rsidRDefault="00586B9B">
            <w:pPr>
              <w:pStyle w:val="TableParagraph"/>
              <w:ind w:left="14" w:right="508"/>
            </w:pPr>
            <w:r>
              <w:rPr>
                <w:b/>
              </w:rPr>
              <w:t xml:space="preserve">Gomez- Arnau </w:t>
            </w:r>
            <w:r>
              <w:t>1981</w:t>
            </w:r>
            <w:r>
              <w:rPr>
                <w:vertAlign w:val="superscript"/>
              </w:rPr>
              <w:t>2</w:t>
            </w:r>
          </w:p>
        </w:tc>
        <w:tc>
          <w:tcPr>
            <w:tcW w:w="674" w:type="dxa"/>
          </w:tcPr>
          <w:p w:rsidR="008F03B5" w:rsidRDefault="00586B9B">
            <w:pPr>
              <w:pStyle w:val="TableParagraph"/>
              <w:spacing w:line="265" w:lineRule="exact"/>
              <w:ind w:left="14"/>
            </w:pPr>
            <w:r>
              <w:t>36</w:t>
            </w:r>
          </w:p>
        </w:tc>
        <w:tc>
          <w:tcPr>
            <w:tcW w:w="996" w:type="dxa"/>
          </w:tcPr>
          <w:p w:rsidR="008F03B5" w:rsidRDefault="00586B9B">
            <w:pPr>
              <w:pStyle w:val="TableParagraph"/>
              <w:spacing w:line="265" w:lineRule="exact"/>
              <w:ind w:left="14"/>
            </w:pPr>
            <w:r>
              <w:t>Asystole</w:t>
            </w:r>
          </w:p>
        </w:tc>
        <w:tc>
          <w:tcPr>
            <w:tcW w:w="1077" w:type="dxa"/>
            <w:shd w:val="clear" w:color="auto" w:fill="F1F7FB"/>
          </w:tcPr>
          <w:p w:rsidR="008F03B5" w:rsidRDefault="00586B9B">
            <w:pPr>
              <w:pStyle w:val="TableParagraph"/>
              <w:spacing w:line="265" w:lineRule="exact"/>
              <w:ind w:left="15"/>
            </w:pPr>
            <w:r>
              <w:t>9.7</w:t>
            </w:r>
          </w:p>
        </w:tc>
        <w:tc>
          <w:tcPr>
            <w:tcW w:w="751" w:type="dxa"/>
          </w:tcPr>
          <w:p w:rsidR="008F03B5" w:rsidRDefault="00586B9B">
            <w:pPr>
              <w:pStyle w:val="TableParagraph"/>
              <w:spacing w:line="265" w:lineRule="exact"/>
              <w:ind w:left="16"/>
            </w:pPr>
            <w:r>
              <w:t>70</w:t>
            </w:r>
          </w:p>
        </w:tc>
        <w:tc>
          <w:tcPr>
            <w:tcW w:w="972" w:type="dxa"/>
          </w:tcPr>
          <w:p w:rsidR="008F03B5" w:rsidRDefault="00586B9B">
            <w:pPr>
              <w:pStyle w:val="TableParagraph"/>
              <w:spacing w:line="265" w:lineRule="exact"/>
              <w:ind w:left="16"/>
            </w:pPr>
            <w:r>
              <w:t>HD</w:t>
            </w:r>
          </w:p>
        </w:tc>
        <w:tc>
          <w:tcPr>
            <w:tcW w:w="1190" w:type="dxa"/>
          </w:tcPr>
          <w:p w:rsidR="008F03B5" w:rsidRDefault="00586B9B">
            <w:pPr>
              <w:pStyle w:val="TableParagraph"/>
              <w:spacing w:line="265" w:lineRule="exact"/>
              <w:ind w:left="16"/>
            </w:pPr>
            <w:r>
              <w:t>75</w:t>
            </w:r>
          </w:p>
        </w:tc>
        <w:tc>
          <w:tcPr>
            <w:tcW w:w="1080" w:type="dxa"/>
            <w:shd w:val="clear" w:color="auto" w:fill="F1F7FB"/>
          </w:tcPr>
          <w:p w:rsidR="008F03B5" w:rsidRDefault="00586B9B">
            <w:pPr>
              <w:pStyle w:val="TableParagraph"/>
              <w:spacing w:line="265" w:lineRule="exact"/>
              <w:ind w:left="14"/>
            </w:pPr>
            <w:r>
              <w:t>6.6</w:t>
            </w:r>
          </w:p>
        </w:tc>
        <w:tc>
          <w:tcPr>
            <w:tcW w:w="1778" w:type="dxa"/>
          </w:tcPr>
          <w:p w:rsidR="008F03B5" w:rsidRDefault="00586B9B">
            <w:pPr>
              <w:pStyle w:val="TableParagraph"/>
              <w:spacing w:line="265" w:lineRule="exact"/>
              <w:ind w:left="15"/>
            </w:pPr>
            <w:r>
              <w:t>Full recovery</w:t>
            </w:r>
          </w:p>
        </w:tc>
      </w:tr>
      <w:tr w:rsidR="008F03B5">
        <w:trPr>
          <w:trHeight w:val="568"/>
        </w:trPr>
        <w:tc>
          <w:tcPr>
            <w:tcW w:w="1260" w:type="dxa"/>
          </w:tcPr>
          <w:p w:rsidR="008F03B5" w:rsidRDefault="00586B9B">
            <w:pPr>
              <w:pStyle w:val="TableParagraph"/>
              <w:spacing w:line="268" w:lineRule="exact"/>
              <w:ind w:left="14"/>
              <w:rPr>
                <w:b/>
              </w:rPr>
            </w:pPr>
            <w:r>
              <w:rPr>
                <w:b/>
              </w:rPr>
              <w:t>Torrecilla</w:t>
            </w:r>
          </w:p>
          <w:p w:rsidR="008F03B5" w:rsidRDefault="00586B9B">
            <w:pPr>
              <w:pStyle w:val="TableParagraph"/>
              <w:ind w:left="14"/>
            </w:pPr>
            <w:r>
              <w:t>1989</w:t>
            </w:r>
            <w:r>
              <w:rPr>
                <w:vertAlign w:val="superscript"/>
              </w:rPr>
              <w:t>3</w:t>
            </w:r>
          </w:p>
        </w:tc>
        <w:tc>
          <w:tcPr>
            <w:tcW w:w="674" w:type="dxa"/>
          </w:tcPr>
          <w:p w:rsidR="008F03B5" w:rsidRDefault="00586B9B">
            <w:pPr>
              <w:pStyle w:val="TableParagraph"/>
              <w:spacing w:line="268" w:lineRule="exact"/>
              <w:ind w:left="14"/>
            </w:pPr>
            <w:r>
              <w:t>53</w:t>
            </w:r>
          </w:p>
        </w:tc>
        <w:tc>
          <w:tcPr>
            <w:tcW w:w="996" w:type="dxa"/>
          </w:tcPr>
          <w:p w:rsidR="008F03B5" w:rsidRDefault="00586B9B">
            <w:pPr>
              <w:pStyle w:val="TableParagraph"/>
              <w:spacing w:line="268" w:lineRule="exact"/>
              <w:ind w:left="14"/>
            </w:pPr>
            <w:r>
              <w:t>Asystole</w:t>
            </w:r>
          </w:p>
        </w:tc>
        <w:tc>
          <w:tcPr>
            <w:tcW w:w="1077" w:type="dxa"/>
            <w:shd w:val="clear" w:color="auto" w:fill="F1F7FB"/>
          </w:tcPr>
          <w:p w:rsidR="008F03B5" w:rsidRDefault="00586B9B">
            <w:pPr>
              <w:pStyle w:val="TableParagraph"/>
              <w:spacing w:line="268" w:lineRule="exact"/>
              <w:ind w:left="15"/>
            </w:pPr>
            <w:r>
              <w:t>10.2</w:t>
            </w:r>
          </w:p>
        </w:tc>
        <w:tc>
          <w:tcPr>
            <w:tcW w:w="751" w:type="dxa"/>
          </w:tcPr>
          <w:p w:rsidR="008F03B5" w:rsidRDefault="00586B9B">
            <w:pPr>
              <w:pStyle w:val="TableParagraph"/>
              <w:spacing w:line="268" w:lineRule="exact"/>
              <w:ind w:left="16"/>
            </w:pPr>
            <w:r>
              <w:t>15</w:t>
            </w:r>
          </w:p>
        </w:tc>
        <w:tc>
          <w:tcPr>
            <w:tcW w:w="972" w:type="dxa"/>
          </w:tcPr>
          <w:p w:rsidR="008F03B5" w:rsidRDefault="00586B9B">
            <w:pPr>
              <w:pStyle w:val="TableParagraph"/>
              <w:spacing w:line="268" w:lineRule="exact"/>
              <w:ind w:left="16"/>
            </w:pPr>
            <w:r>
              <w:t>HD</w:t>
            </w:r>
          </w:p>
        </w:tc>
        <w:tc>
          <w:tcPr>
            <w:tcW w:w="1190" w:type="dxa"/>
          </w:tcPr>
          <w:p w:rsidR="008F03B5" w:rsidRDefault="00586B9B">
            <w:pPr>
              <w:pStyle w:val="TableParagraph"/>
              <w:spacing w:line="268" w:lineRule="exact"/>
              <w:ind w:left="16"/>
            </w:pPr>
            <w:r>
              <w:t>90</w:t>
            </w:r>
          </w:p>
        </w:tc>
        <w:tc>
          <w:tcPr>
            <w:tcW w:w="1080" w:type="dxa"/>
            <w:shd w:val="clear" w:color="auto" w:fill="F1F7FB"/>
          </w:tcPr>
          <w:p w:rsidR="008F03B5" w:rsidRDefault="00586B9B">
            <w:pPr>
              <w:pStyle w:val="TableParagraph"/>
              <w:spacing w:line="268" w:lineRule="exact"/>
              <w:ind w:left="14"/>
            </w:pPr>
            <w:r>
              <w:t>6.5</w:t>
            </w:r>
          </w:p>
        </w:tc>
        <w:tc>
          <w:tcPr>
            <w:tcW w:w="1778" w:type="dxa"/>
          </w:tcPr>
          <w:p w:rsidR="008F03B5" w:rsidRDefault="00586B9B">
            <w:pPr>
              <w:pStyle w:val="TableParagraph"/>
              <w:spacing w:line="268" w:lineRule="exact"/>
              <w:ind w:left="15"/>
            </w:pPr>
            <w:r>
              <w:t>Full recovery</w:t>
            </w:r>
          </w:p>
        </w:tc>
      </w:tr>
      <w:tr w:rsidR="008F03B5">
        <w:trPr>
          <w:trHeight w:val="299"/>
        </w:trPr>
        <w:tc>
          <w:tcPr>
            <w:tcW w:w="1260" w:type="dxa"/>
            <w:vMerge w:val="restart"/>
          </w:tcPr>
          <w:p w:rsidR="008F03B5" w:rsidRDefault="00586B9B">
            <w:pPr>
              <w:pStyle w:val="TableParagraph"/>
              <w:spacing w:line="265" w:lineRule="exact"/>
              <w:ind w:left="14"/>
              <w:rPr>
                <w:b/>
              </w:rPr>
            </w:pPr>
            <w:r>
              <w:rPr>
                <w:b/>
              </w:rPr>
              <w:t>Lin</w:t>
            </w:r>
          </w:p>
          <w:p w:rsidR="008F03B5" w:rsidRDefault="00586B9B">
            <w:pPr>
              <w:pStyle w:val="TableParagraph"/>
              <w:ind w:left="14"/>
            </w:pPr>
            <w:r>
              <w:t>1994</w:t>
            </w:r>
            <w:r>
              <w:rPr>
                <w:vertAlign w:val="superscript"/>
              </w:rPr>
              <w:t>4</w:t>
            </w:r>
          </w:p>
        </w:tc>
        <w:tc>
          <w:tcPr>
            <w:tcW w:w="674" w:type="dxa"/>
          </w:tcPr>
          <w:p w:rsidR="008F03B5" w:rsidRDefault="00586B9B">
            <w:pPr>
              <w:pStyle w:val="TableParagraph"/>
              <w:spacing w:line="265" w:lineRule="exact"/>
              <w:ind w:left="14"/>
            </w:pPr>
            <w:r>
              <w:t>27</w:t>
            </w:r>
          </w:p>
        </w:tc>
        <w:tc>
          <w:tcPr>
            <w:tcW w:w="996" w:type="dxa"/>
          </w:tcPr>
          <w:p w:rsidR="008F03B5" w:rsidRDefault="00586B9B">
            <w:pPr>
              <w:pStyle w:val="TableParagraph"/>
              <w:spacing w:line="265" w:lineRule="exact"/>
              <w:ind w:left="14"/>
            </w:pPr>
            <w:r>
              <w:t>VT</w:t>
            </w:r>
          </w:p>
        </w:tc>
        <w:tc>
          <w:tcPr>
            <w:tcW w:w="1077" w:type="dxa"/>
            <w:shd w:val="clear" w:color="auto" w:fill="F1F7FB"/>
          </w:tcPr>
          <w:p w:rsidR="008F03B5" w:rsidRDefault="00586B9B">
            <w:pPr>
              <w:pStyle w:val="TableParagraph"/>
              <w:spacing w:line="265" w:lineRule="exact"/>
              <w:ind w:left="15"/>
            </w:pPr>
            <w:r>
              <w:t>9.6</w:t>
            </w:r>
          </w:p>
        </w:tc>
        <w:tc>
          <w:tcPr>
            <w:tcW w:w="751" w:type="dxa"/>
          </w:tcPr>
          <w:p w:rsidR="008F03B5" w:rsidRDefault="00586B9B">
            <w:pPr>
              <w:pStyle w:val="TableParagraph"/>
              <w:spacing w:line="265" w:lineRule="exact"/>
              <w:ind w:left="16"/>
            </w:pPr>
            <w:r>
              <w:t>55</w:t>
            </w:r>
          </w:p>
        </w:tc>
        <w:tc>
          <w:tcPr>
            <w:tcW w:w="972" w:type="dxa"/>
          </w:tcPr>
          <w:p w:rsidR="008F03B5" w:rsidRDefault="00586B9B">
            <w:pPr>
              <w:pStyle w:val="TableParagraph"/>
              <w:spacing w:line="265" w:lineRule="exact"/>
              <w:ind w:left="16"/>
            </w:pPr>
            <w:r>
              <w:t>HD</w:t>
            </w:r>
          </w:p>
        </w:tc>
        <w:tc>
          <w:tcPr>
            <w:tcW w:w="1190" w:type="dxa"/>
          </w:tcPr>
          <w:p w:rsidR="008F03B5" w:rsidRDefault="00586B9B">
            <w:pPr>
              <w:pStyle w:val="TableParagraph"/>
              <w:spacing w:line="265" w:lineRule="exact"/>
              <w:ind w:left="16"/>
            </w:pPr>
            <w:r>
              <w:t>25</w:t>
            </w:r>
          </w:p>
        </w:tc>
        <w:tc>
          <w:tcPr>
            <w:tcW w:w="1080" w:type="dxa"/>
            <w:shd w:val="clear" w:color="auto" w:fill="F1F7FB"/>
          </w:tcPr>
          <w:p w:rsidR="008F03B5" w:rsidRDefault="00586B9B">
            <w:pPr>
              <w:pStyle w:val="TableParagraph"/>
              <w:spacing w:line="265" w:lineRule="exact"/>
              <w:ind w:left="14"/>
            </w:pPr>
            <w:r>
              <w:t>7.6</w:t>
            </w:r>
          </w:p>
        </w:tc>
        <w:tc>
          <w:tcPr>
            <w:tcW w:w="1778" w:type="dxa"/>
          </w:tcPr>
          <w:p w:rsidR="008F03B5" w:rsidRDefault="00586B9B">
            <w:pPr>
              <w:pStyle w:val="TableParagraph"/>
              <w:spacing w:line="265" w:lineRule="exact"/>
              <w:ind w:left="15"/>
            </w:pPr>
            <w:r>
              <w:t>Full recovery</w:t>
            </w:r>
          </w:p>
        </w:tc>
      </w:tr>
      <w:tr w:rsidR="008F03B5">
        <w:trPr>
          <w:trHeight w:val="297"/>
        </w:trPr>
        <w:tc>
          <w:tcPr>
            <w:tcW w:w="1260" w:type="dxa"/>
            <w:vMerge/>
            <w:tcBorders>
              <w:top w:val="nil"/>
            </w:tcBorders>
          </w:tcPr>
          <w:p w:rsidR="008F03B5" w:rsidRDefault="008F03B5">
            <w:pPr>
              <w:rPr>
                <w:sz w:val="2"/>
                <w:szCs w:val="2"/>
              </w:rPr>
            </w:pPr>
          </w:p>
        </w:tc>
        <w:tc>
          <w:tcPr>
            <w:tcW w:w="674" w:type="dxa"/>
          </w:tcPr>
          <w:p w:rsidR="008F03B5" w:rsidRDefault="00586B9B">
            <w:pPr>
              <w:pStyle w:val="TableParagraph"/>
              <w:spacing w:line="265" w:lineRule="exact"/>
              <w:ind w:left="14"/>
            </w:pPr>
            <w:r>
              <w:t>58</w:t>
            </w:r>
          </w:p>
        </w:tc>
        <w:tc>
          <w:tcPr>
            <w:tcW w:w="996" w:type="dxa"/>
          </w:tcPr>
          <w:p w:rsidR="008F03B5" w:rsidRDefault="00586B9B">
            <w:pPr>
              <w:pStyle w:val="TableParagraph"/>
              <w:spacing w:line="265" w:lineRule="exact"/>
              <w:ind w:left="14"/>
            </w:pPr>
            <w:r>
              <w:t>VF</w:t>
            </w:r>
          </w:p>
        </w:tc>
        <w:tc>
          <w:tcPr>
            <w:tcW w:w="1077" w:type="dxa"/>
            <w:shd w:val="clear" w:color="auto" w:fill="F1F7FB"/>
          </w:tcPr>
          <w:p w:rsidR="008F03B5" w:rsidRDefault="00586B9B">
            <w:pPr>
              <w:pStyle w:val="TableParagraph"/>
              <w:spacing w:line="265" w:lineRule="exact"/>
              <w:ind w:left="15"/>
            </w:pPr>
            <w:r>
              <w:t>8.5</w:t>
            </w:r>
          </w:p>
        </w:tc>
        <w:tc>
          <w:tcPr>
            <w:tcW w:w="751" w:type="dxa"/>
          </w:tcPr>
          <w:p w:rsidR="008F03B5" w:rsidRDefault="00586B9B">
            <w:pPr>
              <w:pStyle w:val="TableParagraph"/>
              <w:spacing w:line="265" w:lineRule="exact"/>
              <w:ind w:left="16"/>
            </w:pPr>
            <w:r>
              <w:t>35</w:t>
            </w:r>
          </w:p>
        </w:tc>
        <w:tc>
          <w:tcPr>
            <w:tcW w:w="972" w:type="dxa"/>
          </w:tcPr>
          <w:p w:rsidR="008F03B5" w:rsidRDefault="00586B9B">
            <w:pPr>
              <w:pStyle w:val="TableParagraph"/>
              <w:spacing w:line="265" w:lineRule="exact"/>
              <w:ind w:left="16"/>
            </w:pPr>
            <w:r>
              <w:t>HD</w:t>
            </w:r>
          </w:p>
        </w:tc>
        <w:tc>
          <w:tcPr>
            <w:tcW w:w="1190" w:type="dxa"/>
          </w:tcPr>
          <w:p w:rsidR="008F03B5" w:rsidRDefault="00586B9B">
            <w:pPr>
              <w:pStyle w:val="TableParagraph"/>
              <w:spacing w:line="265" w:lineRule="exact"/>
              <w:ind w:left="16"/>
            </w:pPr>
            <w:r>
              <w:t>30</w:t>
            </w:r>
          </w:p>
        </w:tc>
        <w:tc>
          <w:tcPr>
            <w:tcW w:w="1080" w:type="dxa"/>
            <w:shd w:val="clear" w:color="auto" w:fill="F1F7FB"/>
          </w:tcPr>
          <w:p w:rsidR="008F03B5" w:rsidRDefault="00586B9B">
            <w:pPr>
              <w:pStyle w:val="TableParagraph"/>
              <w:spacing w:line="265" w:lineRule="exact"/>
              <w:ind w:left="14"/>
            </w:pPr>
            <w:r>
              <w:t>7.2</w:t>
            </w:r>
          </w:p>
        </w:tc>
        <w:tc>
          <w:tcPr>
            <w:tcW w:w="1778" w:type="dxa"/>
          </w:tcPr>
          <w:p w:rsidR="008F03B5" w:rsidRDefault="00586B9B">
            <w:pPr>
              <w:pStyle w:val="TableParagraph"/>
              <w:spacing w:line="265" w:lineRule="exact"/>
              <w:ind w:left="15"/>
            </w:pPr>
            <w:r>
              <w:t>Full recovery</w:t>
            </w:r>
          </w:p>
        </w:tc>
      </w:tr>
      <w:tr w:rsidR="008F03B5">
        <w:trPr>
          <w:trHeight w:val="300"/>
        </w:trPr>
        <w:tc>
          <w:tcPr>
            <w:tcW w:w="1260" w:type="dxa"/>
            <w:vMerge/>
            <w:tcBorders>
              <w:top w:val="nil"/>
            </w:tcBorders>
          </w:tcPr>
          <w:p w:rsidR="008F03B5" w:rsidRDefault="008F03B5">
            <w:pPr>
              <w:rPr>
                <w:sz w:val="2"/>
                <w:szCs w:val="2"/>
              </w:rPr>
            </w:pPr>
          </w:p>
        </w:tc>
        <w:tc>
          <w:tcPr>
            <w:tcW w:w="674" w:type="dxa"/>
          </w:tcPr>
          <w:p w:rsidR="008F03B5" w:rsidRDefault="00586B9B">
            <w:pPr>
              <w:pStyle w:val="TableParagraph"/>
              <w:spacing w:line="268" w:lineRule="exact"/>
              <w:ind w:left="14"/>
            </w:pPr>
            <w:r>
              <w:t>77</w:t>
            </w:r>
          </w:p>
        </w:tc>
        <w:tc>
          <w:tcPr>
            <w:tcW w:w="996" w:type="dxa"/>
          </w:tcPr>
          <w:p w:rsidR="008F03B5" w:rsidRDefault="00586B9B">
            <w:pPr>
              <w:pStyle w:val="TableParagraph"/>
              <w:spacing w:line="268" w:lineRule="exact"/>
              <w:ind w:left="14"/>
            </w:pPr>
            <w:r>
              <w:t>VT</w:t>
            </w:r>
          </w:p>
        </w:tc>
        <w:tc>
          <w:tcPr>
            <w:tcW w:w="1077" w:type="dxa"/>
            <w:shd w:val="clear" w:color="auto" w:fill="F1F7FB"/>
          </w:tcPr>
          <w:p w:rsidR="008F03B5" w:rsidRDefault="00586B9B">
            <w:pPr>
              <w:pStyle w:val="TableParagraph"/>
              <w:spacing w:line="268" w:lineRule="exact"/>
              <w:ind w:left="15"/>
            </w:pPr>
            <w:r>
              <w:t>8.5</w:t>
            </w:r>
          </w:p>
        </w:tc>
        <w:tc>
          <w:tcPr>
            <w:tcW w:w="751" w:type="dxa"/>
          </w:tcPr>
          <w:p w:rsidR="008F03B5" w:rsidRDefault="00586B9B">
            <w:pPr>
              <w:pStyle w:val="TableParagraph"/>
              <w:spacing w:line="268" w:lineRule="exact"/>
              <w:ind w:left="16"/>
            </w:pPr>
            <w:r>
              <w:t>155</w:t>
            </w:r>
          </w:p>
        </w:tc>
        <w:tc>
          <w:tcPr>
            <w:tcW w:w="972" w:type="dxa"/>
          </w:tcPr>
          <w:p w:rsidR="008F03B5" w:rsidRDefault="00586B9B">
            <w:pPr>
              <w:pStyle w:val="TableParagraph"/>
              <w:spacing w:line="268" w:lineRule="exact"/>
              <w:ind w:left="16"/>
            </w:pPr>
            <w:r>
              <w:t>HD</w:t>
            </w:r>
          </w:p>
        </w:tc>
        <w:tc>
          <w:tcPr>
            <w:tcW w:w="1190" w:type="dxa"/>
          </w:tcPr>
          <w:p w:rsidR="008F03B5" w:rsidRDefault="00586B9B">
            <w:pPr>
              <w:pStyle w:val="TableParagraph"/>
              <w:spacing w:line="268" w:lineRule="exact"/>
              <w:ind w:left="16"/>
            </w:pPr>
            <w:r>
              <w:t>25</w:t>
            </w:r>
          </w:p>
        </w:tc>
        <w:tc>
          <w:tcPr>
            <w:tcW w:w="1080" w:type="dxa"/>
            <w:shd w:val="clear" w:color="auto" w:fill="F1F7FB"/>
          </w:tcPr>
          <w:p w:rsidR="008F03B5" w:rsidRDefault="00586B9B">
            <w:pPr>
              <w:pStyle w:val="TableParagraph"/>
              <w:spacing w:line="268" w:lineRule="exact"/>
              <w:ind w:left="14"/>
            </w:pPr>
            <w:r>
              <w:t>5.2</w:t>
            </w:r>
          </w:p>
        </w:tc>
        <w:tc>
          <w:tcPr>
            <w:tcW w:w="1778" w:type="dxa"/>
          </w:tcPr>
          <w:p w:rsidR="008F03B5" w:rsidRDefault="00586B9B">
            <w:pPr>
              <w:pStyle w:val="TableParagraph"/>
              <w:spacing w:line="268" w:lineRule="exact"/>
              <w:ind w:left="15"/>
            </w:pPr>
            <w:r>
              <w:t>Died</w:t>
            </w:r>
          </w:p>
        </w:tc>
      </w:tr>
      <w:tr w:rsidR="008F03B5">
        <w:trPr>
          <w:trHeight w:val="565"/>
        </w:trPr>
        <w:tc>
          <w:tcPr>
            <w:tcW w:w="1260" w:type="dxa"/>
          </w:tcPr>
          <w:p w:rsidR="008F03B5" w:rsidRDefault="00586B9B">
            <w:pPr>
              <w:pStyle w:val="TableParagraph"/>
              <w:spacing w:line="265" w:lineRule="exact"/>
              <w:ind w:left="14"/>
              <w:rPr>
                <w:b/>
              </w:rPr>
            </w:pPr>
            <w:r>
              <w:rPr>
                <w:b/>
              </w:rPr>
              <w:t>Costa</w:t>
            </w:r>
          </w:p>
          <w:p w:rsidR="008F03B5" w:rsidRDefault="00586B9B">
            <w:pPr>
              <w:pStyle w:val="TableParagraph"/>
              <w:ind w:left="14"/>
            </w:pPr>
            <w:r>
              <w:t>1994</w:t>
            </w:r>
            <w:r>
              <w:rPr>
                <w:vertAlign w:val="superscript"/>
              </w:rPr>
              <w:t>5</w:t>
            </w:r>
          </w:p>
        </w:tc>
        <w:tc>
          <w:tcPr>
            <w:tcW w:w="674" w:type="dxa"/>
          </w:tcPr>
          <w:p w:rsidR="008F03B5" w:rsidRDefault="00586B9B">
            <w:pPr>
              <w:pStyle w:val="TableParagraph"/>
              <w:spacing w:line="265" w:lineRule="exact"/>
              <w:ind w:left="14"/>
            </w:pPr>
            <w:r>
              <w:t>57</w:t>
            </w:r>
          </w:p>
        </w:tc>
        <w:tc>
          <w:tcPr>
            <w:tcW w:w="996" w:type="dxa"/>
          </w:tcPr>
          <w:p w:rsidR="008F03B5" w:rsidRDefault="00586B9B">
            <w:pPr>
              <w:pStyle w:val="TableParagraph"/>
              <w:spacing w:line="265" w:lineRule="exact"/>
              <w:ind w:left="14"/>
            </w:pPr>
            <w:r>
              <w:t>Asystole</w:t>
            </w:r>
          </w:p>
        </w:tc>
        <w:tc>
          <w:tcPr>
            <w:tcW w:w="1077" w:type="dxa"/>
            <w:shd w:val="clear" w:color="auto" w:fill="F1F7FB"/>
          </w:tcPr>
          <w:p w:rsidR="008F03B5" w:rsidRDefault="00586B9B">
            <w:pPr>
              <w:pStyle w:val="TableParagraph"/>
              <w:spacing w:line="265" w:lineRule="exact"/>
              <w:ind w:left="15"/>
            </w:pPr>
            <w:r>
              <w:t>9.6</w:t>
            </w:r>
          </w:p>
        </w:tc>
        <w:tc>
          <w:tcPr>
            <w:tcW w:w="751" w:type="dxa"/>
          </w:tcPr>
          <w:p w:rsidR="008F03B5" w:rsidRDefault="00586B9B">
            <w:pPr>
              <w:pStyle w:val="TableParagraph"/>
              <w:spacing w:line="265" w:lineRule="exact"/>
              <w:ind w:left="16"/>
            </w:pPr>
            <w:r>
              <w:t>15</w:t>
            </w:r>
          </w:p>
        </w:tc>
        <w:tc>
          <w:tcPr>
            <w:tcW w:w="972" w:type="dxa"/>
          </w:tcPr>
          <w:p w:rsidR="008F03B5" w:rsidRDefault="00586B9B">
            <w:pPr>
              <w:pStyle w:val="TableParagraph"/>
              <w:spacing w:line="265" w:lineRule="exact"/>
              <w:ind w:left="16"/>
            </w:pPr>
            <w:r>
              <w:t>HD</w:t>
            </w:r>
          </w:p>
        </w:tc>
        <w:tc>
          <w:tcPr>
            <w:tcW w:w="1190" w:type="dxa"/>
          </w:tcPr>
          <w:p w:rsidR="008F03B5" w:rsidRDefault="00586B9B">
            <w:pPr>
              <w:pStyle w:val="TableParagraph"/>
              <w:spacing w:line="265" w:lineRule="exact"/>
              <w:ind w:left="16"/>
            </w:pPr>
            <w:r>
              <w:t>95</w:t>
            </w:r>
          </w:p>
        </w:tc>
        <w:tc>
          <w:tcPr>
            <w:tcW w:w="1080" w:type="dxa"/>
            <w:shd w:val="clear" w:color="auto" w:fill="F1F7FB"/>
          </w:tcPr>
          <w:p w:rsidR="008F03B5" w:rsidRDefault="00586B9B">
            <w:pPr>
              <w:pStyle w:val="TableParagraph"/>
              <w:spacing w:line="265" w:lineRule="exact"/>
              <w:ind w:left="14"/>
            </w:pPr>
            <w:r>
              <w:t>7.2</w:t>
            </w:r>
          </w:p>
        </w:tc>
        <w:tc>
          <w:tcPr>
            <w:tcW w:w="1778" w:type="dxa"/>
          </w:tcPr>
          <w:p w:rsidR="008F03B5" w:rsidRDefault="00586B9B">
            <w:pPr>
              <w:pStyle w:val="TableParagraph"/>
              <w:ind w:left="15" w:right="960"/>
            </w:pPr>
            <w:r>
              <w:t>Survived (3 days)</w:t>
            </w:r>
          </w:p>
        </w:tc>
      </w:tr>
      <w:tr w:rsidR="008F03B5">
        <w:trPr>
          <w:trHeight w:val="568"/>
        </w:trPr>
        <w:tc>
          <w:tcPr>
            <w:tcW w:w="1260" w:type="dxa"/>
          </w:tcPr>
          <w:p w:rsidR="008F03B5" w:rsidRDefault="00586B9B">
            <w:pPr>
              <w:pStyle w:val="TableParagraph"/>
              <w:spacing w:line="268" w:lineRule="exact"/>
              <w:ind w:left="14"/>
              <w:rPr>
                <w:b/>
              </w:rPr>
            </w:pPr>
            <w:r>
              <w:rPr>
                <w:b/>
              </w:rPr>
              <w:t>Lee</w:t>
            </w:r>
          </w:p>
          <w:p w:rsidR="008F03B5" w:rsidRDefault="00586B9B">
            <w:pPr>
              <w:pStyle w:val="TableParagraph"/>
              <w:ind w:left="14"/>
            </w:pPr>
            <w:r>
              <w:t>1994</w:t>
            </w:r>
            <w:r>
              <w:rPr>
                <w:vertAlign w:val="superscript"/>
              </w:rPr>
              <w:t>6</w:t>
            </w:r>
          </w:p>
        </w:tc>
        <w:tc>
          <w:tcPr>
            <w:tcW w:w="674" w:type="dxa"/>
          </w:tcPr>
          <w:p w:rsidR="008F03B5" w:rsidRDefault="00586B9B">
            <w:pPr>
              <w:pStyle w:val="TableParagraph"/>
              <w:spacing w:line="268" w:lineRule="exact"/>
              <w:ind w:left="14"/>
            </w:pPr>
            <w:r>
              <w:t>11</w:t>
            </w:r>
          </w:p>
        </w:tc>
        <w:tc>
          <w:tcPr>
            <w:tcW w:w="996" w:type="dxa"/>
          </w:tcPr>
          <w:p w:rsidR="008F03B5" w:rsidRDefault="00586B9B">
            <w:pPr>
              <w:pStyle w:val="TableParagraph"/>
              <w:spacing w:line="268" w:lineRule="exact"/>
              <w:ind w:left="14"/>
            </w:pPr>
            <w:r>
              <w:t>Asystole</w:t>
            </w:r>
          </w:p>
        </w:tc>
        <w:tc>
          <w:tcPr>
            <w:tcW w:w="1077" w:type="dxa"/>
            <w:shd w:val="clear" w:color="auto" w:fill="F1F7FB"/>
          </w:tcPr>
          <w:p w:rsidR="008F03B5" w:rsidRDefault="00586B9B">
            <w:pPr>
              <w:pStyle w:val="TableParagraph"/>
              <w:spacing w:line="268" w:lineRule="exact"/>
              <w:ind w:left="15"/>
            </w:pPr>
            <w:r>
              <w:t>10.2</w:t>
            </w:r>
          </w:p>
        </w:tc>
        <w:tc>
          <w:tcPr>
            <w:tcW w:w="751" w:type="dxa"/>
          </w:tcPr>
          <w:p w:rsidR="008F03B5" w:rsidRDefault="00586B9B">
            <w:pPr>
              <w:pStyle w:val="TableParagraph"/>
              <w:spacing w:line="268" w:lineRule="exact"/>
              <w:ind w:left="16"/>
            </w:pPr>
            <w:r>
              <w:t>140</w:t>
            </w:r>
          </w:p>
        </w:tc>
        <w:tc>
          <w:tcPr>
            <w:tcW w:w="972" w:type="dxa"/>
          </w:tcPr>
          <w:p w:rsidR="008F03B5" w:rsidRDefault="00586B9B">
            <w:pPr>
              <w:pStyle w:val="TableParagraph"/>
              <w:spacing w:line="268" w:lineRule="exact"/>
              <w:ind w:left="16"/>
            </w:pPr>
            <w:r>
              <w:t>HF on CPB</w:t>
            </w:r>
          </w:p>
        </w:tc>
        <w:tc>
          <w:tcPr>
            <w:tcW w:w="1190" w:type="dxa"/>
          </w:tcPr>
          <w:p w:rsidR="008F03B5" w:rsidRDefault="00586B9B">
            <w:pPr>
              <w:pStyle w:val="TableParagraph"/>
              <w:spacing w:line="268" w:lineRule="exact"/>
              <w:ind w:left="16"/>
            </w:pPr>
            <w:r>
              <w:t>ns</w:t>
            </w:r>
          </w:p>
        </w:tc>
        <w:tc>
          <w:tcPr>
            <w:tcW w:w="1080" w:type="dxa"/>
            <w:shd w:val="clear" w:color="auto" w:fill="F1F7FB"/>
          </w:tcPr>
          <w:p w:rsidR="008F03B5" w:rsidRDefault="00586B9B">
            <w:pPr>
              <w:pStyle w:val="TableParagraph"/>
              <w:spacing w:line="268" w:lineRule="exact"/>
              <w:ind w:left="14"/>
            </w:pPr>
            <w:r>
              <w:t>ns</w:t>
            </w:r>
          </w:p>
        </w:tc>
        <w:tc>
          <w:tcPr>
            <w:tcW w:w="1778" w:type="dxa"/>
          </w:tcPr>
          <w:p w:rsidR="008F03B5" w:rsidRDefault="00586B9B">
            <w:pPr>
              <w:pStyle w:val="TableParagraph"/>
              <w:spacing w:line="268" w:lineRule="exact"/>
              <w:ind w:left="15"/>
            </w:pPr>
            <w:r>
              <w:t>Full recovery</w:t>
            </w:r>
          </w:p>
        </w:tc>
      </w:tr>
      <w:tr w:rsidR="008F03B5">
        <w:trPr>
          <w:trHeight w:val="565"/>
        </w:trPr>
        <w:tc>
          <w:tcPr>
            <w:tcW w:w="1260" w:type="dxa"/>
          </w:tcPr>
          <w:p w:rsidR="008F03B5" w:rsidRDefault="00586B9B">
            <w:pPr>
              <w:pStyle w:val="TableParagraph"/>
              <w:spacing w:line="265" w:lineRule="exact"/>
              <w:ind w:left="14"/>
              <w:rPr>
                <w:b/>
              </w:rPr>
            </w:pPr>
            <w:r>
              <w:rPr>
                <w:b/>
              </w:rPr>
              <w:t>Jackson</w:t>
            </w:r>
          </w:p>
          <w:p w:rsidR="008F03B5" w:rsidRDefault="00586B9B">
            <w:pPr>
              <w:pStyle w:val="TableParagraph"/>
              <w:ind w:left="14"/>
            </w:pPr>
            <w:r>
              <w:t>1996</w:t>
            </w:r>
            <w:r>
              <w:rPr>
                <w:vertAlign w:val="superscript"/>
              </w:rPr>
              <w:t>7</w:t>
            </w:r>
          </w:p>
        </w:tc>
        <w:tc>
          <w:tcPr>
            <w:tcW w:w="674" w:type="dxa"/>
          </w:tcPr>
          <w:p w:rsidR="008F03B5" w:rsidRDefault="00586B9B">
            <w:pPr>
              <w:pStyle w:val="TableParagraph"/>
              <w:spacing w:line="265" w:lineRule="exact"/>
              <w:ind w:left="14"/>
            </w:pPr>
            <w:r>
              <w:t>16</w:t>
            </w:r>
          </w:p>
        </w:tc>
        <w:tc>
          <w:tcPr>
            <w:tcW w:w="996" w:type="dxa"/>
          </w:tcPr>
          <w:p w:rsidR="008F03B5" w:rsidRDefault="00586B9B">
            <w:pPr>
              <w:pStyle w:val="TableParagraph"/>
              <w:spacing w:line="265" w:lineRule="exact"/>
              <w:ind w:left="14"/>
            </w:pPr>
            <w:r>
              <w:t>Asystole</w:t>
            </w:r>
          </w:p>
        </w:tc>
        <w:tc>
          <w:tcPr>
            <w:tcW w:w="1077" w:type="dxa"/>
            <w:shd w:val="clear" w:color="auto" w:fill="F1F7FB"/>
          </w:tcPr>
          <w:p w:rsidR="008F03B5" w:rsidRDefault="00586B9B">
            <w:pPr>
              <w:pStyle w:val="TableParagraph"/>
              <w:spacing w:line="265" w:lineRule="exact"/>
              <w:ind w:left="15"/>
            </w:pPr>
            <w:r>
              <w:t>9.8</w:t>
            </w:r>
          </w:p>
        </w:tc>
        <w:tc>
          <w:tcPr>
            <w:tcW w:w="751" w:type="dxa"/>
          </w:tcPr>
          <w:p w:rsidR="008F03B5" w:rsidRDefault="00586B9B">
            <w:pPr>
              <w:pStyle w:val="TableParagraph"/>
              <w:spacing w:line="265" w:lineRule="exact"/>
              <w:ind w:left="16"/>
            </w:pPr>
            <w:r>
              <w:t>165</w:t>
            </w:r>
          </w:p>
        </w:tc>
        <w:tc>
          <w:tcPr>
            <w:tcW w:w="972" w:type="dxa"/>
          </w:tcPr>
          <w:p w:rsidR="008F03B5" w:rsidRDefault="00586B9B">
            <w:pPr>
              <w:pStyle w:val="TableParagraph"/>
              <w:spacing w:line="265" w:lineRule="exact"/>
              <w:ind w:left="16"/>
            </w:pPr>
            <w:r>
              <w:t>PD</w:t>
            </w:r>
          </w:p>
        </w:tc>
        <w:tc>
          <w:tcPr>
            <w:tcW w:w="1190" w:type="dxa"/>
          </w:tcPr>
          <w:p w:rsidR="008F03B5" w:rsidRDefault="00586B9B">
            <w:pPr>
              <w:pStyle w:val="TableParagraph"/>
              <w:spacing w:line="265" w:lineRule="exact"/>
              <w:ind w:left="16"/>
            </w:pPr>
            <w:r>
              <w:t>60</w:t>
            </w:r>
          </w:p>
        </w:tc>
        <w:tc>
          <w:tcPr>
            <w:tcW w:w="1080" w:type="dxa"/>
            <w:shd w:val="clear" w:color="auto" w:fill="F1F7FB"/>
          </w:tcPr>
          <w:p w:rsidR="008F03B5" w:rsidRDefault="00586B9B">
            <w:pPr>
              <w:pStyle w:val="TableParagraph"/>
              <w:spacing w:line="265" w:lineRule="exact"/>
              <w:ind w:left="14"/>
            </w:pPr>
            <w:r>
              <w:t>4.3</w:t>
            </w:r>
          </w:p>
        </w:tc>
        <w:tc>
          <w:tcPr>
            <w:tcW w:w="1778" w:type="dxa"/>
          </w:tcPr>
          <w:p w:rsidR="008F03B5" w:rsidRDefault="00586B9B">
            <w:pPr>
              <w:pStyle w:val="TableParagraph"/>
              <w:spacing w:line="265" w:lineRule="exact"/>
              <w:ind w:left="15"/>
            </w:pPr>
            <w:r>
              <w:t>Full recovery</w:t>
            </w:r>
          </w:p>
        </w:tc>
      </w:tr>
      <w:tr w:rsidR="008F03B5">
        <w:trPr>
          <w:trHeight w:val="568"/>
        </w:trPr>
        <w:tc>
          <w:tcPr>
            <w:tcW w:w="1260" w:type="dxa"/>
          </w:tcPr>
          <w:p w:rsidR="008F03B5" w:rsidRDefault="00586B9B">
            <w:pPr>
              <w:pStyle w:val="TableParagraph"/>
              <w:spacing w:line="268" w:lineRule="exact"/>
              <w:ind w:left="14"/>
              <w:rPr>
                <w:b/>
              </w:rPr>
            </w:pPr>
            <w:r>
              <w:rPr>
                <w:b/>
              </w:rPr>
              <w:t>Kao</w:t>
            </w:r>
          </w:p>
          <w:p w:rsidR="008F03B5" w:rsidRDefault="00586B9B">
            <w:pPr>
              <w:pStyle w:val="TableParagraph"/>
              <w:ind w:left="14"/>
            </w:pPr>
            <w:r>
              <w:t>2000</w:t>
            </w:r>
            <w:r>
              <w:rPr>
                <w:vertAlign w:val="superscript"/>
              </w:rPr>
              <w:t>8</w:t>
            </w:r>
          </w:p>
        </w:tc>
        <w:tc>
          <w:tcPr>
            <w:tcW w:w="674" w:type="dxa"/>
          </w:tcPr>
          <w:p w:rsidR="008F03B5" w:rsidRDefault="00586B9B">
            <w:pPr>
              <w:pStyle w:val="TableParagraph"/>
              <w:spacing w:line="268" w:lineRule="exact"/>
              <w:ind w:left="14"/>
            </w:pPr>
            <w:r>
              <w:t>68</w:t>
            </w:r>
          </w:p>
        </w:tc>
        <w:tc>
          <w:tcPr>
            <w:tcW w:w="996" w:type="dxa"/>
          </w:tcPr>
          <w:p w:rsidR="008F03B5" w:rsidRDefault="00586B9B">
            <w:pPr>
              <w:pStyle w:val="TableParagraph"/>
              <w:spacing w:line="268" w:lineRule="exact"/>
              <w:ind w:left="14"/>
            </w:pPr>
            <w:r>
              <w:t>VT</w:t>
            </w:r>
          </w:p>
        </w:tc>
        <w:tc>
          <w:tcPr>
            <w:tcW w:w="1077" w:type="dxa"/>
            <w:shd w:val="clear" w:color="auto" w:fill="F1F7FB"/>
          </w:tcPr>
          <w:p w:rsidR="008F03B5" w:rsidRDefault="00586B9B">
            <w:pPr>
              <w:pStyle w:val="TableParagraph"/>
              <w:spacing w:line="268" w:lineRule="exact"/>
              <w:ind w:left="15"/>
            </w:pPr>
            <w:r>
              <w:t>8.3</w:t>
            </w:r>
          </w:p>
        </w:tc>
        <w:tc>
          <w:tcPr>
            <w:tcW w:w="751" w:type="dxa"/>
          </w:tcPr>
          <w:p w:rsidR="008F03B5" w:rsidRDefault="00586B9B">
            <w:pPr>
              <w:pStyle w:val="TableParagraph"/>
              <w:spacing w:line="268" w:lineRule="exact"/>
              <w:ind w:left="16"/>
            </w:pPr>
            <w:r>
              <w:t>150</w:t>
            </w:r>
          </w:p>
        </w:tc>
        <w:tc>
          <w:tcPr>
            <w:tcW w:w="972" w:type="dxa"/>
          </w:tcPr>
          <w:p w:rsidR="008F03B5" w:rsidRDefault="00586B9B">
            <w:pPr>
              <w:pStyle w:val="TableParagraph"/>
              <w:spacing w:line="268" w:lineRule="exact"/>
              <w:ind w:left="16"/>
            </w:pPr>
            <w:r>
              <w:t>HD</w:t>
            </w:r>
          </w:p>
        </w:tc>
        <w:tc>
          <w:tcPr>
            <w:tcW w:w="1190" w:type="dxa"/>
          </w:tcPr>
          <w:p w:rsidR="008F03B5" w:rsidRDefault="00586B9B">
            <w:pPr>
              <w:pStyle w:val="TableParagraph"/>
              <w:spacing w:line="268" w:lineRule="exact"/>
              <w:ind w:left="16"/>
            </w:pPr>
            <w:r>
              <w:t>40</w:t>
            </w:r>
          </w:p>
        </w:tc>
        <w:tc>
          <w:tcPr>
            <w:tcW w:w="1080" w:type="dxa"/>
            <w:shd w:val="clear" w:color="auto" w:fill="F1F7FB"/>
          </w:tcPr>
          <w:p w:rsidR="008F03B5" w:rsidRDefault="00586B9B">
            <w:pPr>
              <w:pStyle w:val="TableParagraph"/>
              <w:spacing w:line="268" w:lineRule="exact"/>
              <w:ind w:left="14"/>
            </w:pPr>
            <w:r>
              <w:t>5.1</w:t>
            </w:r>
          </w:p>
        </w:tc>
        <w:tc>
          <w:tcPr>
            <w:tcW w:w="1778" w:type="dxa"/>
          </w:tcPr>
          <w:p w:rsidR="008F03B5" w:rsidRDefault="00586B9B">
            <w:pPr>
              <w:pStyle w:val="TableParagraph"/>
              <w:spacing w:line="268" w:lineRule="exact"/>
              <w:ind w:left="15"/>
            </w:pPr>
            <w:r>
              <w:t>Full recovery</w:t>
            </w:r>
          </w:p>
        </w:tc>
      </w:tr>
      <w:tr w:rsidR="008F03B5">
        <w:trPr>
          <w:trHeight w:val="568"/>
        </w:trPr>
        <w:tc>
          <w:tcPr>
            <w:tcW w:w="1260" w:type="dxa"/>
          </w:tcPr>
          <w:p w:rsidR="008F03B5" w:rsidRDefault="00586B9B">
            <w:pPr>
              <w:pStyle w:val="TableParagraph"/>
              <w:spacing w:line="267" w:lineRule="exact"/>
              <w:ind w:left="14"/>
              <w:rPr>
                <w:b/>
              </w:rPr>
            </w:pPr>
            <w:r>
              <w:rPr>
                <w:b/>
              </w:rPr>
              <w:t>Schummer</w:t>
            </w:r>
          </w:p>
          <w:p w:rsidR="008F03B5" w:rsidRDefault="00586B9B">
            <w:pPr>
              <w:pStyle w:val="TableParagraph"/>
              <w:spacing w:line="267" w:lineRule="exact"/>
              <w:ind w:left="14"/>
            </w:pPr>
            <w:r>
              <w:t>2000</w:t>
            </w:r>
            <w:r>
              <w:rPr>
                <w:vertAlign w:val="superscript"/>
              </w:rPr>
              <w:t>9</w:t>
            </w:r>
          </w:p>
        </w:tc>
        <w:tc>
          <w:tcPr>
            <w:tcW w:w="674" w:type="dxa"/>
          </w:tcPr>
          <w:p w:rsidR="008F03B5" w:rsidRDefault="00586B9B">
            <w:pPr>
              <w:pStyle w:val="TableParagraph"/>
              <w:spacing w:line="268" w:lineRule="exact"/>
              <w:ind w:left="14"/>
            </w:pPr>
            <w:r>
              <w:t>68</w:t>
            </w:r>
          </w:p>
        </w:tc>
        <w:tc>
          <w:tcPr>
            <w:tcW w:w="996" w:type="dxa"/>
          </w:tcPr>
          <w:p w:rsidR="008F03B5" w:rsidRDefault="00586B9B">
            <w:pPr>
              <w:pStyle w:val="TableParagraph"/>
              <w:spacing w:line="268" w:lineRule="exact"/>
              <w:ind w:left="14"/>
            </w:pPr>
            <w:r>
              <w:t>ns</w:t>
            </w:r>
          </w:p>
        </w:tc>
        <w:tc>
          <w:tcPr>
            <w:tcW w:w="1077" w:type="dxa"/>
            <w:shd w:val="clear" w:color="auto" w:fill="F1F7FB"/>
          </w:tcPr>
          <w:p w:rsidR="008F03B5" w:rsidRDefault="00586B9B">
            <w:pPr>
              <w:pStyle w:val="TableParagraph"/>
              <w:spacing w:line="268" w:lineRule="exact"/>
              <w:ind w:left="15"/>
            </w:pPr>
            <w:r>
              <w:t>9.0</w:t>
            </w:r>
          </w:p>
        </w:tc>
        <w:tc>
          <w:tcPr>
            <w:tcW w:w="751" w:type="dxa"/>
          </w:tcPr>
          <w:p w:rsidR="008F03B5" w:rsidRDefault="00586B9B">
            <w:pPr>
              <w:pStyle w:val="TableParagraph"/>
              <w:spacing w:line="268" w:lineRule="exact"/>
              <w:ind w:left="16"/>
            </w:pPr>
            <w:r>
              <w:t>ns</w:t>
            </w:r>
          </w:p>
        </w:tc>
        <w:tc>
          <w:tcPr>
            <w:tcW w:w="972" w:type="dxa"/>
          </w:tcPr>
          <w:p w:rsidR="008F03B5" w:rsidRDefault="00586B9B">
            <w:pPr>
              <w:pStyle w:val="TableParagraph"/>
              <w:spacing w:line="268" w:lineRule="exact"/>
              <w:ind w:left="16"/>
            </w:pPr>
            <w:r>
              <w:t>HDF</w:t>
            </w:r>
          </w:p>
        </w:tc>
        <w:tc>
          <w:tcPr>
            <w:tcW w:w="1190" w:type="dxa"/>
          </w:tcPr>
          <w:p w:rsidR="008F03B5" w:rsidRDefault="00586B9B">
            <w:pPr>
              <w:pStyle w:val="TableParagraph"/>
              <w:spacing w:line="268" w:lineRule="exact"/>
              <w:ind w:left="16"/>
            </w:pPr>
            <w:r>
              <w:t>15</w:t>
            </w:r>
          </w:p>
        </w:tc>
        <w:tc>
          <w:tcPr>
            <w:tcW w:w="1080" w:type="dxa"/>
            <w:shd w:val="clear" w:color="auto" w:fill="F1F7FB"/>
          </w:tcPr>
          <w:p w:rsidR="008F03B5" w:rsidRDefault="00586B9B">
            <w:pPr>
              <w:pStyle w:val="TableParagraph"/>
              <w:spacing w:line="268" w:lineRule="exact"/>
              <w:ind w:left="14"/>
            </w:pPr>
            <w:r>
              <w:t>ns</w:t>
            </w:r>
          </w:p>
        </w:tc>
        <w:tc>
          <w:tcPr>
            <w:tcW w:w="1778" w:type="dxa"/>
          </w:tcPr>
          <w:p w:rsidR="008F03B5" w:rsidRDefault="00586B9B">
            <w:pPr>
              <w:pStyle w:val="TableParagraph"/>
              <w:spacing w:line="268" w:lineRule="exact"/>
              <w:ind w:left="15"/>
            </w:pPr>
            <w:r>
              <w:t>Full recovery</w:t>
            </w:r>
          </w:p>
        </w:tc>
      </w:tr>
      <w:tr w:rsidR="008F03B5">
        <w:trPr>
          <w:trHeight w:val="566"/>
        </w:trPr>
        <w:tc>
          <w:tcPr>
            <w:tcW w:w="1260" w:type="dxa"/>
          </w:tcPr>
          <w:p w:rsidR="008F03B5" w:rsidRDefault="00586B9B">
            <w:pPr>
              <w:pStyle w:val="TableParagraph"/>
              <w:spacing w:line="266" w:lineRule="exact"/>
              <w:ind w:left="14"/>
              <w:rPr>
                <w:b/>
              </w:rPr>
            </w:pPr>
            <w:r>
              <w:rPr>
                <w:b/>
              </w:rPr>
              <w:t>Iwanczuk</w:t>
            </w:r>
          </w:p>
          <w:p w:rsidR="008F03B5" w:rsidRDefault="00586B9B">
            <w:pPr>
              <w:pStyle w:val="TableParagraph"/>
              <w:ind w:left="14"/>
            </w:pPr>
            <w:r>
              <w:t>2008</w:t>
            </w:r>
            <w:r>
              <w:rPr>
                <w:vertAlign w:val="superscript"/>
              </w:rPr>
              <w:t>10</w:t>
            </w:r>
          </w:p>
        </w:tc>
        <w:tc>
          <w:tcPr>
            <w:tcW w:w="674" w:type="dxa"/>
          </w:tcPr>
          <w:p w:rsidR="008F03B5" w:rsidRDefault="00586B9B">
            <w:pPr>
              <w:pStyle w:val="TableParagraph"/>
              <w:spacing w:line="266" w:lineRule="exact"/>
              <w:ind w:left="14"/>
            </w:pPr>
            <w:r>
              <w:t>53</w:t>
            </w:r>
          </w:p>
        </w:tc>
        <w:tc>
          <w:tcPr>
            <w:tcW w:w="996" w:type="dxa"/>
          </w:tcPr>
          <w:p w:rsidR="008F03B5" w:rsidRDefault="00586B9B">
            <w:pPr>
              <w:pStyle w:val="TableParagraph"/>
              <w:spacing w:line="266" w:lineRule="exact"/>
              <w:ind w:left="14"/>
            </w:pPr>
            <w:r>
              <w:t>ns</w:t>
            </w:r>
          </w:p>
        </w:tc>
        <w:tc>
          <w:tcPr>
            <w:tcW w:w="1077" w:type="dxa"/>
            <w:shd w:val="clear" w:color="auto" w:fill="F1F7FB"/>
          </w:tcPr>
          <w:p w:rsidR="008F03B5" w:rsidRDefault="00586B9B">
            <w:pPr>
              <w:pStyle w:val="TableParagraph"/>
              <w:spacing w:line="266" w:lineRule="exact"/>
              <w:ind w:left="15"/>
            </w:pPr>
            <w:r>
              <w:t>8.5</w:t>
            </w:r>
          </w:p>
        </w:tc>
        <w:tc>
          <w:tcPr>
            <w:tcW w:w="751" w:type="dxa"/>
          </w:tcPr>
          <w:p w:rsidR="008F03B5" w:rsidRDefault="00586B9B">
            <w:pPr>
              <w:pStyle w:val="TableParagraph"/>
              <w:spacing w:line="266" w:lineRule="exact"/>
              <w:ind w:left="16"/>
            </w:pPr>
            <w:r>
              <w:t>ns</w:t>
            </w:r>
          </w:p>
        </w:tc>
        <w:tc>
          <w:tcPr>
            <w:tcW w:w="972" w:type="dxa"/>
          </w:tcPr>
          <w:p w:rsidR="008F03B5" w:rsidRDefault="00586B9B">
            <w:pPr>
              <w:pStyle w:val="TableParagraph"/>
              <w:spacing w:line="266" w:lineRule="exact"/>
              <w:ind w:left="16"/>
            </w:pPr>
            <w:r>
              <w:t>HD</w:t>
            </w:r>
          </w:p>
        </w:tc>
        <w:tc>
          <w:tcPr>
            <w:tcW w:w="1190" w:type="dxa"/>
          </w:tcPr>
          <w:p w:rsidR="008F03B5" w:rsidRDefault="00586B9B">
            <w:pPr>
              <w:pStyle w:val="TableParagraph"/>
              <w:spacing w:line="266" w:lineRule="exact"/>
              <w:ind w:left="16"/>
            </w:pPr>
            <w:r>
              <w:t>40</w:t>
            </w:r>
          </w:p>
        </w:tc>
        <w:tc>
          <w:tcPr>
            <w:tcW w:w="1080" w:type="dxa"/>
            <w:shd w:val="clear" w:color="auto" w:fill="F1F7FB"/>
          </w:tcPr>
          <w:p w:rsidR="008F03B5" w:rsidRDefault="00586B9B">
            <w:pPr>
              <w:pStyle w:val="TableParagraph"/>
              <w:spacing w:line="266" w:lineRule="exact"/>
              <w:ind w:left="14"/>
            </w:pPr>
            <w:r>
              <w:t>5.4</w:t>
            </w:r>
          </w:p>
        </w:tc>
        <w:tc>
          <w:tcPr>
            <w:tcW w:w="1778" w:type="dxa"/>
          </w:tcPr>
          <w:p w:rsidR="008F03B5" w:rsidRDefault="00586B9B">
            <w:pPr>
              <w:pStyle w:val="TableParagraph"/>
              <w:spacing w:line="266" w:lineRule="exact"/>
              <w:ind w:left="15"/>
            </w:pPr>
            <w:r>
              <w:t>Full recovery</w:t>
            </w:r>
          </w:p>
        </w:tc>
      </w:tr>
      <w:tr w:rsidR="008F03B5">
        <w:trPr>
          <w:trHeight w:val="568"/>
        </w:trPr>
        <w:tc>
          <w:tcPr>
            <w:tcW w:w="1260" w:type="dxa"/>
          </w:tcPr>
          <w:p w:rsidR="008F03B5" w:rsidRDefault="00586B9B">
            <w:pPr>
              <w:pStyle w:val="TableParagraph"/>
              <w:spacing w:line="268" w:lineRule="exact"/>
              <w:ind w:left="14"/>
              <w:rPr>
                <w:b/>
              </w:rPr>
            </w:pPr>
            <w:r>
              <w:rPr>
                <w:b/>
              </w:rPr>
              <w:t>Chiu</w:t>
            </w:r>
          </w:p>
          <w:p w:rsidR="008F03B5" w:rsidRDefault="00586B9B">
            <w:pPr>
              <w:pStyle w:val="TableParagraph"/>
              <w:ind w:left="14"/>
            </w:pPr>
            <w:r>
              <w:t>2014</w:t>
            </w:r>
            <w:r>
              <w:rPr>
                <w:vertAlign w:val="superscript"/>
              </w:rPr>
              <w:t>11</w:t>
            </w:r>
          </w:p>
        </w:tc>
        <w:tc>
          <w:tcPr>
            <w:tcW w:w="674" w:type="dxa"/>
          </w:tcPr>
          <w:p w:rsidR="008F03B5" w:rsidRDefault="00586B9B">
            <w:pPr>
              <w:pStyle w:val="TableParagraph"/>
              <w:spacing w:line="268" w:lineRule="exact"/>
              <w:ind w:left="14"/>
            </w:pPr>
            <w:r>
              <w:t>66</w:t>
            </w:r>
          </w:p>
        </w:tc>
        <w:tc>
          <w:tcPr>
            <w:tcW w:w="996" w:type="dxa"/>
          </w:tcPr>
          <w:p w:rsidR="008F03B5" w:rsidRDefault="00586B9B">
            <w:pPr>
              <w:pStyle w:val="TableParagraph"/>
              <w:spacing w:line="268" w:lineRule="exact"/>
              <w:ind w:left="14"/>
            </w:pPr>
            <w:r>
              <w:t>VF</w:t>
            </w:r>
          </w:p>
        </w:tc>
        <w:tc>
          <w:tcPr>
            <w:tcW w:w="1077" w:type="dxa"/>
            <w:shd w:val="clear" w:color="auto" w:fill="F1F7FB"/>
          </w:tcPr>
          <w:p w:rsidR="008F03B5" w:rsidRDefault="00586B9B">
            <w:pPr>
              <w:pStyle w:val="TableParagraph"/>
              <w:spacing w:line="268" w:lineRule="exact"/>
              <w:ind w:left="15"/>
            </w:pPr>
            <w:r>
              <w:t>8.6</w:t>
            </w:r>
          </w:p>
        </w:tc>
        <w:tc>
          <w:tcPr>
            <w:tcW w:w="751" w:type="dxa"/>
          </w:tcPr>
          <w:p w:rsidR="008F03B5" w:rsidRDefault="00586B9B">
            <w:pPr>
              <w:pStyle w:val="TableParagraph"/>
              <w:spacing w:line="268" w:lineRule="exact"/>
              <w:ind w:left="16"/>
            </w:pPr>
            <w:r>
              <w:t>ns</w:t>
            </w:r>
          </w:p>
        </w:tc>
        <w:tc>
          <w:tcPr>
            <w:tcW w:w="972" w:type="dxa"/>
          </w:tcPr>
          <w:p w:rsidR="008F03B5" w:rsidRDefault="00586B9B">
            <w:pPr>
              <w:pStyle w:val="TableParagraph"/>
              <w:ind w:left="16" w:right="58"/>
            </w:pPr>
            <w:r>
              <w:t>CVVH on VA-ECMO</w:t>
            </w:r>
          </w:p>
        </w:tc>
        <w:tc>
          <w:tcPr>
            <w:tcW w:w="1190" w:type="dxa"/>
          </w:tcPr>
          <w:p w:rsidR="008F03B5" w:rsidRDefault="00586B9B">
            <w:pPr>
              <w:pStyle w:val="TableParagraph"/>
              <w:spacing w:line="268" w:lineRule="exact"/>
              <w:ind w:left="16"/>
            </w:pPr>
            <w:r>
              <w:t>ns</w:t>
            </w:r>
          </w:p>
        </w:tc>
        <w:tc>
          <w:tcPr>
            <w:tcW w:w="1080" w:type="dxa"/>
            <w:shd w:val="clear" w:color="auto" w:fill="F1F7FB"/>
          </w:tcPr>
          <w:p w:rsidR="008F03B5" w:rsidRDefault="00586B9B">
            <w:pPr>
              <w:pStyle w:val="TableParagraph"/>
              <w:spacing w:line="268" w:lineRule="exact"/>
              <w:ind w:left="14"/>
            </w:pPr>
            <w:r>
              <w:t>ns</w:t>
            </w:r>
          </w:p>
        </w:tc>
        <w:tc>
          <w:tcPr>
            <w:tcW w:w="1778" w:type="dxa"/>
          </w:tcPr>
          <w:p w:rsidR="008F03B5" w:rsidRDefault="00586B9B">
            <w:pPr>
              <w:pStyle w:val="TableParagraph"/>
              <w:spacing w:line="268" w:lineRule="exact"/>
              <w:ind w:left="15"/>
            </w:pPr>
            <w:r>
              <w:t>Full recovery</w:t>
            </w:r>
          </w:p>
        </w:tc>
      </w:tr>
      <w:tr w:rsidR="008F03B5">
        <w:trPr>
          <w:trHeight w:val="565"/>
        </w:trPr>
        <w:tc>
          <w:tcPr>
            <w:tcW w:w="1260" w:type="dxa"/>
          </w:tcPr>
          <w:p w:rsidR="008F03B5" w:rsidRDefault="00586B9B">
            <w:pPr>
              <w:pStyle w:val="TableParagraph"/>
              <w:spacing w:line="265" w:lineRule="exact"/>
              <w:ind w:left="14"/>
              <w:rPr>
                <w:b/>
              </w:rPr>
            </w:pPr>
            <w:r>
              <w:rPr>
                <w:b/>
              </w:rPr>
              <w:t>Tijssen</w:t>
            </w:r>
          </w:p>
          <w:p w:rsidR="008F03B5" w:rsidRDefault="00586B9B">
            <w:pPr>
              <w:pStyle w:val="TableParagraph"/>
              <w:ind w:left="14"/>
            </w:pPr>
            <w:r>
              <w:t>2017</w:t>
            </w:r>
            <w:r>
              <w:rPr>
                <w:vertAlign w:val="superscript"/>
              </w:rPr>
              <w:t>12</w:t>
            </w:r>
          </w:p>
        </w:tc>
        <w:tc>
          <w:tcPr>
            <w:tcW w:w="674" w:type="dxa"/>
          </w:tcPr>
          <w:p w:rsidR="008F03B5" w:rsidRDefault="00586B9B">
            <w:pPr>
              <w:pStyle w:val="TableParagraph"/>
              <w:spacing w:line="265" w:lineRule="exact"/>
              <w:ind w:left="14"/>
            </w:pPr>
            <w:r>
              <w:t>17</w:t>
            </w:r>
          </w:p>
        </w:tc>
        <w:tc>
          <w:tcPr>
            <w:tcW w:w="996" w:type="dxa"/>
          </w:tcPr>
          <w:p w:rsidR="008F03B5" w:rsidRDefault="00586B9B">
            <w:pPr>
              <w:pStyle w:val="TableParagraph"/>
              <w:spacing w:line="265" w:lineRule="exact"/>
              <w:ind w:left="14"/>
            </w:pPr>
            <w:r>
              <w:t>Asystole</w:t>
            </w:r>
          </w:p>
        </w:tc>
        <w:tc>
          <w:tcPr>
            <w:tcW w:w="1077" w:type="dxa"/>
            <w:shd w:val="clear" w:color="auto" w:fill="F1F7FB"/>
          </w:tcPr>
          <w:p w:rsidR="008F03B5" w:rsidRDefault="00586B9B">
            <w:pPr>
              <w:pStyle w:val="TableParagraph"/>
              <w:spacing w:line="265" w:lineRule="exact"/>
              <w:ind w:left="15"/>
            </w:pPr>
            <w:r>
              <w:t>8.3</w:t>
            </w:r>
          </w:p>
        </w:tc>
        <w:tc>
          <w:tcPr>
            <w:tcW w:w="751" w:type="dxa"/>
          </w:tcPr>
          <w:p w:rsidR="008F03B5" w:rsidRDefault="00586B9B">
            <w:pPr>
              <w:pStyle w:val="TableParagraph"/>
              <w:spacing w:line="265" w:lineRule="exact"/>
              <w:ind w:left="16"/>
            </w:pPr>
            <w:r>
              <w:t>ns</w:t>
            </w:r>
          </w:p>
        </w:tc>
        <w:tc>
          <w:tcPr>
            <w:tcW w:w="972" w:type="dxa"/>
          </w:tcPr>
          <w:p w:rsidR="008F03B5" w:rsidRDefault="00586B9B">
            <w:pPr>
              <w:pStyle w:val="TableParagraph"/>
              <w:ind w:left="16" w:right="176"/>
            </w:pPr>
            <w:r>
              <w:t>CRRT on ECMO</w:t>
            </w:r>
          </w:p>
        </w:tc>
        <w:tc>
          <w:tcPr>
            <w:tcW w:w="1190" w:type="dxa"/>
          </w:tcPr>
          <w:p w:rsidR="008F03B5" w:rsidRDefault="00586B9B">
            <w:pPr>
              <w:pStyle w:val="TableParagraph"/>
              <w:spacing w:line="265" w:lineRule="exact"/>
              <w:ind w:left="16"/>
            </w:pPr>
            <w:r>
              <w:t>ns</w:t>
            </w:r>
          </w:p>
        </w:tc>
        <w:tc>
          <w:tcPr>
            <w:tcW w:w="1080" w:type="dxa"/>
            <w:shd w:val="clear" w:color="auto" w:fill="F1F7FB"/>
          </w:tcPr>
          <w:p w:rsidR="008F03B5" w:rsidRDefault="00586B9B">
            <w:pPr>
              <w:pStyle w:val="TableParagraph"/>
              <w:spacing w:line="265" w:lineRule="exact"/>
              <w:ind w:left="14"/>
            </w:pPr>
            <w:r>
              <w:t>ns</w:t>
            </w:r>
          </w:p>
        </w:tc>
        <w:tc>
          <w:tcPr>
            <w:tcW w:w="1778" w:type="dxa"/>
          </w:tcPr>
          <w:p w:rsidR="008F03B5" w:rsidRDefault="00586B9B">
            <w:pPr>
              <w:pStyle w:val="TableParagraph"/>
              <w:spacing w:line="265" w:lineRule="exact"/>
              <w:ind w:left="15"/>
            </w:pPr>
            <w:r>
              <w:t>Full recovery</w:t>
            </w:r>
          </w:p>
        </w:tc>
      </w:tr>
      <w:tr w:rsidR="008F03B5">
        <w:trPr>
          <w:trHeight w:val="568"/>
        </w:trPr>
        <w:tc>
          <w:tcPr>
            <w:tcW w:w="1260" w:type="dxa"/>
          </w:tcPr>
          <w:p w:rsidR="008F03B5" w:rsidRDefault="00586B9B">
            <w:pPr>
              <w:pStyle w:val="TableParagraph"/>
              <w:spacing w:line="268" w:lineRule="exact"/>
              <w:ind w:left="14"/>
              <w:rPr>
                <w:b/>
              </w:rPr>
            </w:pPr>
            <w:r>
              <w:rPr>
                <w:b/>
              </w:rPr>
              <w:t>Kim</w:t>
            </w:r>
          </w:p>
          <w:p w:rsidR="008F03B5" w:rsidRDefault="00586B9B">
            <w:pPr>
              <w:pStyle w:val="TableParagraph"/>
              <w:ind w:left="14"/>
            </w:pPr>
            <w:r>
              <w:t>2019</w:t>
            </w:r>
            <w:r>
              <w:rPr>
                <w:vertAlign w:val="superscript"/>
              </w:rPr>
              <w:t>13</w:t>
            </w:r>
          </w:p>
        </w:tc>
        <w:tc>
          <w:tcPr>
            <w:tcW w:w="674" w:type="dxa"/>
          </w:tcPr>
          <w:p w:rsidR="008F03B5" w:rsidRDefault="00586B9B">
            <w:pPr>
              <w:pStyle w:val="TableParagraph"/>
              <w:spacing w:line="268" w:lineRule="exact"/>
              <w:ind w:left="14"/>
            </w:pPr>
            <w:r>
              <w:t>13</w:t>
            </w:r>
          </w:p>
        </w:tc>
        <w:tc>
          <w:tcPr>
            <w:tcW w:w="996" w:type="dxa"/>
          </w:tcPr>
          <w:p w:rsidR="008F03B5" w:rsidRDefault="00586B9B">
            <w:pPr>
              <w:pStyle w:val="TableParagraph"/>
              <w:spacing w:line="268" w:lineRule="exact"/>
              <w:ind w:left="14"/>
            </w:pPr>
            <w:r>
              <w:t>Sine wave</w:t>
            </w:r>
          </w:p>
        </w:tc>
        <w:tc>
          <w:tcPr>
            <w:tcW w:w="1077" w:type="dxa"/>
            <w:shd w:val="clear" w:color="auto" w:fill="F1F7FB"/>
          </w:tcPr>
          <w:p w:rsidR="008F03B5" w:rsidRDefault="00586B9B">
            <w:pPr>
              <w:pStyle w:val="TableParagraph"/>
              <w:spacing w:line="268" w:lineRule="exact"/>
              <w:ind w:left="15"/>
            </w:pPr>
            <w:r>
              <w:t>9.6</w:t>
            </w:r>
          </w:p>
        </w:tc>
        <w:tc>
          <w:tcPr>
            <w:tcW w:w="751" w:type="dxa"/>
          </w:tcPr>
          <w:p w:rsidR="008F03B5" w:rsidRDefault="00586B9B">
            <w:pPr>
              <w:pStyle w:val="TableParagraph"/>
              <w:spacing w:line="268" w:lineRule="exact"/>
              <w:ind w:left="16"/>
            </w:pPr>
            <w:r>
              <w:t>90</w:t>
            </w:r>
          </w:p>
        </w:tc>
        <w:tc>
          <w:tcPr>
            <w:tcW w:w="972" w:type="dxa"/>
          </w:tcPr>
          <w:p w:rsidR="008F03B5" w:rsidRDefault="00586B9B">
            <w:pPr>
              <w:pStyle w:val="TableParagraph"/>
              <w:ind w:left="16" w:right="32"/>
            </w:pPr>
            <w:r>
              <w:t>HF on VA- ECMO</w:t>
            </w:r>
          </w:p>
        </w:tc>
        <w:tc>
          <w:tcPr>
            <w:tcW w:w="1190" w:type="dxa"/>
          </w:tcPr>
          <w:p w:rsidR="008F03B5" w:rsidRDefault="00586B9B">
            <w:pPr>
              <w:pStyle w:val="TableParagraph"/>
              <w:spacing w:line="268" w:lineRule="exact"/>
              <w:ind w:left="16"/>
            </w:pPr>
            <w:r>
              <w:t>ns</w:t>
            </w:r>
          </w:p>
        </w:tc>
        <w:tc>
          <w:tcPr>
            <w:tcW w:w="1080" w:type="dxa"/>
            <w:shd w:val="clear" w:color="auto" w:fill="F1F7FB"/>
          </w:tcPr>
          <w:p w:rsidR="008F03B5" w:rsidRDefault="00586B9B">
            <w:pPr>
              <w:pStyle w:val="TableParagraph"/>
              <w:spacing w:line="268" w:lineRule="exact"/>
              <w:ind w:left="14"/>
            </w:pPr>
            <w:r>
              <w:t>ns</w:t>
            </w:r>
          </w:p>
        </w:tc>
        <w:tc>
          <w:tcPr>
            <w:tcW w:w="1778" w:type="dxa"/>
          </w:tcPr>
          <w:p w:rsidR="008F03B5" w:rsidRDefault="00586B9B">
            <w:pPr>
              <w:pStyle w:val="TableParagraph"/>
              <w:spacing w:line="268" w:lineRule="exact"/>
              <w:ind w:left="15"/>
            </w:pPr>
            <w:r>
              <w:t>Full recovery</w:t>
            </w:r>
          </w:p>
        </w:tc>
      </w:tr>
      <w:tr w:rsidR="008F03B5">
        <w:trPr>
          <w:trHeight w:val="834"/>
        </w:trPr>
        <w:tc>
          <w:tcPr>
            <w:tcW w:w="1260" w:type="dxa"/>
          </w:tcPr>
          <w:p w:rsidR="008F03B5" w:rsidRDefault="00586B9B">
            <w:pPr>
              <w:pStyle w:val="TableParagraph"/>
              <w:spacing w:line="265" w:lineRule="exact"/>
              <w:ind w:left="14"/>
              <w:rPr>
                <w:b/>
              </w:rPr>
            </w:pPr>
            <w:r>
              <w:rPr>
                <w:b/>
              </w:rPr>
              <w:t>Klingkowski</w:t>
            </w:r>
          </w:p>
          <w:p w:rsidR="008F03B5" w:rsidRDefault="00586B9B">
            <w:pPr>
              <w:pStyle w:val="TableParagraph"/>
              <w:ind w:left="14"/>
            </w:pPr>
            <w:r>
              <w:t>2019</w:t>
            </w:r>
            <w:r>
              <w:rPr>
                <w:vertAlign w:val="superscript"/>
              </w:rPr>
              <w:t>14</w:t>
            </w:r>
          </w:p>
        </w:tc>
        <w:tc>
          <w:tcPr>
            <w:tcW w:w="674" w:type="dxa"/>
          </w:tcPr>
          <w:p w:rsidR="008F03B5" w:rsidRDefault="00586B9B">
            <w:pPr>
              <w:pStyle w:val="TableParagraph"/>
              <w:spacing w:line="265" w:lineRule="exact"/>
              <w:ind w:left="14"/>
            </w:pPr>
            <w:r>
              <w:t>5</w:t>
            </w:r>
          </w:p>
        </w:tc>
        <w:tc>
          <w:tcPr>
            <w:tcW w:w="996" w:type="dxa"/>
          </w:tcPr>
          <w:p w:rsidR="008F03B5" w:rsidRDefault="00586B9B">
            <w:pPr>
              <w:pStyle w:val="TableParagraph"/>
              <w:spacing w:line="265" w:lineRule="exact"/>
              <w:ind w:left="14"/>
            </w:pPr>
            <w:r>
              <w:t>VF</w:t>
            </w:r>
          </w:p>
        </w:tc>
        <w:tc>
          <w:tcPr>
            <w:tcW w:w="1077" w:type="dxa"/>
            <w:shd w:val="clear" w:color="auto" w:fill="F1F7FB"/>
          </w:tcPr>
          <w:p w:rsidR="008F03B5" w:rsidRDefault="00586B9B">
            <w:pPr>
              <w:pStyle w:val="TableParagraph"/>
              <w:spacing w:line="265" w:lineRule="exact"/>
              <w:ind w:left="15"/>
            </w:pPr>
            <w:r>
              <w:t>9.2</w:t>
            </w:r>
          </w:p>
        </w:tc>
        <w:tc>
          <w:tcPr>
            <w:tcW w:w="751" w:type="dxa"/>
          </w:tcPr>
          <w:p w:rsidR="008F03B5" w:rsidRDefault="00586B9B">
            <w:pPr>
              <w:pStyle w:val="TableParagraph"/>
              <w:spacing w:line="265" w:lineRule="exact"/>
              <w:ind w:left="16"/>
            </w:pPr>
            <w:r>
              <w:t>ns</w:t>
            </w:r>
          </w:p>
        </w:tc>
        <w:tc>
          <w:tcPr>
            <w:tcW w:w="972" w:type="dxa"/>
          </w:tcPr>
          <w:p w:rsidR="008F03B5" w:rsidRDefault="00586B9B">
            <w:pPr>
              <w:pStyle w:val="TableParagraph"/>
              <w:ind w:left="16" w:right="30"/>
            </w:pPr>
            <w:r>
              <w:t>CVVH and ECMO</w:t>
            </w:r>
          </w:p>
        </w:tc>
        <w:tc>
          <w:tcPr>
            <w:tcW w:w="1190" w:type="dxa"/>
          </w:tcPr>
          <w:p w:rsidR="008F03B5" w:rsidRDefault="00586B9B">
            <w:pPr>
              <w:pStyle w:val="TableParagraph"/>
              <w:ind w:left="16" w:right="513"/>
            </w:pPr>
            <w:r>
              <w:t>25 (ECMO</w:t>
            </w:r>
          </w:p>
          <w:p w:rsidR="008F03B5" w:rsidRDefault="00586B9B">
            <w:pPr>
              <w:pStyle w:val="TableParagraph"/>
              <w:ind w:left="16"/>
            </w:pPr>
            <w:r>
              <w:t>prolonged)</w:t>
            </w:r>
          </w:p>
        </w:tc>
        <w:tc>
          <w:tcPr>
            <w:tcW w:w="1080" w:type="dxa"/>
            <w:shd w:val="clear" w:color="auto" w:fill="F1F7FB"/>
          </w:tcPr>
          <w:p w:rsidR="008F03B5" w:rsidRDefault="00586B9B">
            <w:pPr>
              <w:pStyle w:val="TableParagraph"/>
              <w:spacing w:line="265" w:lineRule="exact"/>
              <w:ind w:left="14"/>
            </w:pPr>
            <w:r>
              <w:t>4.2</w:t>
            </w:r>
          </w:p>
        </w:tc>
        <w:tc>
          <w:tcPr>
            <w:tcW w:w="1778" w:type="dxa"/>
          </w:tcPr>
          <w:p w:rsidR="008F03B5" w:rsidRDefault="00586B9B">
            <w:pPr>
              <w:pStyle w:val="TableParagraph"/>
              <w:spacing w:line="265" w:lineRule="exact"/>
              <w:ind w:left="15"/>
            </w:pPr>
            <w:r>
              <w:t>Full recovery</w:t>
            </w:r>
          </w:p>
        </w:tc>
      </w:tr>
    </w:tbl>
    <w:p w:rsidR="008F03B5" w:rsidRDefault="00586B9B">
      <w:pPr>
        <w:pStyle w:val="3"/>
        <w:spacing w:before="103"/>
      </w:pPr>
      <w:r>
        <w:t>Table 30: Outcome of hyperkalaemic cardiac arrest with RRT during CPR.</w:t>
      </w:r>
    </w:p>
    <w:p w:rsidR="008F03B5" w:rsidRDefault="00586B9B">
      <w:pPr>
        <w:spacing w:before="43"/>
        <w:ind w:left="217"/>
        <w:rPr>
          <w:sz w:val="20"/>
        </w:rPr>
      </w:pPr>
      <w:r>
        <w:rPr>
          <w:sz w:val="20"/>
        </w:rPr>
        <w:t>(ns = not specified)</w:t>
      </w:r>
    </w:p>
    <w:p w:rsidR="008F03B5" w:rsidRDefault="008F03B5">
      <w:pPr>
        <w:pStyle w:val="a3"/>
        <w:rPr>
          <w:sz w:val="20"/>
        </w:rPr>
      </w:pPr>
    </w:p>
    <w:p w:rsidR="008F03B5" w:rsidRDefault="008F03B5">
      <w:pPr>
        <w:pStyle w:val="a3"/>
        <w:spacing w:before="11"/>
        <w:rPr>
          <w:sz w:val="24"/>
        </w:rPr>
      </w:pPr>
    </w:p>
    <w:p w:rsidR="008F03B5" w:rsidRDefault="00586B9B">
      <w:pPr>
        <w:pStyle w:val="a3"/>
        <w:spacing w:line="276" w:lineRule="auto"/>
        <w:ind w:left="217" w:right="321"/>
      </w:pPr>
      <w:r>
        <w:t>The severity of hyperkalaemia is a good indicator of the likelihood of achieving and sustaining ROSC. Analysis of the case reports shown above in Table 30 reveals that the mean serum K+ at the time of cardiac arrest was 9.2 mmol/l (range 8.3-10.2 mmol/l). The mean serum K+ at ROSC was 6.1 mmol/l (range 4.2-7.6</w:t>
      </w:r>
      <w:r w:rsidR="00194032">
        <w:t xml:space="preserve"> </w:t>
      </w:r>
      <w:r>
        <w:t>mmol/l) in patients who received a haemodialysis modality. Therefore, the mean reduction in K+ required to achieve ROSC was 3.01 mmol/l (range 1.3-5.0 mmol/l) and this would be difficult to achieve with drugs alone.</w:t>
      </w:r>
    </w:p>
    <w:p w:rsidR="008F03B5" w:rsidRDefault="00586B9B" w:rsidP="00194032">
      <w:pPr>
        <w:pStyle w:val="a3"/>
        <w:spacing w:before="120"/>
        <w:ind w:left="217"/>
      </w:pPr>
      <w:r>
        <w:t>The term ‘extreme hyperkalaemia’ has been used in the literature.[20-22] It has been defined as a serum K+</w:t>
      </w:r>
      <w:r w:rsidR="00194032">
        <w:t xml:space="preserve"> &gt; </w:t>
      </w:r>
      <w:r>
        <w:t>9.0 mmol/l</w:t>
      </w:r>
      <w:r w:rsidR="00903055">
        <w:t>.</w:t>
      </w:r>
      <w:r w:rsidR="00903055" w:rsidRPr="00194032">
        <w:rPr>
          <w:vertAlign w:val="superscript"/>
        </w:rPr>
        <w:t>23</w:t>
      </w:r>
      <w:r w:rsidR="00903055">
        <w:t xml:space="preserve"> </w:t>
      </w:r>
      <w:r w:rsidR="00903055">
        <w:rPr>
          <w:rFonts w:ascii="宋体" w:eastAsia="宋体" w:hAnsi="宋体" w:cs="宋体" w:hint="eastAsia"/>
        </w:rPr>
        <w:t>。。</w:t>
      </w:r>
      <w:r w:rsidR="00903055">
        <w:t>W</w:t>
      </w:r>
      <w:r>
        <w:t>ang et al reported no survivors in patients with a serum K+ &gt; 9.4 mmol/l treated without dialysis during CPR</w:t>
      </w:r>
      <w:r w:rsidR="00903055">
        <w:t>.</w:t>
      </w:r>
      <w:r w:rsidR="00903055" w:rsidRPr="00194032">
        <w:rPr>
          <w:vertAlign w:val="superscript"/>
        </w:rPr>
        <w:t>1</w:t>
      </w:r>
      <w:r w:rsidR="00903055">
        <w:t xml:space="preserve"> </w:t>
      </w:r>
      <w:r w:rsidR="00903055">
        <w:rPr>
          <w:rFonts w:ascii="宋体" w:eastAsia="宋体" w:hAnsi="宋体" w:cs="宋体" w:hint="eastAsia"/>
        </w:rPr>
        <w:t>。。</w:t>
      </w:r>
      <w:r w:rsidR="00903055">
        <w:t>I</w:t>
      </w:r>
      <w:r>
        <w:t>n contrast, in the series of patients treated with dialysis during CPR (Table 30),</w:t>
      </w:r>
      <w:r w:rsidRPr="00194032">
        <w:rPr>
          <w:spacing w:val="-31"/>
        </w:rPr>
        <w:t xml:space="preserve"> </w:t>
      </w:r>
      <w:r>
        <w:t>9/15</w:t>
      </w:r>
      <w:r w:rsidR="00194032">
        <w:t xml:space="preserve"> </w:t>
      </w:r>
      <w:r>
        <w:t>(60%) had a serum K+ &gt; 9.0 mmol/l and 7/9 (78%) survived with full neurological recovery. Although this evidence is limited and subject to publication bias, it would suggest that dialysis during CPR can potentially improve the outcome for patients with extreme hyperkalaemia.</w:t>
      </w:r>
    </w:p>
    <w:p w:rsidR="008F03B5" w:rsidRDefault="00586B9B">
      <w:pPr>
        <w:pStyle w:val="a3"/>
        <w:spacing w:before="120" w:line="276" w:lineRule="auto"/>
        <w:ind w:left="217" w:right="330"/>
      </w:pPr>
      <w:r>
        <w:lastRenderedPageBreak/>
        <w:t>The ERC Guidelines (2015) suggest considering dialysis initiation for hyperkalaemic cardiac arrest resistant to medical therapy</w:t>
      </w:r>
      <w:r w:rsidR="00903055">
        <w:t>.</w:t>
      </w:r>
      <w:r w:rsidR="00903055">
        <w:rPr>
          <w:vertAlign w:val="superscript"/>
        </w:rPr>
        <w:t>24</w:t>
      </w:r>
      <w:r w:rsidR="00903055">
        <w:t xml:space="preserve"> </w:t>
      </w:r>
      <w:r w:rsidR="00903055">
        <w:rPr>
          <w:rFonts w:ascii="宋体" w:eastAsia="宋体" w:hAnsi="宋体" w:cs="宋体" w:hint="eastAsia"/>
        </w:rPr>
        <w:t>。。</w:t>
      </w:r>
      <w:r w:rsidR="00903055">
        <w:t>T</w:t>
      </w:r>
      <w:r>
        <w:t>his recommendation was based on several considerations:</w:t>
      </w:r>
    </w:p>
    <w:p w:rsidR="008F03B5" w:rsidRDefault="00586B9B">
      <w:pPr>
        <w:pStyle w:val="a4"/>
        <w:numPr>
          <w:ilvl w:val="1"/>
          <w:numId w:val="38"/>
        </w:numPr>
        <w:tabs>
          <w:tab w:val="left" w:pos="937"/>
          <w:tab w:val="left" w:pos="939"/>
        </w:tabs>
        <w:spacing w:before="120" w:line="276" w:lineRule="auto"/>
        <w:ind w:right="309"/>
      </w:pPr>
      <w:r>
        <w:t>Firstly, the reports of successful outcomes of hyperkalaemic cardiac arrest have demonstrated that it is technically feasible to dialyse during CPR. With the aid of the blood pump, a blood flow rate of up to 200 ml/min can be achieved with a chest compression rate of</w:t>
      </w:r>
      <w:r>
        <w:rPr>
          <w:spacing w:val="-18"/>
        </w:rPr>
        <w:t xml:space="preserve"> </w:t>
      </w:r>
      <w:r>
        <w:t>100/min.</w:t>
      </w:r>
    </w:p>
    <w:p w:rsidR="008F03B5" w:rsidRDefault="00586B9B">
      <w:pPr>
        <w:pStyle w:val="a4"/>
        <w:numPr>
          <w:ilvl w:val="1"/>
          <w:numId w:val="38"/>
        </w:numPr>
        <w:tabs>
          <w:tab w:val="left" w:pos="937"/>
          <w:tab w:val="left" w:pos="939"/>
        </w:tabs>
        <w:spacing w:line="276" w:lineRule="auto"/>
        <w:ind w:right="1327"/>
      </w:pPr>
      <w:r>
        <w:t>Secondly, it seems logical to consider the most effective intervention for the most serious complication of hyperkalaemia, particularly when unresponsive to medical</w:t>
      </w:r>
      <w:r>
        <w:rPr>
          <w:spacing w:val="-14"/>
        </w:rPr>
        <w:t xml:space="preserve"> </w:t>
      </w:r>
      <w:r>
        <w:t>therapies.</w:t>
      </w:r>
    </w:p>
    <w:p w:rsidR="008F03B5" w:rsidRDefault="00586B9B">
      <w:pPr>
        <w:pStyle w:val="a4"/>
        <w:numPr>
          <w:ilvl w:val="1"/>
          <w:numId w:val="38"/>
        </w:numPr>
        <w:tabs>
          <w:tab w:val="left" w:pos="937"/>
          <w:tab w:val="left" w:pos="939"/>
        </w:tabs>
        <w:spacing w:before="2" w:line="276" w:lineRule="auto"/>
        <w:ind w:right="583"/>
      </w:pPr>
      <w:r>
        <w:t>Thirdly, other invasive procedures are recommended for other special circumstances of cardiac arrest - cardiopulmonary bypass for hypothermia, chest drain insertion for tension pneumothorax and pericardiocentesis for cardiac tamponade. ECMO has also become increasingly utilised in resuscitation, including in hyperkalaemic cardiac arrest. Therefore, there is a clear rationale to considering dialysis in refractory</w:t>
      </w:r>
      <w:r>
        <w:rPr>
          <w:spacing w:val="-3"/>
        </w:rPr>
        <w:t xml:space="preserve"> </w:t>
      </w:r>
      <w:r>
        <w:t>hyperkalaemia.</w:t>
      </w:r>
    </w:p>
    <w:p w:rsidR="008F03B5" w:rsidRDefault="00586B9B">
      <w:pPr>
        <w:pStyle w:val="a4"/>
        <w:numPr>
          <w:ilvl w:val="1"/>
          <w:numId w:val="38"/>
        </w:numPr>
        <w:tabs>
          <w:tab w:val="left" w:pos="937"/>
          <w:tab w:val="left" w:pos="939"/>
        </w:tabs>
        <w:spacing w:line="276" w:lineRule="auto"/>
        <w:ind w:right="302"/>
      </w:pPr>
      <w:r>
        <w:t>Fourthly, survival in patients with extreme hyperkalaemia is very low without the initiation of dialysis during</w:t>
      </w:r>
      <w:r>
        <w:rPr>
          <w:spacing w:val="-1"/>
        </w:rPr>
        <w:t xml:space="preserve"> </w:t>
      </w:r>
      <w:r>
        <w:t>CPR.</w:t>
      </w:r>
    </w:p>
    <w:p w:rsidR="008F03B5" w:rsidRDefault="00586B9B">
      <w:pPr>
        <w:pStyle w:val="a4"/>
        <w:numPr>
          <w:ilvl w:val="1"/>
          <w:numId w:val="38"/>
        </w:numPr>
        <w:tabs>
          <w:tab w:val="left" w:pos="939"/>
        </w:tabs>
        <w:spacing w:line="276" w:lineRule="auto"/>
        <w:ind w:right="376"/>
        <w:jc w:val="both"/>
      </w:pPr>
      <w:r>
        <w:t>Lastly, the evidence base for other interventions for hyperkalaemia, particularly calcium salts, is also limited, but has become standard medical practice. Large scale studies are unlikely to be feasible to demonstrate the efficacy of dialysis during</w:t>
      </w:r>
      <w:r>
        <w:rPr>
          <w:spacing w:val="-2"/>
        </w:rPr>
        <w:t xml:space="preserve"> </w:t>
      </w:r>
      <w:r>
        <w:t>CPR.</w:t>
      </w:r>
    </w:p>
    <w:p w:rsidR="008F03B5" w:rsidRDefault="00586B9B">
      <w:pPr>
        <w:pStyle w:val="a3"/>
        <w:spacing w:before="118" w:line="276" w:lineRule="auto"/>
        <w:ind w:left="217" w:right="339"/>
      </w:pPr>
      <w:r>
        <w:t>The practical approach to resuscitation for refractory hyperkalaemic cardiac arrest is not included in renal specialist training programs. There may also be a reluctance to consider dialysis during CPR with the anticipation of technique failure. The resuscitation team will rely on the renal team for guidance. Given the sparsity of information available, a review of the modifications in advanced life support in dialysis patients was previously reported</w:t>
      </w:r>
      <w:r w:rsidR="00903055">
        <w:t>.</w:t>
      </w:r>
      <w:r w:rsidR="00903055">
        <w:rPr>
          <w:vertAlign w:val="superscript"/>
        </w:rPr>
        <w:t>25</w:t>
      </w:r>
      <w:r w:rsidR="00903055">
        <w:t xml:space="preserve"> </w:t>
      </w:r>
      <w:r w:rsidR="00903055">
        <w:rPr>
          <w:rFonts w:ascii="宋体" w:eastAsia="宋体" w:hAnsi="宋体" w:cs="宋体" w:hint="eastAsia"/>
        </w:rPr>
        <w:t>。。</w:t>
      </w:r>
      <w:r w:rsidR="00903055">
        <w:t>A</w:t>
      </w:r>
      <w:r>
        <w:t>n update and summary of the procedure is outlined in Table 31.</w:t>
      </w:r>
    </w:p>
    <w:p w:rsidR="008F03B5" w:rsidRDefault="00586B9B">
      <w:pPr>
        <w:pStyle w:val="a3"/>
        <w:spacing w:before="122" w:line="276" w:lineRule="auto"/>
        <w:ind w:left="217" w:right="601"/>
      </w:pPr>
      <w:r>
        <w:t>Once CPR is underway, initiate medical treatment for hyperkalaemia and seek expert help early. If hyperkalaemia is suspected, treat even before the serum K+ is known. Monitor serum K+ (using blood gas analyser) every 15 minutes to assess response to treatment. Monitor blood glucose to assess for hypoglycaemia.</w:t>
      </w:r>
    </w:p>
    <w:p w:rsidR="008F03B5" w:rsidRDefault="00586B9B">
      <w:pPr>
        <w:pStyle w:val="a3"/>
        <w:spacing w:before="119" w:line="276" w:lineRule="auto"/>
        <w:ind w:left="217" w:right="339"/>
      </w:pPr>
      <w:r>
        <w:t>Next, consider if medical treatment alone is likely to be effective. Ultimately, the severity of hyperkalaemia, the initial response to medical therapy, the suitability of the patient and the availability of dialysis facilities provide the best guide for considering dialysis in cardiac arrest. This intervention is unlikely to be available outwith a Renal Unit or Critical Care area.</w:t>
      </w:r>
    </w:p>
    <w:p w:rsidR="008F03B5" w:rsidRDefault="00586B9B">
      <w:pPr>
        <w:pStyle w:val="a3"/>
        <w:spacing w:before="120" w:line="276" w:lineRule="auto"/>
        <w:ind w:left="217" w:right="315"/>
      </w:pPr>
      <w:r>
        <w:t>Next, plan ahead and consider the timing for initiation of dialysis. Analysis of the case reports suggest that the mean duration of CPR before initiation of dialysis was 89 minutes (range 15-165 minutes). The mean duration of dialysis to achieve ROSC was 50 minutes (range 15-95 minutes). There appeared to be an inverse relationship between duration of CPR and duration of dialysis required to achieve ROSC. Given that dialysis initiation will require some planning, it is reasonable to start preparations early and to consider initiation if ROSC is not achieved within 15 minutes.</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a3"/>
        <w:spacing w:before="116" w:line="276" w:lineRule="auto"/>
        <w:ind w:left="217" w:right="546"/>
      </w:pPr>
      <w:r>
        <w:lastRenderedPageBreak/>
        <w:t>Use existing dialysis access (i.e. fistula or tunnel dialysis catheter) to initiate dialysis if available. If dialysis access is not available, the most practical approach during cardiac arrest is the insertion of a femoral line using ultrasound guidance.</w:t>
      </w:r>
    </w:p>
    <w:p w:rsidR="008F03B5" w:rsidRDefault="00586B9B">
      <w:pPr>
        <w:pStyle w:val="a3"/>
        <w:spacing w:before="120" w:line="276" w:lineRule="auto"/>
        <w:ind w:left="217" w:right="682"/>
      </w:pPr>
      <w:r>
        <w:t>Anticipate that the resuscitation attempt will be prolonged. Consider the use of mechanical devices to perform chest compressions (e.g. LUCAS2, Autopulse). Where available, use ECMO to optimise perfusion during prolonged cardiac arrest management.</w:t>
      </w:r>
      <w:r>
        <w:rPr>
          <w:vertAlign w:val="superscript"/>
        </w:rPr>
        <w:t>6,</w:t>
      </w:r>
      <w:r>
        <w:t xml:space="preserve"> </w:t>
      </w:r>
      <w:r>
        <w:rPr>
          <w:vertAlign w:val="superscript"/>
        </w:rPr>
        <w:t>11-14</w:t>
      </w:r>
    </w:p>
    <w:p w:rsidR="008F03B5" w:rsidRDefault="00586B9B">
      <w:pPr>
        <w:pStyle w:val="a3"/>
        <w:spacing w:before="120" w:line="276" w:lineRule="auto"/>
        <w:ind w:left="217" w:right="428"/>
      </w:pPr>
      <w:r>
        <w:t>Given that defibrillation is frequently unsuccessful until the serum K+ is controlled, analogous to rewarming for hypothermic cardiac arrest, RRT should be considered for refractory hyperkalaemic cardiac arrest if deemed clinically appropriate and suitable facilities and staff are available.</w:t>
      </w:r>
    </w:p>
    <w:p w:rsidR="008F03B5" w:rsidRDefault="00586B9B">
      <w:pPr>
        <w:spacing w:before="121"/>
        <w:ind w:left="217"/>
      </w:pPr>
      <w:r>
        <w:rPr>
          <w:i/>
        </w:rPr>
        <w:t xml:space="preserve">“Like most things in life, you may not always succeed, but failure is usually guaranteed if you do not try.” </w:t>
      </w:r>
      <w:r>
        <w:rPr>
          <w:vertAlign w:val="superscript"/>
        </w:rPr>
        <w:t>26</w:t>
      </w:r>
    </w:p>
    <w:p w:rsidR="008F03B5" w:rsidRDefault="008F03B5">
      <w:pPr>
        <w:sectPr w:rsidR="008F03B5">
          <w:pgSz w:w="11910" w:h="16840"/>
          <w:pgMar w:top="1540" w:right="780" w:bottom="1100" w:left="860" w:header="425" w:footer="912" w:gutter="0"/>
          <w:cols w:space="720"/>
        </w:sectPr>
      </w:pPr>
    </w:p>
    <w:p w:rsidR="008F03B5" w:rsidRDefault="008F03B5">
      <w:pPr>
        <w:pStyle w:val="a3"/>
        <w:spacing w:before="4"/>
        <w:rPr>
          <w:sz w:val="14"/>
        </w:rPr>
      </w:pPr>
    </w:p>
    <w:p w:rsidR="008F03B5" w:rsidRDefault="009A3CBD">
      <w:pPr>
        <w:pStyle w:val="3"/>
        <w:spacing w:before="57"/>
        <w:ind w:left="272"/>
      </w:pPr>
      <w:r>
        <w:pict>
          <v:group id="_x0000_s1027" style="position:absolute;left:0;text-align:left;margin-left:48.65pt;margin-top:-1.3pt;width:493.05pt;height:516.75pt;z-index:-21185536;mso-position-horizontal-relative:page" coordorigin="973,-26" coordsize="9861,10335">
            <v:rect id="_x0000_s1032" style="position:absolute;left:981;top:-19;width:9846;height:10320" fillcolor="#deebf7" stroked="f"/>
            <v:rect id="_x0000_s1031" style="position:absolute;left:981;top:-19;width:9846;height:10320" filled="f"/>
            <v:shape id="_x0000_s1030" style="position:absolute;left:1104;top:60;width:9605;height:10164" coordorigin="1104,60" coordsize="9605,10164" o:spt="100" adj="0,,0" path="m10708,9649r-9604,l1104,10086r,137l10708,10223r,-137l10708,9649xm10708,3108r-9604,l1104,3389r,281l1104,3939r,269l1104,4477r,278l1104,5036r,281l1104,5597r,279l1104,6157r,l1104,6426r,269l1104,7163r,280l1104,7724r,279l1104,8271r,269l1104,8809r,281l1104,9371r,278l10708,9649r,-278l10708,9090r,-281l10708,8540r,-269l10708,8003r,-279l10708,7443r,-280l10708,6695r,-269l10708,6157r,l10708,5876r,-279l10708,5317r,-281l10708,4755r,-278l10708,4208r,-269l10708,3670r,-281l10708,3108xm10708,60r-9604,l1104,329r,281l1104,890r,281l1104,1450r,268l1104,1987r,281l1104,2549r,281l1104,3108r9604,l10708,2830r,-281l10708,2268r,-281l10708,1718r,-268l10708,1171r,-281l10708,610r,-281l10708,60xe" fillcolor="#deeaf6"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8973;top:6703;width:449;height:399">
              <v:imagedata r:id="rId19" o:title=""/>
            </v:shape>
            <v:shape id="_x0000_s1028" type="#_x0000_t75" style="position:absolute;left:9422;top:6693;width:830;height:410">
              <v:imagedata r:id="rId20" o:title=""/>
            </v:shape>
            <w10:wrap anchorx="page"/>
          </v:group>
        </w:pict>
      </w:r>
      <w:r w:rsidR="00586B9B">
        <w:t>Initial Approach</w:t>
      </w:r>
    </w:p>
    <w:p w:rsidR="008F03B5" w:rsidRDefault="00586B9B">
      <w:pPr>
        <w:pStyle w:val="a4"/>
        <w:numPr>
          <w:ilvl w:val="0"/>
          <w:numId w:val="37"/>
        </w:numPr>
        <w:tabs>
          <w:tab w:val="left" w:pos="633"/>
          <w:tab w:val="left" w:pos="634"/>
        </w:tabs>
        <w:ind w:left="633" w:hanging="362"/>
        <w:rPr>
          <w:rFonts w:ascii="Symbol" w:hAnsi="Symbol"/>
        </w:rPr>
      </w:pPr>
      <w:r>
        <w:t>Follow ALS Algorithm</w:t>
      </w:r>
    </w:p>
    <w:p w:rsidR="008F03B5" w:rsidRDefault="00586B9B">
      <w:pPr>
        <w:pStyle w:val="a4"/>
        <w:numPr>
          <w:ilvl w:val="0"/>
          <w:numId w:val="37"/>
        </w:numPr>
        <w:tabs>
          <w:tab w:val="left" w:pos="633"/>
          <w:tab w:val="left" w:pos="634"/>
        </w:tabs>
        <w:spacing w:before="1"/>
        <w:ind w:left="633" w:hanging="362"/>
        <w:rPr>
          <w:rFonts w:ascii="Symbol" w:hAnsi="Symbol"/>
        </w:rPr>
      </w:pPr>
      <w:r>
        <w:t>Give medical treatment for hyperkalaemia during CPR as per Hyperkalaemic Cardiac Arrest</w:t>
      </w:r>
      <w:r>
        <w:rPr>
          <w:spacing w:val="-20"/>
        </w:rPr>
        <w:t xml:space="preserve"> </w:t>
      </w:r>
      <w:r>
        <w:t>Algorithm</w:t>
      </w:r>
    </w:p>
    <w:p w:rsidR="008F03B5" w:rsidRDefault="00586B9B">
      <w:pPr>
        <w:pStyle w:val="a4"/>
        <w:numPr>
          <w:ilvl w:val="0"/>
          <w:numId w:val="37"/>
        </w:numPr>
        <w:tabs>
          <w:tab w:val="left" w:pos="633"/>
          <w:tab w:val="left" w:pos="634"/>
        </w:tabs>
        <w:ind w:left="633" w:hanging="362"/>
        <w:rPr>
          <w:rFonts w:ascii="Symbol" w:hAnsi="Symbol"/>
        </w:rPr>
      </w:pPr>
      <w:r>
        <w:t>Refer for Expert</w:t>
      </w:r>
      <w:r>
        <w:rPr>
          <w:spacing w:val="-5"/>
        </w:rPr>
        <w:t xml:space="preserve"> </w:t>
      </w:r>
      <w:r>
        <w:t>Help</w:t>
      </w:r>
    </w:p>
    <w:p w:rsidR="008F03B5" w:rsidRDefault="00586B9B">
      <w:pPr>
        <w:pStyle w:val="a4"/>
        <w:numPr>
          <w:ilvl w:val="0"/>
          <w:numId w:val="37"/>
        </w:numPr>
        <w:tabs>
          <w:tab w:val="left" w:pos="633"/>
          <w:tab w:val="left" w:pos="634"/>
        </w:tabs>
        <w:spacing w:before="1"/>
        <w:ind w:left="633" w:hanging="362"/>
        <w:rPr>
          <w:rFonts w:ascii="Symbol" w:hAnsi="Symbol"/>
        </w:rPr>
      </w:pPr>
      <w:r>
        <w:t>Consider mechanical chest compression</w:t>
      </w:r>
      <w:r>
        <w:rPr>
          <w:spacing w:val="-7"/>
        </w:rPr>
        <w:t xml:space="preserve"> </w:t>
      </w:r>
      <w:r>
        <w:t>device</w:t>
      </w:r>
    </w:p>
    <w:p w:rsidR="008F03B5" w:rsidRDefault="008F03B5">
      <w:pPr>
        <w:pStyle w:val="a3"/>
        <w:spacing w:before="10"/>
        <w:rPr>
          <w:sz w:val="21"/>
        </w:rPr>
      </w:pPr>
    </w:p>
    <w:p w:rsidR="008F03B5" w:rsidRDefault="00586B9B">
      <w:pPr>
        <w:pStyle w:val="3"/>
        <w:ind w:left="272"/>
      </w:pPr>
      <w:r>
        <w:t>Preparation for Dialysis Initiation</w:t>
      </w:r>
    </w:p>
    <w:p w:rsidR="008F03B5" w:rsidRDefault="00586B9B">
      <w:pPr>
        <w:pStyle w:val="a4"/>
        <w:numPr>
          <w:ilvl w:val="0"/>
          <w:numId w:val="37"/>
        </w:numPr>
        <w:tabs>
          <w:tab w:val="left" w:pos="633"/>
          <w:tab w:val="left" w:pos="634"/>
        </w:tabs>
        <w:spacing w:before="1"/>
        <w:ind w:left="633" w:hanging="362"/>
        <w:rPr>
          <w:rFonts w:ascii="Symbol" w:hAnsi="Symbol"/>
        </w:rPr>
      </w:pPr>
      <w:r>
        <w:t>If ROSC not achieved within 15 minutes consider initiating dialysis if clinically</w:t>
      </w:r>
      <w:r>
        <w:rPr>
          <w:spacing w:val="-10"/>
        </w:rPr>
        <w:t xml:space="preserve"> </w:t>
      </w:r>
      <w:r>
        <w:t>appropriate.</w:t>
      </w:r>
    </w:p>
    <w:p w:rsidR="008F03B5" w:rsidRDefault="00586B9B">
      <w:pPr>
        <w:pStyle w:val="a4"/>
        <w:numPr>
          <w:ilvl w:val="0"/>
          <w:numId w:val="37"/>
        </w:numPr>
        <w:tabs>
          <w:tab w:val="left" w:pos="630"/>
          <w:tab w:val="left" w:pos="631"/>
        </w:tabs>
        <w:ind w:hanging="359"/>
        <w:rPr>
          <w:rFonts w:ascii="Symbol" w:hAnsi="Symbol"/>
        </w:rPr>
      </w:pPr>
      <w:r>
        <w:t>Choose RRT modality depending on local</w:t>
      </w:r>
      <w:r>
        <w:rPr>
          <w:spacing w:val="-6"/>
        </w:rPr>
        <w:t xml:space="preserve"> </w:t>
      </w:r>
      <w:r>
        <w:t>availability</w:t>
      </w:r>
    </w:p>
    <w:p w:rsidR="008F03B5" w:rsidRDefault="00586B9B">
      <w:pPr>
        <w:pStyle w:val="a4"/>
        <w:numPr>
          <w:ilvl w:val="0"/>
          <w:numId w:val="37"/>
        </w:numPr>
        <w:tabs>
          <w:tab w:val="left" w:pos="630"/>
          <w:tab w:val="left" w:pos="631"/>
        </w:tabs>
        <w:spacing w:before="1"/>
        <w:ind w:hanging="359"/>
        <w:rPr>
          <w:rFonts w:ascii="Symbol" w:hAnsi="Symbol"/>
        </w:rPr>
      </w:pPr>
      <w:r>
        <w:t>Consider ECMO if</w:t>
      </w:r>
      <w:r>
        <w:rPr>
          <w:spacing w:val="-1"/>
        </w:rPr>
        <w:t xml:space="preserve"> </w:t>
      </w:r>
      <w:r>
        <w:t>available</w:t>
      </w:r>
    </w:p>
    <w:p w:rsidR="008F03B5" w:rsidRDefault="00586B9B">
      <w:pPr>
        <w:pStyle w:val="a4"/>
        <w:numPr>
          <w:ilvl w:val="0"/>
          <w:numId w:val="37"/>
        </w:numPr>
        <w:tabs>
          <w:tab w:val="left" w:pos="630"/>
          <w:tab w:val="left" w:pos="631"/>
        </w:tabs>
        <w:spacing w:line="280" w:lineRule="exact"/>
        <w:ind w:hanging="359"/>
        <w:rPr>
          <w:rFonts w:ascii="Symbol" w:hAnsi="Symbol"/>
        </w:rPr>
      </w:pPr>
      <w:r>
        <w:t>Use renal trained nurse (preferably two) to deliver dialysis</w:t>
      </w:r>
      <w:r>
        <w:rPr>
          <w:spacing w:val="-8"/>
        </w:rPr>
        <w:t xml:space="preserve"> </w:t>
      </w:r>
      <w:r>
        <w:t>treatment</w:t>
      </w:r>
    </w:p>
    <w:p w:rsidR="008F03B5" w:rsidRDefault="00586B9B">
      <w:pPr>
        <w:pStyle w:val="a4"/>
        <w:numPr>
          <w:ilvl w:val="0"/>
          <w:numId w:val="37"/>
        </w:numPr>
        <w:tabs>
          <w:tab w:val="left" w:pos="630"/>
          <w:tab w:val="left" w:pos="631"/>
        </w:tabs>
        <w:spacing w:line="280" w:lineRule="exact"/>
        <w:ind w:hanging="359"/>
        <w:rPr>
          <w:rFonts w:ascii="Symbol" w:hAnsi="Symbol"/>
        </w:rPr>
      </w:pPr>
      <w:r>
        <w:t>Prepare dialysis machine with a low K</w:t>
      </w:r>
      <w:r>
        <w:rPr>
          <w:vertAlign w:val="superscript"/>
        </w:rPr>
        <w:t>+</w:t>
      </w:r>
      <w:r>
        <w:rPr>
          <w:spacing w:val="-6"/>
        </w:rPr>
        <w:t xml:space="preserve"> </w:t>
      </w:r>
      <w:r>
        <w:t>dialysate</w:t>
      </w:r>
    </w:p>
    <w:p w:rsidR="008F03B5" w:rsidRDefault="00586B9B">
      <w:pPr>
        <w:pStyle w:val="a4"/>
        <w:numPr>
          <w:ilvl w:val="0"/>
          <w:numId w:val="37"/>
        </w:numPr>
        <w:tabs>
          <w:tab w:val="left" w:pos="630"/>
          <w:tab w:val="left" w:pos="631"/>
        </w:tabs>
        <w:spacing w:before="1"/>
        <w:ind w:right="989" w:hanging="359"/>
        <w:rPr>
          <w:rFonts w:ascii="Symbol" w:hAnsi="Symbol"/>
        </w:rPr>
      </w:pPr>
      <w:r>
        <w:t>Use existing dialysis access (i.e fistula or line) if available or alternatively insert dialysis line whilst machine is being prepared - use femoral vein with ultrasound guidance; easier site during</w:t>
      </w:r>
      <w:r>
        <w:rPr>
          <w:spacing w:val="-21"/>
        </w:rPr>
        <w:t xml:space="preserve"> </w:t>
      </w:r>
      <w:r>
        <w:t>CPR</w:t>
      </w:r>
    </w:p>
    <w:p w:rsidR="008F03B5" w:rsidRDefault="008F03B5">
      <w:pPr>
        <w:pStyle w:val="a3"/>
      </w:pPr>
    </w:p>
    <w:p w:rsidR="008F03B5" w:rsidRDefault="00586B9B">
      <w:pPr>
        <w:pStyle w:val="3"/>
        <w:ind w:left="272"/>
      </w:pPr>
      <w:r>
        <w:t>Initiation of Dialysis during CPR</w:t>
      </w:r>
    </w:p>
    <w:p w:rsidR="008F03B5" w:rsidRDefault="00586B9B">
      <w:pPr>
        <w:pStyle w:val="a4"/>
        <w:numPr>
          <w:ilvl w:val="0"/>
          <w:numId w:val="37"/>
        </w:numPr>
        <w:tabs>
          <w:tab w:val="left" w:pos="630"/>
          <w:tab w:val="left" w:pos="631"/>
        </w:tabs>
        <w:spacing w:before="1" w:line="279" w:lineRule="exact"/>
        <w:ind w:hanging="359"/>
        <w:rPr>
          <w:rFonts w:ascii="Symbol" w:hAnsi="Symbol"/>
        </w:rPr>
      </w:pPr>
      <w:r>
        <w:t>Give fluid bolus (250ml) once connected to dialysis machine and record starting</w:t>
      </w:r>
      <w:r>
        <w:rPr>
          <w:spacing w:val="-10"/>
        </w:rPr>
        <w:t xml:space="preserve"> </w:t>
      </w:r>
      <w:r>
        <w:t>time</w:t>
      </w:r>
    </w:p>
    <w:p w:rsidR="008F03B5" w:rsidRDefault="00586B9B">
      <w:pPr>
        <w:pStyle w:val="a4"/>
        <w:numPr>
          <w:ilvl w:val="0"/>
          <w:numId w:val="37"/>
        </w:numPr>
        <w:tabs>
          <w:tab w:val="left" w:pos="630"/>
          <w:tab w:val="left" w:pos="631"/>
        </w:tabs>
        <w:spacing w:line="279" w:lineRule="exact"/>
        <w:ind w:hanging="359"/>
        <w:rPr>
          <w:rFonts w:ascii="Symbol" w:hAnsi="Symbol"/>
        </w:rPr>
      </w:pPr>
      <w:r>
        <w:t>Start with pump speed of 100ml/min and gradually increase aiming for</w:t>
      </w:r>
      <w:r>
        <w:rPr>
          <w:spacing w:val="-17"/>
        </w:rPr>
        <w:t xml:space="preserve"> </w:t>
      </w:r>
      <w:r>
        <w:t>200ml/min</w:t>
      </w:r>
    </w:p>
    <w:p w:rsidR="008F03B5" w:rsidRDefault="00586B9B">
      <w:pPr>
        <w:pStyle w:val="a4"/>
        <w:numPr>
          <w:ilvl w:val="0"/>
          <w:numId w:val="37"/>
        </w:numPr>
        <w:tabs>
          <w:tab w:val="left" w:pos="630"/>
          <w:tab w:val="left" w:pos="631"/>
        </w:tabs>
        <w:spacing w:before="1"/>
        <w:ind w:hanging="359"/>
        <w:rPr>
          <w:rFonts w:ascii="Symbol" w:hAnsi="Symbol"/>
        </w:rPr>
      </w:pPr>
      <w:r>
        <w:t>Give anticoagulation unless contraindicated (e.g. history of</w:t>
      </w:r>
      <w:r>
        <w:rPr>
          <w:spacing w:val="-9"/>
        </w:rPr>
        <w:t xml:space="preserve"> </w:t>
      </w:r>
      <w:r>
        <w:t>trauma)</w:t>
      </w:r>
    </w:p>
    <w:p w:rsidR="008F03B5" w:rsidRDefault="00586B9B">
      <w:pPr>
        <w:pStyle w:val="a4"/>
        <w:numPr>
          <w:ilvl w:val="0"/>
          <w:numId w:val="37"/>
        </w:numPr>
        <w:tabs>
          <w:tab w:val="left" w:pos="630"/>
          <w:tab w:val="left" w:pos="631"/>
        </w:tabs>
        <w:ind w:hanging="359"/>
        <w:rPr>
          <w:rFonts w:ascii="Symbol" w:hAnsi="Symbol"/>
        </w:rPr>
      </w:pPr>
      <w:r>
        <w:t>Give further IV Calcium Chloride if resuscitation is</w:t>
      </w:r>
      <w:r>
        <w:rPr>
          <w:spacing w:val="-6"/>
        </w:rPr>
        <w:t xml:space="preserve"> </w:t>
      </w:r>
      <w:r>
        <w:t>prolonged</w:t>
      </w:r>
    </w:p>
    <w:p w:rsidR="008F03B5" w:rsidRDefault="00586B9B">
      <w:pPr>
        <w:pStyle w:val="a4"/>
        <w:numPr>
          <w:ilvl w:val="0"/>
          <w:numId w:val="37"/>
        </w:numPr>
        <w:tabs>
          <w:tab w:val="left" w:pos="630"/>
          <w:tab w:val="left" w:pos="631"/>
        </w:tabs>
        <w:spacing w:before="1" w:line="279" w:lineRule="exact"/>
        <w:ind w:hanging="359"/>
        <w:rPr>
          <w:rFonts w:ascii="Symbol" w:hAnsi="Symbol"/>
        </w:rPr>
      </w:pPr>
      <w:r>
        <w:t>Check K</w:t>
      </w:r>
      <w:r>
        <w:rPr>
          <w:vertAlign w:val="superscript"/>
        </w:rPr>
        <w:t>+</w:t>
      </w:r>
      <w:r>
        <w:t xml:space="preserve"> level at least every 15 min using arterial blood gas analyser and monitor blood</w:t>
      </w:r>
      <w:r>
        <w:rPr>
          <w:spacing w:val="-26"/>
        </w:rPr>
        <w:t xml:space="preserve"> </w:t>
      </w:r>
      <w:r>
        <w:t>glucose</w:t>
      </w:r>
    </w:p>
    <w:p w:rsidR="008F03B5" w:rsidRDefault="00586B9B">
      <w:pPr>
        <w:pStyle w:val="a4"/>
        <w:numPr>
          <w:ilvl w:val="0"/>
          <w:numId w:val="37"/>
        </w:numPr>
        <w:tabs>
          <w:tab w:val="left" w:pos="630"/>
          <w:tab w:val="left" w:pos="631"/>
        </w:tabs>
        <w:spacing w:line="279" w:lineRule="exact"/>
        <w:ind w:hanging="359"/>
        <w:rPr>
          <w:rFonts w:ascii="Symbol" w:hAnsi="Symbol"/>
        </w:rPr>
      </w:pPr>
      <w:r>
        <w:t>Allow time for K</w:t>
      </w:r>
      <w:r>
        <w:rPr>
          <w:vertAlign w:val="superscript"/>
        </w:rPr>
        <w:t>+</w:t>
      </w:r>
      <w:r>
        <w:t>-lowering on dialysis before attempting further</w:t>
      </w:r>
      <w:r>
        <w:rPr>
          <w:spacing w:val="-11"/>
        </w:rPr>
        <w:t xml:space="preserve"> </w:t>
      </w:r>
      <w:r>
        <w:t>defibrillation</w:t>
      </w:r>
    </w:p>
    <w:p w:rsidR="008F03B5" w:rsidRDefault="008F03B5">
      <w:pPr>
        <w:pStyle w:val="a3"/>
      </w:pPr>
    </w:p>
    <w:p w:rsidR="008F03B5" w:rsidRDefault="00586B9B">
      <w:pPr>
        <w:pStyle w:val="3"/>
        <w:spacing w:before="1"/>
        <w:ind w:left="272"/>
      </w:pPr>
      <w:r>
        <w:t>Defibrillation</w:t>
      </w:r>
    </w:p>
    <w:p w:rsidR="008F03B5" w:rsidRDefault="00586B9B">
      <w:pPr>
        <w:pStyle w:val="a4"/>
        <w:numPr>
          <w:ilvl w:val="0"/>
          <w:numId w:val="37"/>
        </w:numPr>
        <w:tabs>
          <w:tab w:val="left" w:pos="633"/>
          <w:tab w:val="left" w:pos="634"/>
        </w:tabs>
        <w:spacing w:before="190" w:line="279" w:lineRule="exact"/>
        <w:ind w:left="633" w:hanging="362"/>
        <w:rPr>
          <w:rFonts w:ascii="Symbol" w:hAnsi="Symbol"/>
        </w:rPr>
      </w:pPr>
      <w:r>
        <w:t>Do not perform defibrillation during dialysis unless machine is</w:t>
      </w:r>
      <w:r>
        <w:rPr>
          <w:spacing w:val="-13"/>
        </w:rPr>
        <w:t xml:space="preserve"> </w:t>
      </w:r>
      <w:r>
        <w:t>defibrillation-proof</w:t>
      </w:r>
    </w:p>
    <w:p w:rsidR="008F03B5" w:rsidRDefault="00586B9B">
      <w:pPr>
        <w:pStyle w:val="a4"/>
        <w:numPr>
          <w:ilvl w:val="0"/>
          <w:numId w:val="37"/>
        </w:numPr>
        <w:tabs>
          <w:tab w:val="left" w:pos="630"/>
          <w:tab w:val="left" w:pos="631"/>
        </w:tabs>
        <w:spacing w:line="279" w:lineRule="exact"/>
        <w:ind w:hanging="359"/>
        <w:rPr>
          <w:rFonts w:ascii="Symbol" w:hAnsi="Symbol"/>
        </w:rPr>
      </w:pPr>
      <w:r>
        <w:t>Disconnect patient from dialysis machine just before defibrillation, then immediately</w:t>
      </w:r>
      <w:r>
        <w:rPr>
          <w:spacing w:val="-13"/>
        </w:rPr>
        <w:t xml:space="preserve"> </w:t>
      </w:r>
      <w:r>
        <w:t>reconnect</w:t>
      </w:r>
    </w:p>
    <w:p w:rsidR="008F03B5" w:rsidRDefault="00586B9B">
      <w:pPr>
        <w:pStyle w:val="a4"/>
        <w:numPr>
          <w:ilvl w:val="0"/>
          <w:numId w:val="37"/>
        </w:numPr>
        <w:tabs>
          <w:tab w:val="left" w:pos="630"/>
          <w:tab w:val="left" w:pos="631"/>
        </w:tabs>
        <w:ind w:hanging="359"/>
        <w:rPr>
          <w:rFonts w:ascii="Symbol" w:hAnsi="Symbol"/>
        </w:rPr>
      </w:pPr>
      <w:r>
        <w:t>If ROSC achieved, resume dialysis until serum K</w:t>
      </w:r>
      <w:r>
        <w:rPr>
          <w:vertAlign w:val="superscript"/>
        </w:rPr>
        <w:t>+</w:t>
      </w:r>
      <w:r>
        <w:t xml:space="preserve"> &lt; 6.5 mmol/L to maintain</w:t>
      </w:r>
      <w:r>
        <w:rPr>
          <w:spacing w:val="-16"/>
        </w:rPr>
        <w:t xml:space="preserve"> </w:t>
      </w:r>
      <w:r>
        <w:t>ROSC</w:t>
      </w:r>
    </w:p>
    <w:p w:rsidR="008F03B5" w:rsidRDefault="00586B9B">
      <w:pPr>
        <w:pStyle w:val="a4"/>
        <w:numPr>
          <w:ilvl w:val="0"/>
          <w:numId w:val="37"/>
        </w:numPr>
        <w:tabs>
          <w:tab w:val="left" w:pos="630"/>
          <w:tab w:val="left" w:pos="631"/>
        </w:tabs>
        <w:spacing w:before="3" w:line="237" w:lineRule="auto"/>
        <w:ind w:right="706" w:hanging="359"/>
        <w:rPr>
          <w:rFonts w:ascii="Symbol" w:hAnsi="Symbol"/>
        </w:rPr>
      </w:pPr>
      <w:r>
        <w:t>If ROSC not achieved, resume dialysis until serum K</w:t>
      </w:r>
      <w:r>
        <w:rPr>
          <w:vertAlign w:val="superscript"/>
        </w:rPr>
        <w:t>+</w:t>
      </w:r>
      <w:r>
        <w:t xml:space="preserve"> &lt; 6.5 mmol/L and attempt defibrillation again if shockable</w:t>
      </w:r>
      <w:r>
        <w:rPr>
          <w:spacing w:val="-3"/>
        </w:rPr>
        <w:t xml:space="preserve"> </w:t>
      </w:r>
      <w:r>
        <w:t>rhythm</w:t>
      </w:r>
    </w:p>
    <w:p w:rsidR="008F03B5" w:rsidRDefault="008F03B5">
      <w:pPr>
        <w:pStyle w:val="a3"/>
        <w:spacing w:before="1"/>
      </w:pPr>
    </w:p>
    <w:p w:rsidR="008F03B5" w:rsidRDefault="00586B9B">
      <w:pPr>
        <w:pStyle w:val="3"/>
        <w:ind w:left="272"/>
      </w:pPr>
      <w:r>
        <w:t>Post-resuscitation care</w:t>
      </w:r>
    </w:p>
    <w:p w:rsidR="008F03B5" w:rsidRDefault="00586B9B">
      <w:pPr>
        <w:pStyle w:val="a4"/>
        <w:numPr>
          <w:ilvl w:val="0"/>
          <w:numId w:val="37"/>
        </w:numPr>
        <w:tabs>
          <w:tab w:val="left" w:pos="630"/>
          <w:tab w:val="left" w:pos="631"/>
        </w:tabs>
        <w:spacing w:before="1"/>
        <w:ind w:hanging="359"/>
        <w:rPr>
          <w:rFonts w:ascii="Symbol" w:hAnsi="Symbol"/>
        </w:rPr>
      </w:pPr>
      <w:r>
        <w:t>Re-assess serum K</w:t>
      </w:r>
      <w:r>
        <w:rPr>
          <w:vertAlign w:val="superscript"/>
        </w:rPr>
        <w:t>+</w:t>
      </w:r>
      <w:r>
        <w:t>, blood glucose and ECG when ROSC</w:t>
      </w:r>
      <w:r>
        <w:rPr>
          <w:spacing w:val="-9"/>
        </w:rPr>
        <w:t xml:space="preserve"> </w:t>
      </w:r>
      <w:r>
        <w:t>achieved</w:t>
      </w:r>
    </w:p>
    <w:p w:rsidR="008F03B5" w:rsidRDefault="00586B9B">
      <w:pPr>
        <w:pStyle w:val="a4"/>
        <w:numPr>
          <w:ilvl w:val="0"/>
          <w:numId w:val="37"/>
        </w:numPr>
        <w:tabs>
          <w:tab w:val="left" w:pos="630"/>
          <w:tab w:val="left" w:pos="631"/>
        </w:tabs>
        <w:spacing w:before="1"/>
        <w:ind w:hanging="359"/>
        <w:rPr>
          <w:rFonts w:ascii="Symbol" w:hAnsi="Symbol"/>
        </w:rPr>
      </w:pPr>
      <w:r>
        <w:t>Terminate dialysis when serum K</w:t>
      </w:r>
      <w:r>
        <w:rPr>
          <w:vertAlign w:val="superscript"/>
        </w:rPr>
        <w:t>+</w:t>
      </w:r>
      <w:r>
        <w:t xml:space="preserve"> controlled (K</w:t>
      </w:r>
      <w:r>
        <w:rPr>
          <w:vertAlign w:val="superscript"/>
        </w:rPr>
        <w:t>+</w:t>
      </w:r>
      <w:r>
        <w:t xml:space="preserve"> &lt; 6.5 mmol/L) and cardiac rhythm</w:t>
      </w:r>
      <w:r>
        <w:rPr>
          <w:spacing w:val="-19"/>
        </w:rPr>
        <w:t xml:space="preserve"> </w:t>
      </w:r>
      <w:r>
        <w:t>stable</w:t>
      </w:r>
    </w:p>
    <w:p w:rsidR="008F03B5" w:rsidRDefault="00586B9B">
      <w:pPr>
        <w:pStyle w:val="a4"/>
        <w:numPr>
          <w:ilvl w:val="0"/>
          <w:numId w:val="37"/>
        </w:numPr>
        <w:tabs>
          <w:tab w:val="left" w:pos="630"/>
          <w:tab w:val="left" w:pos="631"/>
        </w:tabs>
        <w:ind w:hanging="359"/>
        <w:rPr>
          <w:rFonts w:ascii="Symbol" w:hAnsi="Symbol"/>
        </w:rPr>
      </w:pPr>
      <w:r>
        <w:t>Record time of termination of dialysis and serum K</w:t>
      </w:r>
      <w:r>
        <w:rPr>
          <w:vertAlign w:val="superscript"/>
        </w:rPr>
        <w:t>+</w:t>
      </w:r>
      <w:r>
        <w:t xml:space="preserve"> at</w:t>
      </w:r>
      <w:r>
        <w:rPr>
          <w:spacing w:val="-13"/>
        </w:rPr>
        <w:t xml:space="preserve"> </w:t>
      </w:r>
      <w:r>
        <w:t>ROSC</w:t>
      </w:r>
    </w:p>
    <w:p w:rsidR="008F03B5" w:rsidRDefault="00586B9B">
      <w:pPr>
        <w:pStyle w:val="a4"/>
        <w:numPr>
          <w:ilvl w:val="0"/>
          <w:numId w:val="37"/>
        </w:numPr>
        <w:tabs>
          <w:tab w:val="left" w:pos="630"/>
          <w:tab w:val="left" w:pos="631"/>
        </w:tabs>
        <w:ind w:hanging="359"/>
        <w:rPr>
          <w:rFonts w:ascii="Symbol" w:hAnsi="Symbol"/>
          <w:sz w:val="24"/>
        </w:rPr>
      </w:pPr>
      <w:r>
        <w:t>Transfer to ICU</w:t>
      </w:r>
    </w:p>
    <w:p w:rsidR="008F03B5" w:rsidRDefault="008F03B5">
      <w:pPr>
        <w:pStyle w:val="a3"/>
        <w:rPr>
          <w:sz w:val="20"/>
        </w:rPr>
      </w:pPr>
    </w:p>
    <w:p w:rsidR="008F03B5" w:rsidRDefault="008F03B5">
      <w:pPr>
        <w:pStyle w:val="a3"/>
        <w:rPr>
          <w:sz w:val="20"/>
        </w:rPr>
      </w:pPr>
    </w:p>
    <w:p w:rsidR="008F03B5" w:rsidRDefault="008F03B5">
      <w:pPr>
        <w:pStyle w:val="a3"/>
        <w:spacing w:before="8"/>
        <w:rPr>
          <w:sz w:val="18"/>
        </w:rPr>
      </w:pPr>
    </w:p>
    <w:p w:rsidR="008F03B5" w:rsidRDefault="00586B9B">
      <w:pPr>
        <w:pStyle w:val="3"/>
      </w:pPr>
      <w:r>
        <w:t>Table 31: Summary of procedure for initiation of dialysis during CPR.</w:t>
      </w:r>
    </w:p>
    <w:p w:rsidR="008F03B5" w:rsidRDefault="008F03B5">
      <w:pPr>
        <w:pStyle w:val="a3"/>
        <w:spacing w:before="2"/>
        <w:rPr>
          <w:b/>
          <w:sz w:val="23"/>
        </w:rPr>
      </w:pPr>
    </w:p>
    <w:p w:rsidR="008F03B5" w:rsidRDefault="00586B9B">
      <w:pPr>
        <w:spacing w:before="1"/>
        <w:ind w:left="217"/>
        <w:rPr>
          <w:b/>
          <w:sz w:val="24"/>
        </w:rPr>
      </w:pPr>
      <w:r>
        <w:rPr>
          <w:b/>
          <w:color w:val="44536A"/>
          <w:sz w:val="24"/>
        </w:rPr>
        <w:t>References</w:t>
      </w:r>
    </w:p>
    <w:p w:rsidR="008F03B5" w:rsidRDefault="00586B9B">
      <w:pPr>
        <w:pStyle w:val="a4"/>
        <w:numPr>
          <w:ilvl w:val="0"/>
          <w:numId w:val="36"/>
        </w:numPr>
        <w:tabs>
          <w:tab w:val="left" w:pos="939"/>
        </w:tabs>
        <w:spacing w:before="160" w:line="276" w:lineRule="auto"/>
        <w:ind w:right="630"/>
      </w:pPr>
      <w:r>
        <w:t xml:space="preserve">Wang, C.H., et al., </w:t>
      </w:r>
      <w:r>
        <w:rPr>
          <w:i/>
        </w:rPr>
        <w:t>The effects of calcium and sodium bicarbonate on severe hyperkalaemia during cardiopulmonary resuscitation: A retrospective cohort study of adult in-hospital cardiac arrest</w:t>
      </w:r>
      <w:r>
        <w:t xml:space="preserve">. Resuscitation, 2016. </w:t>
      </w:r>
      <w:r>
        <w:rPr>
          <w:b/>
        </w:rPr>
        <w:t>98</w:t>
      </w:r>
      <w:r>
        <w:t>: p.</w:t>
      </w:r>
      <w:r>
        <w:rPr>
          <w:spacing w:val="-8"/>
        </w:rPr>
        <w:t xml:space="preserve"> </w:t>
      </w:r>
      <w:r>
        <w:t>105-11.</w:t>
      </w:r>
    </w:p>
    <w:p w:rsidR="008F03B5" w:rsidRDefault="008F03B5">
      <w:pPr>
        <w:pStyle w:val="a3"/>
      </w:pPr>
    </w:p>
    <w:p w:rsidR="008F03B5" w:rsidRDefault="008F03B5">
      <w:pPr>
        <w:pStyle w:val="a3"/>
        <w:spacing w:before="1"/>
        <w:rPr>
          <w:sz w:val="30"/>
        </w:rPr>
      </w:pPr>
    </w:p>
    <w:p w:rsidR="008F03B5" w:rsidRDefault="00586B9B">
      <w:pPr>
        <w:pStyle w:val="2"/>
      </w:pPr>
      <w:bookmarkStart w:id="27" w:name="_bookmark45"/>
      <w:bookmarkEnd w:id="27"/>
      <w:r>
        <w:rPr>
          <w:color w:val="1F4E79"/>
        </w:rPr>
        <w:t>Prevention (Guidelines 26.1-26.2)</w:t>
      </w:r>
    </w:p>
    <w:p w:rsidR="008F03B5" w:rsidRDefault="00586B9B">
      <w:pPr>
        <w:pStyle w:val="3"/>
        <w:spacing w:before="161"/>
      </w:pPr>
      <w:r>
        <w:t>Guideline 26.1 – Hyperkalaemia; Prevention of Cardiac Arrest in</w:t>
      </w:r>
      <w:r>
        <w:rPr>
          <w:spacing w:val="-35"/>
        </w:rPr>
        <w:t xml:space="preserve"> </w:t>
      </w:r>
      <w:r>
        <w:t>Hyperkalaemia</w:t>
      </w:r>
    </w:p>
    <w:p w:rsidR="008F03B5" w:rsidRDefault="00586B9B">
      <w:pPr>
        <w:pStyle w:val="a3"/>
        <w:spacing w:before="161" w:line="276" w:lineRule="auto"/>
        <w:ind w:left="217" w:right="829"/>
      </w:pPr>
      <w:r>
        <w:lastRenderedPageBreak/>
        <w:t>We recommend that hyperkalaemia is treated urgently in patients with severe hyperkalaemia (K+ ≥ 6.5 mmol/l) and in those with ECG changes suggestive of severe hyperkalaemia.</w:t>
      </w:r>
      <w:r>
        <w:rPr>
          <w:spacing w:val="34"/>
        </w:rPr>
        <w:t xml:space="preserve"> </w:t>
      </w:r>
      <w:r>
        <w:t>(1C)</w:t>
      </w:r>
    </w:p>
    <w:p w:rsidR="008F03B5" w:rsidRDefault="008F03B5">
      <w:pPr>
        <w:pStyle w:val="a3"/>
      </w:pPr>
    </w:p>
    <w:p w:rsidR="008F03B5" w:rsidRDefault="008F03B5">
      <w:pPr>
        <w:pStyle w:val="a3"/>
        <w:spacing w:before="11"/>
      </w:pPr>
    </w:p>
    <w:p w:rsidR="008F03B5" w:rsidRDefault="00586B9B">
      <w:pPr>
        <w:pStyle w:val="3"/>
      </w:pPr>
      <w:r>
        <w:t>Guideline 26.2 – Hyperkalaemia; Prevention of Cardiac Arrest in</w:t>
      </w:r>
      <w:r>
        <w:rPr>
          <w:spacing w:val="-35"/>
        </w:rPr>
        <w:t xml:space="preserve"> </w:t>
      </w:r>
      <w:r>
        <w:t>Hyperkalaemia</w:t>
      </w:r>
    </w:p>
    <w:p w:rsidR="008F03B5" w:rsidRDefault="00586B9B">
      <w:pPr>
        <w:pStyle w:val="a3"/>
        <w:spacing w:before="161" w:line="276" w:lineRule="auto"/>
        <w:ind w:left="217" w:right="296"/>
      </w:pPr>
      <w:r>
        <w:t>We recommend continuous cardiac monitoring for patients with severe hyperkalaemia (K+ ≥ 6.5 mmol/l) in a setting appropriate for the level of care required. (1C)</w:t>
      </w:r>
    </w:p>
    <w:p w:rsidR="008F03B5" w:rsidRDefault="008F03B5">
      <w:pPr>
        <w:pStyle w:val="a3"/>
      </w:pPr>
    </w:p>
    <w:p w:rsidR="008F03B5" w:rsidRDefault="008F03B5">
      <w:pPr>
        <w:pStyle w:val="a3"/>
      </w:pPr>
    </w:p>
    <w:p w:rsidR="008F03B5" w:rsidRDefault="00586B9B">
      <w:pPr>
        <w:spacing w:before="135"/>
        <w:ind w:left="217"/>
        <w:rPr>
          <w:b/>
          <w:sz w:val="24"/>
        </w:rPr>
      </w:pPr>
      <w:r>
        <w:rPr>
          <w:b/>
          <w:color w:val="44536A"/>
          <w:sz w:val="24"/>
        </w:rPr>
        <w:t>Rationale (Guidelines 26.1 – 26.2)</w:t>
      </w:r>
    </w:p>
    <w:p w:rsidR="008F03B5" w:rsidRDefault="00586B9B">
      <w:pPr>
        <w:pStyle w:val="a3"/>
        <w:spacing w:before="160" w:line="276" w:lineRule="auto"/>
        <w:ind w:left="217" w:right="546"/>
      </w:pPr>
      <w:r>
        <w:t>The outcome of hyperkalaemic cardiac arrest is generally poor, therefore efforts to avoid its occurrence is the best approach. Primary measures to prevent the development of hyperkalaemia in patients at risk is a key step. Patients with renal failure, heart failure and/ or diabetes have a high risk, particularly when treated with RAASi drugs. Cautious prescribing and blood monitoring is essential in these patients.</w:t>
      </w:r>
    </w:p>
    <w:p w:rsidR="008F03B5" w:rsidRDefault="00586B9B">
      <w:pPr>
        <w:pStyle w:val="a3"/>
        <w:spacing w:before="121" w:line="276" w:lineRule="auto"/>
        <w:ind w:left="217" w:right="316"/>
      </w:pPr>
      <w:r>
        <w:t>Preventing cardiac arrest in patients who have become hyperkalaemic is dependent on prompt recognition and treatment. The initial clinical presentation may be overshadowed by the acute illness, but severe hyperkalaemia is likely to be more immediately life-threatening.  Limb weakness is an ominous sign.  Look for toxic ECG changes which may precede cardiac arrest - wide QRS complex, bradycardia or sine wave (Guidelines 14.1-14.2; Figure 3), but some patients may have a normal ECG despite severe hyperkalaemia. The rationale for cardiac monitoring is to detect arrhythmias before cardiac arrest ensues, therefore a higher level of care is</w:t>
      </w:r>
      <w:r>
        <w:rPr>
          <w:spacing w:val="-9"/>
        </w:rPr>
        <w:t xml:space="preserve"> </w:t>
      </w:r>
      <w:r>
        <w:t>required.</w:t>
      </w:r>
    </w:p>
    <w:p w:rsidR="008F03B5" w:rsidRDefault="00586B9B">
      <w:pPr>
        <w:pStyle w:val="a3"/>
        <w:spacing w:before="121" w:line="276" w:lineRule="auto"/>
        <w:ind w:left="217" w:right="341"/>
      </w:pPr>
      <w:r>
        <w:t>Delays in treatment are well recognised and has resulted in patient harm</w:t>
      </w:r>
      <w:r w:rsidR="00903055">
        <w:t>.</w:t>
      </w:r>
      <w:r w:rsidR="00903055">
        <w:rPr>
          <w:vertAlign w:val="superscript"/>
        </w:rPr>
        <w:t>1,2</w:t>
      </w:r>
      <w:r w:rsidR="00903055">
        <w:t xml:space="preserve"> </w:t>
      </w:r>
      <w:r w:rsidR="00903055">
        <w:rPr>
          <w:rFonts w:ascii="宋体" w:eastAsia="宋体" w:hAnsi="宋体" w:cs="宋体" w:hint="eastAsia"/>
        </w:rPr>
        <w:t>。。</w:t>
      </w:r>
      <w:r w:rsidR="00903055">
        <w:t>T</w:t>
      </w:r>
      <w:r>
        <w:t>he potential for clinical deterioration may not be appreciated by medical or nursing staff prior to cardiac arrest. Time is frequently lost whilst awaiting repeat bloods to confirm hyperkalaemia even in the presence of renal failure and ECG changes. Refer for specialist advice early in patients with severe hyperkalaemia with ECG changes, end-stage renal disease, oliguric AKI, and in patients who do not respond to medical treatment.</w:t>
      </w:r>
    </w:p>
    <w:p w:rsidR="008F03B5" w:rsidRDefault="008F03B5">
      <w:pPr>
        <w:spacing w:line="276" w:lineRule="auto"/>
        <w:sectPr w:rsidR="008F03B5">
          <w:pgSz w:w="11910" w:h="16840"/>
          <w:pgMar w:top="1540" w:right="780" w:bottom="1100" w:left="860" w:header="425" w:footer="912" w:gutter="0"/>
          <w:cols w:space="720"/>
        </w:sectPr>
      </w:pPr>
    </w:p>
    <w:p w:rsidR="008F03B5" w:rsidRDefault="008F03B5">
      <w:pPr>
        <w:pStyle w:val="a3"/>
        <w:spacing w:before="8"/>
        <w:rPr>
          <w:sz w:val="16"/>
        </w:rPr>
      </w:pPr>
    </w:p>
    <w:p w:rsidR="008F03B5" w:rsidRDefault="009A3CBD">
      <w:pPr>
        <w:pStyle w:val="a3"/>
        <w:ind w:left="1643"/>
        <w:rPr>
          <w:sz w:val="20"/>
        </w:rPr>
      </w:pPr>
      <w:r>
        <w:rPr>
          <w:sz w:val="20"/>
        </w:rPr>
      </w:r>
      <w:r>
        <w:rPr>
          <w:sz w:val="20"/>
        </w:rPr>
        <w:pict>
          <v:shape id="_x0000_s1078" type="#_x0000_t202" style="width:338.65pt;height:48.95pt;mso-left-percent:-10001;mso-top-percent:-10001;mso-position-horizontal:absolute;mso-position-horizontal-relative:char;mso-position-vertical:absolute;mso-position-vertical-relative:line;mso-left-percent:-10001;mso-top-percent:-10001" fillcolor="#deebf7">
            <v:textbox inset="0,0,0,0">
              <w:txbxContent>
                <w:p w:rsidR="008F03B5" w:rsidRDefault="008F03B5">
                  <w:pPr>
                    <w:pStyle w:val="a3"/>
                    <w:spacing w:before="5"/>
                    <w:rPr>
                      <w:sz w:val="25"/>
                    </w:rPr>
                  </w:pPr>
                </w:p>
                <w:p w:rsidR="008F03B5" w:rsidRDefault="00586B9B">
                  <w:pPr>
                    <w:ind w:left="743"/>
                    <w:rPr>
                      <w:b/>
                      <w:sz w:val="24"/>
                    </w:rPr>
                  </w:pPr>
                  <w:r>
                    <w:rPr>
                      <w:b/>
                      <w:sz w:val="24"/>
                    </w:rPr>
                    <w:t>Treat severe hyperkalaemia as a medical emergency.</w:t>
                  </w:r>
                </w:p>
              </w:txbxContent>
            </v:textbox>
            <w10:anchorlock/>
          </v:shape>
        </w:pict>
      </w:r>
    </w:p>
    <w:p w:rsidR="008F03B5" w:rsidRDefault="008F03B5">
      <w:pPr>
        <w:pStyle w:val="a3"/>
        <w:rPr>
          <w:sz w:val="20"/>
        </w:rPr>
      </w:pPr>
    </w:p>
    <w:p w:rsidR="008F03B5" w:rsidRDefault="008F03B5">
      <w:pPr>
        <w:pStyle w:val="a3"/>
        <w:spacing w:before="7"/>
        <w:rPr>
          <w:sz w:val="21"/>
        </w:rPr>
      </w:pPr>
    </w:p>
    <w:p w:rsidR="008F03B5" w:rsidRDefault="00586B9B">
      <w:pPr>
        <w:pStyle w:val="a3"/>
        <w:spacing w:before="1"/>
        <w:ind w:left="217"/>
      </w:pPr>
      <w:r>
        <w:t>IV calcium is a crucial step in the prevention of arrhythmias and cardiac arrest in hyperkalaemia</w:t>
      </w:r>
      <w:r w:rsidR="00903055">
        <w:t>.</w:t>
      </w:r>
      <w:r w:rsidR="00903055">
        <w:rPr>
          <w:vertAlign w:val="superscript"/>
        </w:rPr>
        <w:t>3</w:t>
      </w:r>
      <w:r w:rsidR="00903055">
        <w:t xml:space="preserve"> </w:t>
      </w:r>
      <w:r w:rsidR="00903055">
        <w:rPr>
          <w:rFonts w:ascii="宋体" w:eastAsia="宋体" w:hAnsi="宋体" w:cs="宋体" w:hint="eastAsia"/>
        </w:rPr>
        <w:t>。。</w:t>
      </w:r>
      <w:r w:rsidR="00903055">
        <w:t>I</w:t>
      </w:r>
      <w:r>
        <w:t>t is important to re-assess the ECG after administration of IV calcium as a further dose may be necessary if toxic changes persist. Vigilance is also required as toxic ECG changes may recur when the effects of the drug have worn off after approximately 30-60 minutes. IV calcium may buy time, but does not lower the serum K+.</w:t>
      </w:r>
      <w:r w:rsidR="00194032">
        <w:t xml:space="preserve"> </w:t>
      </w:r>
      <w:r>
        <w:t>Therefore, other therapeutic measures should not be delayed.</w:t>
      </w:r>
    </w:p>
    <w:p w:rsidR="008F03B5" w:rsidRDefault="00586B9B">
      <w:pPr>
        <w:pStyle w:val="a3"/>
        <w:spacing w:before="159" w:line="276" w:lineRule="auto"/>
        <w:ind w:left="217" w:right="342"/>
      </w:pPr>
      <w:r>
        <w:t>Adverse events related to severe hyperkalaemia has been evaluated to determine if the ECG is helpful in risk stratification. Durfey et al reported the frequency of adverse events within 6 hours of the presenting ECG</w:t>
      </w:r>
      <w:r w:rsidR="00903055">
        <w:t>.</w:t>
      </w:r>
      <w:r w:rsidR="00903055">
        <w:rPr>
          <w:vertAlign w:val="superscript"/>
        </w:rPr>
        <w:t>4</w:t>
      </w:r>
      <w:r w:rsidR="00903055">
        <w:t xml:space="preserve"> </w:t>
      </w:r>
      <w:r w:rsidR="00903055">
        <w:rPr>
          <w:rFonts w:ascii="宋体" w:eastAsia="宋体" w:hAnsi="宋体" w:cs="宋体" w:hint="eastAsia"/>
        </w:rPr>
        <w:t>。。</w:t>
      </w:r>
      <w:r w:rsidR="00903055">
        <w:t>T</w:t>
      </w:r>
      <w:r>
        <w:t>he study included 188 patients with a serum K+ ≥ 6.5 mmol/l (mean K+ 7.1 mmol/l). Adverse events occurred in 15% of patients including symptomatic bradycardia (n=22), VT (n=2), CPR (n=2) and death (n=4). All of these events occurred prior to administration of IV calcium and all but one occurred before administration of K+-lowering medication. This highlights the importance of timely treatment to prevent arrhythmias and cardiac arrest.</w:t>
      </w:r>
    </w:p>
    <w:p w:rsidR="008F03B5" w:rsidRDefault="00586B9B">
      <w:pPr>
        <w:pStyle w:val="a3"/>
        <w:spacing w:before="121" w:line="276" w:lineRule="auto"/>
        <w:ind w:left="217" w:right="339"/>
      </w:pPr>
      <w:r>
        <w:t>The lack of blood monitoring after initiating medical treatment is a common pitfall in the management of hyperkalaemia. If the serum K+ is not repeated at approximately one hour after treatment when the drugs have taken its maximum effect, then the efficacy of treatment cannot be assessed. Patients who are refractory to medical treatment are potentially at risk of cardiac arrest. Furthermore, there is a tendency for rebound hyperkalaemia once the effects of insulin-glucose and salbutamol have worn off. Failure to repeat the serum K+ at 4-6 hours will miss this rebound and could result in arrhythmias or cardiac arrest. Rebound may also occur after dialysis and may be exaggerated if temporising drugs have been used.</w:t>
      </w:r>
      <w:r>
        <w:rPr>
          <w:vertAlign w:val="superscript"/>
        </w:rPr>
        <w:t>5</w:t>
      </w:r>
    </w:p>
    <w:p w:rsidR="008F03B5" w:rsidRDefault="00586B9B">
      <w:pPr>
        <w:pStyle w:val="a3"/>
        <w:spacing w:before="121"/>
        <w:ind w:left="217"/>
      </w:pPr>
      <w:r>
        <w:t>There are a few fallacies related to hyperkalaemia that require clarification:</w:t>
      </w:r>
    </w:p>
    <w:p w:rsidR="008F03B5" w:rsidRDefault="00586B9B">
      <w:pPr>
        <w:pStyle w:val="a4"/>
        <w:numPr>
          <w:ilvl w:val="0"/>
          <w:numId w:val="1"/>
        </w:numPr>
        <w:tabs>
          <w:tab w:val="left" w:pos="937"/>
          <w:tab w:val="left" w:pos="939"/>
        </w:tabs>
        <w:spacing w:before="159" w:line="276" w:lineRule="auto"/>
        <w:ind w:right="415"/>
      </w:pPr>
      <w:r>
        <w:t>Patients with pacemakers are not protected from hyperkalaemic cardiac arrest. Indeed, pacemaker failure has been well documented in this circumstance.[6,</w:t>
      </w:r>
      <w:r>
        <w:rPr>
          <w:spacing w:val="-9"/>
        </w:rPr>
        <w:t xml:space="preserve"> </w:t>
      </w:r>
      <w:r>
        <w:t>7]</w:t>
      </w:r>
    </w:p>
    <w:p w:rsidR="008F03B5" w:rsidRDefault="00586B9B">
      <w:pPr>
        <w:pStyle w:val="a4"/>
        <w:numPr>
          <w:ilvl w:val="0"/>
          <w:numId w:val="1"/>
        </w:numPr>
        <w:tabs>
          <w:tab w:val="left" w:pos="937"/>
          <w:tab w:val="left" w:pos="939"/>
        </w:tabs>
        <w:spacing w:before="1" w:line="273" w:lineRule="auto"/>
        <w:ind w:right="907"/>
      </w:pPr>
      <w:r>
        <w:t>The presence of a normal ECG in the context of severe hyperkalaemia is not protective against arrhythmias.</w:t>
      </w:r>
    </w:p>
    <w:p w:rsidR="008F03B5" w:rsidRDefault="00586B9B">
      <w:pPr>
        <w:pStyle w:val="a4"/>
        <w:numPr>
          <w:ilvl w:val="0"/>
          <w:numId w:val="1"/>
        </w:numPr>
        <w:tabs>
          <w:tab w:val="left" w:pos="937"/>
          <w:tab w:val="left" w:pos="939"/>
        </w:tabs>
        <w:spacing w:before="6" w:line="276" w:lineRule="auto"/>
        <w:ind w:right="375"/>
      </w:pPr>
      <w:r>
        <w:t>Severe hyperkalaemia can occur in the presence of near normal renal function, but may be assumed to be spurious. An urgent ECG and repeat blood sample using a blood gas analyser should confirm the presence of</w:t>
      </w:r>
      <w:r>
        <w:rPr>
          <w:spacing w:val="-3"/>
        </w:rPr>
        <w:t xml:space="preserve"> </w:t>
      </w:r>
      <w:r>
        <w:t>hyperkalaemia.</w:t>
      </w:r>
    </w:p>
    <w:p w:rsidR="008F03B5" w:rsidRDefault="00586B9B">
      <w:pPr>
        <w:pStyle w:val="a4"/>
        <w:numPr>
          <w:ilvl w:val="0"/>
          <w:numId w:val="1"/>
        </w:numPr>
        <w:tabs>
          <w:tab w:val="left" w:pos="937"/>
          <w:tab w:val="left" w:pos="939"/>
        </w:tabs>
        <w:spacing w:line="276" w:lineRule="auto"/>
        <w:ind w:right="295"/>
      </w:pPr>
      <w:r>
        <w:t>Patients receiving longterm haemodialysis do not have a ‘tolerance’ to severe hyperkalaemia and are also at risk of cardiac arrest. Medical treatment will only temporarily lower the serum K+, therefore urgent dialysis is</w:t>
      </w:r>
      <w:r>
        <w:rPr>
          <w:spacing w:val="-4"/>
        </w:rPr>
        <w:t xml:space="preserve"> </w:t>
      </w:r>
      <w:r>
        <w:t>indicated.</w:t>
      </w:r>
    </w:p>
    <w:p w:rsidR="008F03B5" w:rsidRDefault="008F03B5">
      <w:pPr>
        <w:pStyle w:val="a3"/>
        <w:spacing w:before="10"/>
        <w:rPr>
          <w:sz w:val="19"/>
        </w:rPr>
      </w:pPr>
    </w:p>
    <w:p w:rsidR="008F03B5" w:rsidRDefault="00586B9B">
      <w:pPr>
        <w:ind w:left="217"/>
        <w:rPr>
          <w:b/>
          <w:sz w:val="24"/>
        </w:rPr>
      </w:pPr>
      <w:r>
        <w:rPr>
          <w:b/>
          <w:color w:val="44536A"/>
          <w:sz w:val="24"/>
        </w:rPr>
        <w:t>References</w:t>
      </w:r>
    </w:p>
    <w:p w:rsidR="008F03B5" w:rsidRDefault="00586B9B">
      <w:pPr>
        <w:pStyle w:val="a4"/>
        <w:numPr>
          <w:ilvl w:val="0"/>
          <w:numId w:val="35"/>
        </w:numPr>
        <w:tabs>
          <w:tab w:val="left" w:pos="939"/>
        </w:tabs>
        <w:spacing w:before="160" w:line="276" w:lineRule="auto"/>
        <w:ind w:right="838"/>
      </w:pPr>
      <w:r>
        <w:t>NHS Improvement. Patient Safety Alert. Resources to support safe and timely management of hyperkalaemia (high level of potassium in the blood). August 2018. Alert reference number: NHS/PSA/RE/2018/006</w:t>
      </w:r>
    </w:p>
    <w:p w:rsidR="008F03B5" w:rsidRDefault="008F03B5">
      <w:pPr>
        <w:pStyle w:val="a3"/>
      </w:pPr>
    </w:p>
    <w:p w:rsidR="008F03B5" w:rsidRDefault="008F03B5">
      <w:pPr>
        <w:pStyle w:val="a3"/>
        <w:spacing w:before="8"/>
        <w:rPr>
          <w:sz w:val="23"/>
        </w:rPr>
      </w:pPr>
    </w:p>
    <w:p w:rsidR="008F03B5" w:rsidRDefault="00586B9B">
      <w:pPr>
        <w:ind w:left="217"/>
        <w:rPr>
          <w:b/>
          <w:sz w:val="28"/>
        </w:rPr>
      </w:pPr>
      <w:r>
        <w:rPr>
          <w:b/>
          <w:color w:val="44536A"/>
          <w:sz w:val="28"/>
        </w:rPr>
        <w:t>Treatment Algorithm: Resuscitation (Guideline 27.1)</w:t>
      </w:r>
    </w:p>
    <w:p w:rsidR="008F03B5" w:rsidRDefault="00586B9B">
      <w:pPr>
        <w:pStyle w:val="3"/>
        <w:spacing w:before="166"/>
      </w:pPr>
      <w:r>
        <w:lastRenderedPageBreak/>
        <w:t>Guideline 27.1 – Hyperkalaemia; Algorithm in Cardiac Arrest</w:t>
      </w:r>
    </w:p>
    <w:p w:rsidR="008F03B5" w:rsidRDefault="00586B9B">
      <w:pPr>
        <w:pStyle w:val="a3"/>
        <w:spacing w:before="161" w:line="276" w:lineRule="auto"/>
        <w:ind w:left="217" w:right="365"/>
      </w:pPr>
      <w:r>
        <w:t>We recommend that cardiac arrest attributable to hyperkalaemia is managed using the treatment algorithm which provides guidance on the medical therapies and the need for initiation of renal replacement therapy during CPR. (1C)</w:t>
      </w:r>
    </w:p>
    <w:p w:rsidR="008F03B5" w:rsidRDefault="008F03B5">
      <w:pPr>
        <w:pStyle w:val="a3"/>
      </w:pPr>
    </w:p>
    <w:p w:rsidR="008F03B5" w:rsidRDefault="008F03B5">
      <w:pPr>
        <w:pStyle w:val="a3"/>
      </w:pPr>
    </w:p>
    <w:p w:rsidR="008F03B5" w:rsidRDefault="00586B9B">
      <w:pPr>
        <w:spacing w:before="135"/>
        <w:ind w:left="217"/>
        <w:rPr>
          <w:b/>
          <w:sz w:val="24"/>
        </w:rPr>
      </w:pPr>
      <w:r>
        <w:rPr>
          <w:b/>
          <w:color w:val="44536A"/>
          <w:sz w:val="24"/>
        </w:rPr>
        <w:t>Rationale (Guideline 27.1)</w:t>
      </w:r>
    </w:p>
    <w:p w:rsidR="008F03B5" w:rsidRDefault="00586B9B">
      <w:pPr>
        <w:pStyle w:val="a3"/>
        <w:spacing w:before="161" w:line="276" w:lineRule="auto"/>
        <w:ind w:left="217" w:right="547"/>
      </w:pPr>
      <w:r>
        <w:t>Hyperkalaemia is a potentially reversible cause of cardiac arrest, but achieving and sustaining ROSC is dependent on controlling the serum K+ level. In this way, this special circumstance is analogous to hypothermic cardiac arrest. There are fewer drug therapy options for controlling hyperkalaemia during cardiac arrest (Guidelines 25.1 - 25.3) and the degree of K+-lowering required to achieve ROSC may not be achievable with drugs alone (Guideline 25.4). The hyperkalaemic cardiac arrest algorithm outlines the modifications to ALS and the specific interventions to address hyperkalaemia as illustrated in Appendix 7.</w:t>
      </w:r>
    </w:p>
    <w:p w:rsidR="008F03B5" w:rsidRDefault="008F03B5">
      <w:pPr>
        <w:pStyle w:val="a3"/>
      </w:pPr>
    </w:p>
    <w:p w:rsidR="008F03B5" w:rsidRDefault="008F03B5">
      <w:pPr>
        <w:pStyle w:val="a3"/>
        <w:rPr>
          <w:sz w:val="23"/>
        </w:rPr>
      </w:pPr>
    </w:p>
    <w:p w:rsidR="008F03B5" w:rsidRDefault="00586B9B">
      <w:pPr>
        <w:pStyle w:val="a3"/>
        <w:ind w:left="217"/>
      </w:pPr>
      <w:r>
        <w:t>.</w:t>
      </w:r>
    </w:p>
    <w:p w:rsidR="008F03B5" w:rsidRDefault="008F03B5">
      <w:pPr>
        <w:sectPr w:rsidR="008F03B5">
          <w:pgSz w:w="11910" w:h="16840"/>
          <w:pgMar w:top="1540" w:right="780" w:bottom="1100" w:left="860" w:header="425" w:footer="912" w:gutter="0"/>
          <w:cols w:space="720"/>
        </w:sectPr>
      </w:pPr>
    </w:p>
    <w:p w:rsidR="008F03B5" w:rsidRDefault="00586B9B">
      <w:pPr>
        <w:pStyle w:val="1"/>
      </w:pPr>
      <w:bookmarkStart w:id="28" w:name="_bookmark46"/>
      <w:bookmarkEnd w:id="28"/>
      <w:r>
        <w:rPr>
          <w:color w:val="44536A"/>
        </w:rPr>
        <w:lastRenderedPageBreak/>
        <w:t>Lay summary</w:t>
      </w:r>
    </w:p>
    <w:p w:rsidR="008F03B5" w:rsidRDefault="008F03B5">
      <w:pPr>
        <w:pStyle w:val="a3"/>
        <w:spacing w:before="6"/>
        <w:rPr>
          <w:b/>
          <w:sz w:val="40"/>
        </w:rPr>
      </w:pPr>
    </w:p>
    <w:p w:rsidR="008F03B5" w:rsidRDefault="00586B9B">
      <w:pPr>
        <w:pStyle w:val="a3"/>
        <w:spacing w:line="268" w:lineRule="exact"/>
        <w:ind w:left="217"/>
      </w:pPr>
      <w:r>
        <w:t>Hyperkalaemia is a medical disorder in which the potassium (K+) level in the blood is raised. The higher the level, the greater the risk of life-threatening consequences. Hyperkalaemia may be mild (K+ 5.5 – 5.9 mmol/l), moderate (K+ 6.0 – 6.4 mmol/l) or severe (K+ ≥ 6.5 mmol/l). Severe hyperkalaemia can affect muscle function in the limbs causing weakness, or in the heart causing potentially fatal heart rhythms.</w:t>
      </w:r>
      <w:r w:rsidR="00194032">
        <w:t xml:space="preserve"> </w:t>
      </w:r>
      <w:r>
        <w:t>Therefore early recognition and treatment of hyperkalaemia can save lives.</w:t>
      </w:r>
    </w:p>
    <w:p w:rsidR="008F03B5" w:rsidRDefault="00586B9B">
      <w:pPr>
        <w:pStyle w:val="a3"/>
        <w:spacing w:before="182" w:line="259" w:lineRule="auto"/>
        <w:ind w:left="217" w:right="507"/>
      </w:pPr>
      <w:r>
        <w:t>The kidneys are largely responsible for removing potassium from the body, therefore the most common cause of hyperkalaemia is impaired kidney function. Some commonly prescribed drugs used to treat heart failure, kidney disease and diabetes mellitus can also contribute to hyperkalaemia, therefore regular blood monitoring is required.</w:t>
      </w:r>
    </w:p>
    <w:p w:rsidR="008F03B5" w:rsidRDefault="00586B9B">
      <w:pPr>
        <w:pStyle w:val="a3"/>
        <w:spacing w:before="158" w:line="259" w:lineRule="auto"/>
        <w:ind w:left="217" w:right="423"/>
      </w:pPr>
      <w:r>
        <w:t>Hyperkalaemia can occur in the community or in the hospital. Most cases of mild or moderate hyperkalaemia can be managed without the need for hospital admission unless it occurs in the setting of an acute illness. Hospital assessment is required for severe hyperkalaemia as prompt treatment may prevent adverse events. Hyperkalaemia detected in hospital may be present at the time of hospital admission or occur during the course of admission, therefore vigilance is required during acute illness.</w:t>
      </w:r>
    </w:p>
    <w:p w:rsidR="008F03B5" w:rsidRDefault="00586B9B">
      <w:pPr>
        <w:pStyle w:val="a3"/>
        <w:spacing w:before="161" w:line="259" w:lineRule="auto"/>
        <w:ind w:left="217" w:right="316"/>
      </w:pPr>
      <w:r>
        <w:t>The treatment for hyperkalaemia is evolving. Two new oral potassium lowering drugs (sodium zirconium cyclosilicate and patiromer) have recently been approved for specific indications by the National Institute for Health and Care Excellence (NICE). Insulin and glucose infusion remains the most effective emergency treatment, but hypoglycaemia (low blood glucose) is a common adverse event. A continuous infusion of glucose in patients with a low pre-treatment blood glucose level (&lt; 7 mmol/l) is now recommended.</w:t>
      </w:r>
    </w:p>
    <w:p w:rsidR="008F03B5" w:rsidRDefault="00586B9B">
      <w:pPr>
        <w:pStyle w:val="a3"/>
        <w:spacing w:before="158" w:line="259" w:lineRule="auto"/>
        <w:ind w:left="217" w:right="281"/>
      </w:pPr>
      <w:r>
        <w:t>Treatment algorithms are useful in many medical emergencies and have been applied to the treatment of hyperkalaemia in the community, in hospital and in resuscitation. Prevention of hyperkalaemia is the best approach. This requires careful drug prescribing, blood monitoring, a low potassium diet when indicated and the provision of patient information and education. Standardised protocols will provide a more consistent approach to treating hyperkalaemia and improve patient safety.</w:t>
      </w:r>
    </w:p>
    <w:p w:rsidR="008F03B5" w:rsidRDefault="008F03B5">
      <w:pPr>
        <w:spacing w:line="259" w:lineRule="auto"/>
        <w:sectPr w:rsidR="008F03B5">
          <w:pgSz w:w="11910" w:h="16840"/>
          <w:pgMar w:top="1540" w:right="780" w:bottom="1100" w:left="860" w:header="425" w:footer="912" w:gutter="0"/>
          <w:cols w:space="720"/>
        </w:sectPr>
      </w:pPr>
    </w:p>
    <w:p w:rsidR="008F03B5" w:rsidRDefault="00586B9B">
      <w:pPr>
        <w:pStyle w:val="1"/>
      </w:pPr>
      <w:bookmarkStart w:id="29" w:name="_bookmark47"/>
      <w:bookmarkEnd w:id="29"/>
      <w:r>
        <w:rPr>
          <w:color w:val="44536A"/>
        </w:rPr>
        <w:lastRenderedPageBreak/>
        <w:t>Appendices</w:t>
      </w:r>
    </w:p>
    <w:p w:rsidR="008F03B5" w:rsidRDefault="008F03B5">
      <w:pPr>
        <w:pStyle w:val="a3"/>
        <w:rPr>
          <w:b/>
          <w:sz w:val="28"/>
        </w:rPr>
      </w:pPr>
    </w:p>
    <w:p w:rsidR="008F03B5" w:rsidRDefault="008F03B5">
      <w:pPr>
        <w:pStyle w:val="a3"/>
        <w:spacing w:before="10"/>
        <w:rPr>
          <w:b/>
          <w:sz w:val="20"/>
        </w:rPr>
      </w:pPr>
    </w:p>
    <w:p w:rsidR="008F03B5" w:rsidRDefault="00586B9B">
      <w:pPr>
        <w:pStyle w:val="3"/>
        <w:numPr>
          <w:ilvl w:val="0"/>
          <w:numId w:val="34"/>
        </w:numPr>
        <w:tabs>
          <w:tab w:val="left" w:pos="939"/>
        </w:tabs>
        <w:ind w:hanging="361"/>
      </w:pPr>
      <w:r>
        <w:t>Oral potassium lowering</w:t>
      </w:r>
      <w:r>
        <w:rPr>
          <w:spacing w:val="-5"/>
        </w:rPr>
        <w:t xml:space="preserve"> </w:t>
      </w:r>
      <w:r>
        <w:t>drugs</w:t>
      </w:r>
    </w:p>
    <w:p w:rsidR="008F03B5" w:rsidRDefault="008F03B5">
      <w:pPr>
        <w:pStyle w:val="a3"/>
        <w:spacing w:before="10"/>
        <w:rPr>
          <w:b/>
          <w:sz w:val="21"/>
        </w:rPr>
      </w:pPr>
    </w:p>
    <w:p w:rsidR="008F03B5" w:rsidRDefault="00586B9B">
      <w:pPr>
        <w:pStyle w:val="3"/>
        <w:numPr>
          <w:ilvl w:val="0"/>
          <w:numId w:val="34"/>
        </w:numPr>
        <w:tabs>
          <w:tab w:val="left" w:pos="939"/>
        </w:tabs>
        <w:ind w:hanging="361"/>
      </w:pPr>
      <w:r>
        <w:t>Summary of clinical trials of oral potassium lowering</w:t>
      </w:r>
      <w:r>
        <w:rPr>
          <w:spacing w:val="-7"/>
        </w:rPr>
        <w:t xml:space="preserve"> </w:t>
      </w:r>
      <w:r>
        <w:t>drugs</w:t>
      </w:r>
    </w:p>
    <w:p w:rsidR="008F03B5" w:rsidRDefault="008F03B5">
      <w:pPr>
        <w:pStyle w:val="a3"/>
        <w:rPr>
          <w:b/>
        </w:rPr>
      </w:pPr>
    </w:p>
    <w:p w:rsidR="008F03B5" w:rsidRDefault="00586B9B">
      <w:pPr>
        <w:pStyle w:val="3"/>
        <w:numPr>
          <w:ilvl w:val="0"/>
          <w:numId w:val="34"/>
        </w:numPr>
        <w:tabs>
          <w:tab w:val="left" w:pos="939"/>
        </w:tabs>
        <w:spacing w:before="1"/>
        <w:ind w:hanging="361"/>
      </w:pPr>
      <w:r>
        <w:t>Drug administration and</w:t>
      </w:r>
      <w:r>
        <w:rPr>
          <w:spacing w:val="-3"/>
        </w:rPr>
        <w:t xml:space="preserve"> </w:t>
      </w:r>
      <w:r>
        <w:t>safety</w:t>
      </w:r>
    </w:p>
    <w:p w:rsidR="008F03B5" w:rsidRDefault="008F03B5">
      <w:pPr>
        <w:pStyle w:val="a3"/>
        <w:rPr>
          <w:b/>
        </w:rPr>
      </w:pPr>
    </w:p>
    <w:p w:rsidR="008F03B5" w:rsidRDefault="00586B9B">
      <w:pPr>
        <w:pStyle w:val="a4"/>
        <w:numPr>
          <w:ilvl w:val="1"/>
          <w:numId w:val="34"/>
        </w:numPr>
        <w:tabs>
          <w:tab w:val="left" w:pos="2017"/>
          <w:tab w:val="left" w:pos="2018"/>
        </w:tabs>
      </w:pPr>
      <w:r>
        <w:t>Intravenous Calcium – Chloride and Gluconate</w:t>
      </w:r>
      <w:r>
        <w:rPr>
          <w:spacing w:val="-2"/>
        </w:rPr>
        <w:t xml:space="preserve"> </w:t>
      </w:r>
      <w:r>
        <w:t>solutions</w:t>
      </w:r>
    </w:p>
    <w:p w:rsidR="008F03B5" w:rsidRDefault="00586B9B">
      <w:pPr>
        <w:pStyle w:val="a4"/>
        <w:numPr>
          <w:ilvl w:val="1"/>
          <w:numId w:val="34"/>
        </w:numPr>
        <w:tabs>
          <w:tab w:val="left" w:pos="2017"/>
          <w:tab w:val="left" w:pos="2018"/>
        </w:tabs>
        <w:spacing w:before="41"/>
      </w:pPr>
      <w:r>
        <w:t>Insulin-glucose infusion</w:t>
      </w:r>
    </w:p>
    <w:p w:rsidR="008F03B5" w:rsidRDefault="00586B9B">
      <w:pPr>
        <w:pStyle w:val="a4"/>
        <w:numPr>
          <w:ilvl w:val="1"/>
          <w:numId w:val="34"/>
        </w:numPr>
        <w:tabs>
          <w:tab w:val="left" w:pos="2017"/>
          <w:tab w:val="left" w:pos="2018"/>
        </w:tabs>
        <w:spacing w:before="39"/>
      </w:pPr>
      <w:r>
        <w:t>Salbutamol</w:t>
      </w:r>
    </w:p>
    <w:p w:rsidR="008F03B5" w:rsidRDefault="00586B9B">
      <w:pPr>
        <w:pStyle w:val="a4"/>
        <w:numPr>
          <w:ilvl w:val="1"/>
          <w:numId w:val="34"/>
        </w:numPr>
        <w:tabs>
          <w:tab w:val="left" w:pos="2017"/>
          <w:tab w:val="left" w:pos="2018"/>
        </w:tabs>
        <w:spacing w:before="41"/>
      </w:pPr>
      <w:r>
        <w:t>Patiromer</w:t>
      </w:r>
    </w:p>
    <w:p w:rsidR="008F03B5" w:rsidRDefault="00586B9B">
      <w:pPr>
        <w:pStyle w:val="a4"/>
        <w:numPr>
          <w:ilvl w:val="1"/>
          <w:numId w:val="34"/>
        </w:numPr>
        <w:tabs>
          <w:tab w:val="left" w:pos="2017"/>
          <w:tab w:val="left" w:pos="2018"/>
        </w:tabs>
        <w:spacing w:before="41"/>
      </w:pPr>
      <w:r>
        <w:t>Sodium zirconium</w:t>
      </w:r>
      <w:r>
        <w:rPr>
          <w:spacing w:val="-2"/>
        </w:rPr>
        <w:t xml:space="preserve"> </w:t>
      </w:r>
      <w:r>
        <w:t>cyclosilicate</w:t>
      </w:r>
    </w:p>
    <w:p w:rsidR="008F03B5" w:rsidRDefault="00586B9B">
      <w:pPr>
        <w:pStyle w:val="a4"/>
        <w:numPr>
          <w:ilvl w:val="1"/>
          <w:numId w:val="34"/>
        </w:numPr>
        <w:tabs>
          <w:tab w:val="left" w:pos="2017"/>
          <w:tab w:val="left" w:pos="2018"/>
        </w:tabs>
        <w:spacing w:before="39"/>
      </w:pPr>
      <w:r>
        <w:t>Calcium resonium</w:t>
      </w:r>
    </w:p>
    <w:p w:rsidR="008F03B5" w:rsidRDefault="008F03B5">
      <w:pPr>
        <w:pStyle w:val="a3"/>
      </w:pPr>
    </w:p>
    <w:p w:rsidR="008F03B5" w:rsidRDefault="008F03B5">
      <w:pPr>
        <w:pStyle w:val="a3"/>
        <w:spacing w:before="5"/>
        <w:rPr>
          <w:sz w:val="25"/>
        </w:rPr>
      </w:pPr>
    </w:p>
    <w:p w:rsidR="008F03B5" w:rsidRDefault="00586B9B">
      <w:pPr>
        <w:pStyle w:val="3"/>
        <w:numPr>
          <w:ilvl w:val="0"/>
          <w:numId w:val="34"/>
        </w:numPr>
        <w:tabs>
          <w:tab w:val="left" w:pos="939"/>
        </w:tabs>
        <w:ind w:hanging="361"/>
      </w:pPr>
      <w:r>
        <w:t>ECG in Hyperkalaemia – sine</w:t>
      </w:r>
      <w:r>
        <w:rPr>
          <w:spacing w:val="-6"/>
        </w:rPr>
        <w:t xml:space="preserve"> </w:t>
      </w:r>
      <w:r>
        <w:t>wave.</w:t>
      </w:r>
    </w:p>
    <w:p w:rsidR="008F03B5" w:rsidRDefault="008F03B5">
      <w:pPr>
        <w:pStyle w:val="a3"/>
        <w:rPr>
          <w:b/>
        </w:rPr>
      </w:pPr>
    </w:p>
    <w:p w:rsidR="008F03B5" w:rsidRDefault="00586B9B">
      <w:pPr>
        <w:pStyle w:val="3"/>
        <w:numPr>
          <w:ilvl w:val="0"/>
          <w:numId w:val="34"/>
        </w:numPr>
        <w:tabs>
          <w:tab w:val="left" w:pos="939"/>
        </w:tabs>
        <w:spacing w:before="1"/>
        <w:ind w:hanging="361"/>
      </w:pPr>
      <w:r>
        <w:t>Algorithm – Management of Hyperkalaemia in the</w:t>
      </w:r>
      <w:r>
        <w:rPr>
          <w:spacing w:val="-8"/>
        </w:rPr>
        <w:t xml:space="preserve"> </w:t>
      </w:r>
      <w:r>
        <w:t>Community.</w:t>
      </w:r>
    </w:p>
    <w:p w:rsidR="008F03B5" w:rsidRDefault="008F03B5">
      <w:pPr>
        <w:pStyle w:val="a3"/>
        <w:spacing w:before="10"/>
        <w:rPr>
          <w:b/>
          <w:sz w:val="21"/>
        </w:rPr>
      </w:pPr>
    </w:p>
    <w:p w:rsidR="008F03B5" w:rsidRDefault="00586B9B">
      <w:pPr>
        <w:pStyle w:val="3"/>
        <w:numPr>
          <w:ilvl w:val="0"/>
          <w:numId w:val="34"/>
        </w:numPr>
        <w:tabs>
          <w:tab w:val="left" w:pos="939"/>
        </w:tabs>
        <w:ind w:hanging="361"/>
      </w:pPr>
      <w:r>
        <w:t>Algorithm – Management of Hyperkalaemia in</w:t>
      </w:r>
      <w:r>
        <w:rPr>
          <w:spacing w:val="-7"/>
        </w:rPr>
        <w:t xml:space="preserve"> </w:t>
      </w:r>
      <w:r>
        <w:t>Hospital.</w:t>
      </w:r>
    </w:p>
    <w:p w:rsidR="008F03B5" w:rsidRDefault="008F03B5">
      <w:pPr>
        <w:pStyle w:val="a3"/>
        <w:spacing w:before="1"/>
        <w:rPr>
          <w:b/>
        </w:rPr>
      </w:pPr>
    </w:p>
    <w:p w:rsidR="008F03B5" w:rsidRDefault="00586B9B">
      <w:pPr>
        <w:pStyle w:val="3"/>
        <w:numPr>
          <w:ilvl w:val="0"/>
          <w:numId w:val="34"/>
        </w:numPr>
        <w:tabs>
          <w:tab w:val="left" w:pos="939"/>
        </w:tabs>
        <w:ind w:hanging="361"/>
      </w:pPr>
      <w:r>
        <w:t>Algorithm – Management of Hyperkalaemia in</w:t>
      </w:r>
      <w:r>
        <w:rPr>
          <w:spacing w:val="-9"/>
        </w:rPr>
        <w:t xml:space="preserve"> </w:t>
      </w:r>
      <w:r>
        <w:t>Resuscitation.</w:t>
      </w:r>
    </w:p>
    <w:p w:rsidR="008F03B5" w:rsidRDefault="008F03B5">
      <w:pPr>
        <w:sectPr w:rsidR="008F03B5">
          <w:pgSz w:w="11910" w:h="16840"/>
          <w:pgMar w:top="1540" w:right="780" w:bottom="1100" w:left="860" w:header="425" w:footer="912" w:gutter="0"/>
          <w:cols w:space="720"/>
        </w:sectPr>
      </w:pPr>
    </w:p>
    <w:p w:rsidR="008F03B5" w:rsidRDefault="00586B9B">
      <w:pPr>
        <w:pStyle w:val="2"/>
        <w:spacing w:before="119"/>
      </w:pPr>
      <w:bookmarkStart w:id="30" w:name="_bookmark48"/>
      <w:bookmarkEnd w:id="30"/>
      <w:r>
        <w:rPr>
          <w:color w:val="1F4E79"/>
        </w:rPr>
        <w:lastRenderedPageBreak/>
        <w:t>Appendix 1: Oral potassium lowering drugs.</w:t>
      </w:r>
    </w:p>
    <w:p w:rsidR="008F03B5" w:rsidRDefault="008F03B5">
      <w:pPr>
        <w:pStyle w:val="a3"/>
        <w:rPr>
          <w:b/>
          <w:sz w:val="20"/>
        </w:rPr>
      </w:pPr>
    </w:p>
    <w:p w:rsidR="008F03B5" w:rsidRDefault="008F03B5">
      <w:pPr>
        <w:pStyle w:val="a3"/>
        <w:spacing w:before="7"/>
        <w:rPr>
          <w:b/>
          <w:sz w:val="2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2552"/>
        <w:gridCol w:w="2552"/>
        <w:gridCol w:w="2555"/>
      </w:tblGrid>
      <w:tr w:rsidR="008F03B5">
        <w:trPr>
          <w:trHeight w:val="710"/>
        </w:trPr>
        <w:tc>
          <w:tcPr>
            <w:tcW w:w="1844" w:type="dxa"/>
            <w:shd w:val="clear" w:color="auto" w:fill="9CC2E4"/>
          </w:tcPr>
          <w:p w:rsidR="008F03B5" w:rsidRDefault="008F03B5">
            <w:pPr>
              <w:pStyle w:val="TableParagraph"/>
              <w:spacing w:before="4"/>
              <w:rPr>
                <w:b/>
                <w:sz w:val="19"/>
              </w:rPr>
            </w:pPr>
          </w:p>
          <w:p w:rsidR="008F03B5" w:rsidRDefault="00586B9B">
            <w:pPr>
              <w:pStyle w:val="TableParagraph"/>
              <w:ind w:left="107"/>
              <w:rPr>
                <w:b/>
              </w:rPr>
            </w:pPr>
            <w:r>
              <w:rPr>
                <w:b/>
              </w:rPr>
              <w:t>Characteristic</w:t>
            </w:r>
          </w:p>
        </w:tc>
        <w:tc>
          <w:tcPr>
            <w:tcW w:w="2552" w:type="dxa"/>
            <w:shd w:val="clear" w:color="auto" w:fill="9CC2E4"/>
          </w:tcPr>
          <w:p w:rsidR="008F03B5" w:rsidRDefault="008F03B5">
            <w:pPr>
              <w:pStyle w:val="TableParagraph"/>
              <w:spacing w:before="4"/>
              <w:rPr>
                <w:b/>
                <w:sz w:val="19"/>
              </w:rPr>
            </w:pPr>
          </w:p>
          <w:p w:rsidR="008F03B5" w:rsidRDefault="00586B9B">
            <w:pPr>
              <w:pStyle w:val="TableParagraph"/>
              <w:ind w:left="396" w:right="390"/>
              <w:jc w:val="center"/>
              <w:rPr>
                <w:b/>
              </w:rPr>
            </w:pPr>
            <w:r>
              <w:rPr>
                <w:b/>
              </w:rPr>
              <w:t>Calcium resonium</w:t>
            </w:r>
          </w:p>
        </w:tc>
        <w:tc>
          <w:tcPr>
            <w:tcW w:w="2552" w:type="dxa"/>
            <w:shd w:val="clear" w:color="auto" w:fill="9CC2E4"/>
          </w:tcPr>
          <w:p w:rsidR="008F03B5" w:rsidRDefault="008F03B5">
            <w:pPr>
              <w:pStyle w:val="TableParagraph"/>
              <w:spacing w:before="4"/>
              <w:rPr>
                <w:b/>
                <w:sz w:val="19"/>
              </w:rPr>
            </w:pPr>
          </w:p>
          <w:p w:rsidR="008F03B5" w:rsidRDefault="00586B9B">
            <w:pPr>
              <w:pStyle w:val="TableParagraph"/>
              <w:ind w:left="396" w:right="390"/>
              <w:jc w:val="center"/>
              <w:rPr>
                <w:b/>
              </w:rPr>
            </w:pPr>
            <w:r>
              <w:rPr>
                <w:b/>
              </w:rPr>
              <w:t>Patiromer</w:t>
            </w:r>
          </w:p>
        </w:tc>
        <w:tc>
          <w:tcPr>
            <w:tcW w:w="2555" w:type="dxa"/>
            <w:shd w:val="clear" w:color="auto" w:fill="9CC2E4"/>
          </w:tcPr>
          <w:p w:rsidR="008F03B5" w:rsidRDefault="008F03B5">
            <w:pPr>
              <w:pStyle w:val="TableParagraph"/>
              <w:spacing w:before="4"/>
              <w:rPr>
                <w:b/>
                <w:sz w:val="19"/>
              </w:rPr>
            </w:pPr>
          </w:p>
          <w:p w:rsidR="008F03B5" w:rsidRDefault="00586B9B">
            <w:pPr>
              <w:pStyle w:val="TableParagraph"/>
              <w:ind w:left="193" w:right="192"/>
              <w:jc w:val="center"/>
              <w:rPr>
                <w:b/>
              </w:rPr>
            </w:pPr>
            <w:r>
              <w:rPr>
                <w:b/>
              </w:rPr>
              <w:t>SZC</w:t>
            </w:r>
          </w:p>
        </w:tc>
      </w:tr>
      <w:tr w:rsidR="008F03B5">
        <w:trPr>
          <w:trHeight w:val="856"/>
        </w:trPr>
        <w:tc>
          <w:tcPr>
            <w:tcW w:w="1844" w:type="dxa"/>
            <w:shd w:val="clear" w:color="auto" w:fill="DEEAF6"/>
          </w:tcPr>
          <w:p w:rsidR="008F03B5" w:rsidRDefault="00586B9B">
            <w:pPr>
              <w:pStyle w:val="TableParagraph"/>
              <w:spacing w:before="116" w:line="276" w:lineRule="auto"/>
              <w:ind w:left="107" w:right="408"/>
              <w:rPr>
                <w:b/>
              </w:rPr>
            </w:pPr>
            <w:r>
              <w:rPr>
                <w:b/>
              </w:rPr>
              <w:t>Mechanism of action</w:t>
            </w:r>
          </w:p>
        </w:tc>
        <w:tc>
          <w:tcPr>
            <w:tcW w:w="2552" w:type="dxa"/>
          </w:tcPr>
          <w:p w:rsidR="008F03B5" w:rsidRDefault="00586B9B">
            <w:pPr>
              <w:pStyle w:val="TableParagraph"/>
              <w:spacing w:before="116" w:line="276" w:lineRule="auto"/>
              <w:ind w:left="938" w:right="234" w:hanging="678"/>
            </w:pPr>
            <w:r>
              <w:t>Entraps K</w:t>
            </w:r>
            <w:r>
              <w:rPr>
                <w:vertAlign w:val="superscript"/>
              </w:rPr>
              <w:t>+</w:t>
            </w:r>
            <w:r>
              <w:t xml:space="preserve"> in exchange for Ca</w:t>
            </w:r>
            <w:r>
              <w:rPr>
                <w:vertAlign w:val="superscript"/>
              </w:rPr>
              <w:t>2+</w:t>
            </w:r>
          </w:p>
        </w:tc>
        <w:tc>
          <w:tcPr>
            <w:tcW w:w="2552" w:type="dxa"/>
          </w:tcPr>
          <w:p w:rsidR="008F03B5" w:rsidRDefault="00586B9B">
            <w:pPr>
              <w:pStyle w:val="TableParagraph"/>
              <w:spacing w:before="116" w:line="276" w:lineRule="auto"/>
              <w:ind w:left="380" w:right="104" w:hanging="252"/>
            </w:pPr>
            <w:r>
              <w:t>Non-specific binding of K</w:t>
            </w:r>
            <w:r>
              <w:rPr>
                <w:vertAlign w:val="superscript"/>
              </w:rPr>
              <w:t>+</w:t>
            </w:r>
            <w:r>
              <w:t xml:space="preserve"> in exchange for Ca</w:t>
            </w:r>
            <w:r>
              <w:rPr>
                <w:vertAlign w:val="superscript"/>
              </w:rPr>
              <w:t>2+</w:t>
            </w:r>
          </w:p>
        </w:tc>
        <w:tc>
          <w:tcPr>
            <w:tcW w:w="2555" w:type="dxa"/>
          </w:tcPr>
          <w:p w:rsidR="008F03B5" w:rsidRDefault="00586B9B">
            <w:pPr>
              <w:pStyle w:val="TableParagraph"/>
              <w:spacing w:before="116" w:line="276" w:lineRule="auto"/>
              <w:ind w:left="512" w:hanging="212"/>
            </w:pPr>
            <w:r>
              <w:t>Selective K</w:t>
            </w:r>
            <w:r>
              <w:rPr>
                <w:vertAlign w:val="superscript"/>
              </w:rPr>
              <w:t>+</w:t>
            </w:r>
            <w:r>
              <w:t xml:space="preserve"> binding in exchange for Na</w:t>
            </w:r>
            <w:r>
              <w:rPr>
                <w:vertAlign w:val="superscript"/>
              </w:rPr>
              <w:t>+</w:t>
            </w:r>
          </w:p>
        </w:tc>
      </w:tr>
      <w:tr w:rsidR="008F03B5">
        <w:trPr>
          <w:trHeight w:val="549"/>
        </w:trPr>
        <w:tc>
          <w:tcPr>
            <w:tcW w:w="1844" w:type="dxa"/>
            <w:shd w:val="clear" w:color="auto" w:fill="DEEAF6"/>
          </w:tcPr>
          <w:p w:rsidR="008F03B5" w:rsidRDefault="00586B9B">
            <w:pPr>
              <w:pStyle w:val="TableParagraph"/>
              <w:spacing w:before="116"/>
              <w:ind w:left="107"/>
              <w:rPr>
                <w:b/>
              </w:rPr>
            </w:pPr>
            <w:r>
              <w:rPr>
                <w:b/>
              </w:rPr>
              <w:t>Site of action</w:t>
            </w:r>
          </w:p>
        </w:tc>
        <w:tc>
          <w:tcPr>
            <w:tcW w:w="2552" w:type="dxa"/>
          </w:tcPr>
          <w:p w:rsidR="008F03B5" w:rsidRDefault="00586B9B">
            <w:pPr>
              <w:pStyle w:val="TableParagraph"/>
              <w:spacing w:before="116"/>
              <w:ind w:left="399" w:right="390"/>
              <w:jc w:val="center"/>
            </w:pPr>
            <w:r>
              <w:t>Distal Colon</w:t>
            </w:r>
          </w:p>
        </w:tc>
        <w:tc>
          <w:tcPr>
            <w:tcW w:w="2552" w:type="dxa"/>
          </w:tcPr>
          <w:p w:rsidR="008F03B5" w:rsidRDefault="00586B9B">
            <w:pPr>
              <w:pStyle w:val="TableParagraph"/>
              <w:spacing w:before="116"/>
              <w:ind w:left="398" w:right="390"/>
              <w:jc w:val="center"/>
            </w:pPr>
            <w:r>
              <w:t>Distal colon</w:t>
            </w:r>
          </w:p>
        </w:tc>
        <w:tc>
          <w:tcPr>
            <w:tcW w:w="2555" w:type="dxa"/>
          </w:tcPr>
          <w:p w:rsidR="008F03B5" w:rsidRDefault="00586B9B">
            <w:pPr>
              <w:pStyle w:val="TableParagraph"/>
              <w:spacing w:before="116"/>
              <w:ind w:left="194" w:right="192"/>
              <w:jc w:val="center"/>
            </w:pPr>
            <w:r>
              <w:t>Entire intestinal tract</w:t>
            </w:r>
          </w:p>
        </w:tc>
      </w:tr>
      <w:tr w:rsidR="008F03B5">
        <w:trPr>
          <w:trHeight w:val="549"/>
        </w:trPr>
        <w:tc>
          <w:tcPr>
            <w:tcW w:w="1844" w:type="dxa"/>
            <w:shd w:val="clear" w:color="auto" w:fill="DEEAF6"/>
          </w:tcPr>
          <w:p w:rsidR="008F03B5" w:rsidRDefault="00586B9B">
            <w:pPr>
              <w:pStyle w:val="TableParagraph"/>
              <w:spacing w:before="117"/>
              <w:ind w:left="107"/>
              <w:rPr>
                <w:b/>
              </w:rPr>
            </w:pPr>
            <w:r>
              <w:rPr>
                <w:b/>
              </w:rPr>
              <w:t>Administration</w:t>
            </w:r>
          </w:p>
        </w:tc>
        <w:tc>
          <w:tcPr>
            <w:tcW w:w="2552" w:type="dxa"/>
          </w:tcPr>
          <w:p w:rsidR="008F03B5" w:rsidRDefault="00586B9B">
            <w:pPr>
              <w:pStyle w:val="TableParagraph"/>
              <w:spacing w:before="117"/>
              <w:ind w:left="399" w:right="390"/>
              <w:jc w:val="center"/>
            </w:pPr>
            <w:r>
              <w:t>Oral or rectal</w:t>
            </w:r>
          </w:p>
        </w:tc>
        <w:tc>
          <w:tcPr>
            <w:tcW w:w="2552" w:type="dxa"/>
          </w:tcPr>
          <w:p w:rsidR="008F03B5" w:rsidRDefault="00586B9B">
            <w:pPr>
              <w:pStyle w:val="TableParagraph"/>
              <w:spacing w:before="117"/>
              <w:ind w:left="396" w:right="390"/>
              <w:jc w:val="center"/>
            </w:pPr>
            <w:r>
              <w:t>Oral</w:t>
            </w:r>
          </w:p>
        </w:tc>
        <w:tc>
          <w:tcPr>
            <w:tcW w:w="2555" w:type="dxa"/>
          </w:tcPr>
          <w:p w:rsidR="008F03B5" w:rsidRDefault="00586B9B">
            <w:pPr>
              <w:pStyle w:val="TableParagraph"/>
              <w:spacing w:before="117"/>
              <w:ind w:left="194" w:right="192"/>
              <w:jc w:val="center"/>
            </w:pPr>
            <w:r>
              <w:t>Oral</w:t>
            </w:r>
          </w:p>
        </w:tc>
      </w:tr>
      <w:tr w:rsidR="008F03B5">
        <w:trPr>
          <w:trHeight w:val="549"/>
        </w:trPr>
        <w:tc>
          <w:tcPr>
            <w:tcW w:w="1844" w:type="dxa"/>
            <w:shd w:val="clear" w:color="auto" w:fill="DEEAF6"/>
          </w:tcPr>
          <w:p w:rsidR="008F03B5" w:rsidRDefault="00586B9B">
            <w:pPr>
              <w:pStyle w:val="TableParagraph"/>
              <w:spacing w:before="116"/>
              <w:ind w:left="107"/>
              <w:rPr>
                <w:b/>
              </w:rPr>
            </w:pPr>
            <w:r>
              <w:rPr>
                <w:b/>
              </w:rPr>
              <w:t>Dosing</w:t>
            </w:r>
          </w:p>
        </w:tc>
        <w:tc>
          <w:tcPr>
            <w:tcW w:w="2552" w:type="dxa"/>
          </w:tcPr>
          <w:p w:rsidR="008F03B5" w:rsidRDefault="00586B9B">
            <w:pPr>
              <w:pStyle w:val="TableParagraph"/>
              <w:spacing w:before="116"/>
              <w:ind w:left="399" w:right="390"/>
              <w:jc w:val="center"/>
            </w:pPr>
            <w:r>
              <w:t>15-60g/ day</w:t>
            </w:r>
          </w:p>
        </w:tc>
        <w:tc>
          <w:tcPr>
            <w:tcW w:w="2552" w:type="dxa"/>
          </w:tcPr>
          <w:p w:rsidR="008F03B5" w:rsidRDefault="00586B9B">
            <w:pPr>
              <w:pStyle w:val="TableParagraph"/>
              <w:spacing w:before="116"/>
              <w:ind w:left="396" w:right="390"/>
              <w:jc w:val="center"/>
            </w:pPr>
            <w:r>
              <w:t>8.4-25.2 g/day</w:t>
            </w:r>
          </w:p>
        </w:tc>
        <w:tc>
          <w:tcPr>
            <w:tcW w:w="2555" w:type="dxa"/>
          </w:tcPr>
          <w:p w:rsidR="008F03B5" w:rsidRDefault="00586B9B">
            <w:pPr>
              <w:pStyle w:val="TableParagraph"/>
              <w:spacing w:before="116"/>
              <w:ind w:left="195" w:right="192"/>
              <w:jc w:val="center"/>
            </w:pPr>
            <w:r>
              <w:t>2.5-30 g/day</w:t>
            </w:r>
          </w:p>
        </w:tc>
      </w:tr>
      <w:tr w:rsidR="008F03B5">
        <w:trPr>
          <w:trHeight w:val="549"/>
        </w:trPr>
        <w:tc>
          <w:tcPr>
            <w:tcW w:w="1844" w:type="dxa"/>
            <w:shd w:val="clear" w:color="auto" w:fill="DEEAF6"/>
          </w:tcPr>
          <w:p w:rsidR="008F03B5" w:rsidRDefault="00586B9B">
            <w:pPr>
              <w:pStyle w:val="TableParagraph"/>
              <w:spacing w:before="116"/>
              <w:ind w:left="107"/>
              <w:rPr>
                <w:b/>
              </w:rPr>
            </w:pPr>
            <w:r>
              <w:rPr>
                <w:b/>
              </w:rPr>
              <w:t>Onset of effect</w:t>
            </w:r>
          </w:p>
        </w:tc>
        <w:tc>
          <w:tcPr>
            <w:tcW w:w="2552" w:type="dxa"/>
          </w:tcPr>
          <w:p w:rsidR="008F03B5" w:rsidRDefault="00586B9B">
            <w:pPr>
              <w:pStyle w:val="TableParagraph"/>
              <w:spacing w:before="116"/>
              <w:ind w:left="400" w:right="389"/>
              <w:jc w:val="center"/>
            </w:pPr>
            <w:r>
              <w:t>&gt;4 hours</w:t>
            </w:r>
          </w:p>
        </w:tc>
        <w:tc>
          <w:tcPr>
            <w:tcW w:w="2552" w:type="dxa"/>
          </w:tcPr>
          <w:p w:rsidR="008F03B5" w:rsidRDefault="00586B9B">
            <w:pPr>
              <w:pStyle w:val="TableParagraph"/>
              <w:spacing w:before="116"/>
              <w:ind w:left="397" w:right="390"/>
              <w:jc w:val="center"/>
            </w:pPr>
            <w:r>
              <w:t>4-7 hours</w:t>
            </w:r>
          </w:p>
        </w:tc>
        <w:tc>
          <w:tcPr>
            <w:tcW w:w="2555" w:type="dxa"/>
          </w:tcPr>
          <w:p w:rsidR="008F03B5" w:rsidRDefault="00586B9B">
            <w:pPr>
              <w:pStyle w:val="TableParagraph"/>
              <w:spacing w:before="116"/>
              <w:ind w:left="196" w:right="192"/>
              <w:jc w:val="center"/>
            </w:pPr>
            <w:r>
              <w:t>1 hour</w:t>
            </w:r>
          </w:p>
        </w:tc>
      </w:tr>
      <w:tr w:rsidR="008F03B5">
        <w:trPr>
          <w:trHeight w:val="1903"/>
        </w:trPr>
        <w:tc>
          <w:tcPr>
            <w:tcW w:w="1844" w:type="dxa"/>
            <w:shd w:val="clear" w:color="auto" w:fill="DEEAF6"/>
          </w:tcPr>
          <w:p w:rsidR="008F03B5" w:rsidRDefault="00586B9B">
            <w:pPr>
              <w:pStyle w:val="TableParagraph"/>
              <w:spacing w:before="116"/>
              <w:ind w:left="107"/>
              <w:rPr>
                <w:b/>
              </w:rPr>
            </w:pPr>
            <w:r>
              <w:rPr>
                <w:b/>
              </w:rPr>
              <w:t>Efficacy</w:t>
            </w:r>
          </w:p>
        </w:tc>
        <w:tc>
          <w:tcPr>
            <w:tcW w:w="2552" w:type="dxa"/>
          </w:tcPr>
          <w:p w:rsidR="008F03B5" w:rsidRDefault="00586B9B">
            <w:pPr>
              <w:pStyle w:val="TableParagraph"/>
              <w:spacing w:before="116" w:line="273" w:lineRule="auto"/>
              <w:ind w:left="919" w:right="420" w:hanging="476"/>
            </w:pPr>
            <w:r>
              <w:t>Unpredictable and variable</w:t>
            </w:r>
          </w:p>
        </w:tc>
        <w:tc>
          <w:tcPr>
            <w:tcW w:w="2552" w:type="dxa"/>
          </w:tcPr>
          <w:p w:rsidR="008F03B5" w:rsidRDefault="00586B9B">
            <w:pPr>
              <w:pStyle w:val="TableParagraph"/>
              <w:spacing w:before="116" w:line="273" w:lineRule="auto"/>
              <w:ind w:left="807" w:right="171" w:hanging="632"/>
            </w:pPr>
            <w:r>
              <w:t>−1.01 mmol/l in 4 weeks [OPAL-HK]</w:t>
            </w:r>
          </w:p>
        </w:tc>
        <w:tc>
          <w:tcPr>
            <w:tcW w:w="2555" w:type="dxa"/>
          </w:tcPr>
          <w:p w:rsidR="008F03B5" w:rsidRDefault="00586B9B">
            <w:pPr>
              <w:pStyle w:val="TableParagraph"/>
              <w:spacing w:before="116" w:line="273" w:lineRule="auto"/>
              <w:ind w:left="200" w:right="192"/>
              <w:jc w:val="center"/>
            </w:pPr>
            <w:r>
              <w:t>- 1.1 mmol/l in 48 hours [ZS-003, ZS-004]</w:t>
            </w:r>
          </w:p>
          <w:p w:rsidR="008F03B5" w:rsidRDefault="00586B9B">
            <w:pPr>
              <w:pStyle w:val="TableParagraph"/>
              <w:spacing w:before="125" w:line="276" w:lineRule="auto"/>
              <w:ind w:left="114" w:right="107" w:hanging="3"/>
              <w:jc w:val="center"/>
            </w:pPr>
            <w:r>
              <w:t>Median time to normalisation of serum K</w:t>
            </w:r>
            <w:r>
              <w:rPr>
                <w:vertAlign w:val="superscript"/>
              </w:rPr>
              <w:t>+</w:t>
            </w:r>
            <w:r>
              <w:t xml:space="preserve"> is 2.2 hours [ZS-004]</w:t>
            </w:r>
          </w:p>
        </w:tc>
      </w:tr>
      <w:tr w:rsidR="008F03B5">
        <w:trPr>
          <w:trHeight w:val="1715"/>
        </w:trPr>
        <w:tc>
          <w:tcPr>
            <w:tcW w:w="1844" w:type="dxa"/>
            <w:shd w:val="clear" w:color="auto" w:fill="DEEAF6"/>
          </w:tcPr>
          <w:p w:rsidR="008F03B5" w:rsidRDefault="00586B9B">
            <w:pPr>
              <w:pStyle w:val="TableParagraph"/>
              <w:spacing w:before="116" w:line="276" w:lineRule="auto"/>
              <w:ind w:left="107" w:right="110"/>
              <w:rPr>
                <w:b/>
              </w:rPr>
            </w:pPr>
            <w:r>
              <w:rPr>
                <w:b/>
              </w:rPr>
              <w:t>Common adverse effects</w:t>
            </w:r>
          </w:p>
        </w:tc>
        <w:tc>
          <w:tcPr>
            <w:tcW w:w="2552" w:type="dxa"/>
          </w:tcPr>
          <w:p w:rsidR="008F03B5" w:rsidRDefault="00586B9B">
            <w:pPr>
              <w:pStyle w:val="TableParagraph"/>
              <w:spacing w:before="116" w:line="384" w:lineRule="auto"/>
              <w:ind w:left="640" w:right="93" w:hanging="521"/>
            </w:pPr>
            <w:r>
              <w:t>Gastrointestinal disorders Hypokalaemia</w:t>
            </w:r>
          </w:p>
        </w:tc>
        <w:tc>
          <w:tcPr>
            <w:tcW w:w="2552" w:type="dxa"/>
          </w:tcPr>
          <w:p w:rsidR="008F03B5" w:rsidRDefault="00586B9B">
            <w:pPr>
              <w:pStyle w:val="TableParagraph"/>
              <w:spacing w:before="116" w:line="276" w:lineRule="auto"/>
              <w:ind w:left="400" w:right="388"/>
              <w:jc w:val="center"/>
            </w:pPr>
            <w:r>
              <w:t>Gastrointestinal disorders</w:t>
            </w:r>
          </w:p>
          <w:p w:rsidR="008F03B5" w:rsidRDefault="00586B9B">
            <w:pPr>
              <w:pStyle w:val="TableParagraph"/>
              <w:spacing w:before="122"/>
              <w:ind w:left="399" w:right="390"/>
              <w:jc w:val="center"/>
            </w:pPr>
            <w:r>
              <w:t>Hypokalaemia</w:t>
            </w:r>
          </w:p>
          <w:p w:rsidR="008F03B5" w:rsidRDefault="00586B9B">
            <w:pPr>
              <w:pStyle w:val="TableParagraph"/>
              <w:spacing w:before="159"/>
              <w:ind w:left="400" w:right="390"/>
              <w:jc w:val="center"/>
            </w:pPr>
            <w:r>
              <w:t>Hypomagnesaemia</w:t>
            </w:r>
          </w:p>
        </w:tc>
        <w:tc>
          <w:tcPr>
            <w:tcW w:w="2555" w:type="dxa"/>
          </w:tcPr>
          <w:p w:rsidR="008F03B5" w:rsidRDefault="00586B9B">
            <w:pPr>
              <w:pStyle w:val="TableParagraph"/>
              <w:spacing w:before="116" w:line="276" w:lineRule="auto"/>
              <w:ind w:left="200" w:right="191"/>
              <w:jc w:val="center"/>
            </w:pPr>
            <w:r>
              <w:t>Gastrointestinal disorders</w:t>
            </w:r>
          </w:p>
          <w:p w:rsidR="008F03B5" w:rsidRDefault="00586B9B">
            <w:pPr>
              <w:pStyle w:val="TableParagraph"/>
              <w:spacing w:before="122"/>
              <w:ind w:left="198" w:right="192"/>
              <w:jc w:val="center"/>
            </w:pPr>
            <w:r>
              <w:t>Hypokalaemia</w:t>
            </w:r>
          </w:p>
          <w:p w:rsidR="008F03B5" w:rsidRDefault="00586B9B">
            <w:pPr>
              <w:pStyle w:val="TableParagraph"/>
              <w:spacing w:before="159"/>
              <w:ind w:left="198" w:right="192"/>
              <w:jc w:val="center"/>
            </w:pPr>
            <w:r>
              <w:t>Oedema</w:t>
            </w:r>
          </w:p>
        </w:tc>
      </w:tr>
      <w:tr w:rsidR="008F03B5">
        <w:trPr>
          <w:trHeight w:val="1166"/>
        </w:trPr>
        <w:tc>
          <w:tcPr>
            <w:tcW w:w="1844" w:type="dxa"/>
            <w:shd w:val="clear" w:color="auto" w:fill="DEEAF6"/>
          </w:tcPr>
          <w:p w:rsidR="008F03B5" w:rsidRDefault="00586B9B">
            <w:pPr>
              <w:pStyle w:val="TableParagraph"/>
              <w:spacing w:before="116" w:line="276" w:lineRule="auto"/>
              <w:ind w:left="107" w:right="267"/>
              <w:rPr>
                <w:b/>
              </w:rPr>
            </w:pPr>
            <w:r>
              <w:rPr>
                <w:b/>
              </w:rPr>
              <w:t>Serious adverse effects</w:t>
            </w:r>
          </w:p>
        </w:tc>
        <w:tc>
          <w:tcPr>
            <w:tcW w:w="2552" w:type="dxa"/>
          </w:tcPr>
          <w:p w:rsidR="008F03B5" w:rsidRDefault="00586B9B">
            <w:pPr>
              <w:pStyle w:val="TableParagraph"/>
              <w:spacing w:before="116"/>
              <w:ind w:left="399" w:right="390"/>
              <w:jc w:val="center"/>
            </w:pPr>
            <w:r>
              <w:t>Colonic necrosis</w:t>
            </w:r>
          </w:p>
        </w:tc>
        <w:tc>
          <w:tcPr>
            <w:tcW w:w="2552" w:type="dxa"/>
          </w:tcPr>
          <w:p w:rsidR="008F03B5" w:rsidRDefault="00586B9B">
            <w:pPr>
              <w:pStyle w:val="TableParagraph"/>
              <w:spacing w:before="116" w:line="276" w:lineRule="auto"/>
              <w:ind w:left="248" w:right="239" w:hanging="2"/>
              <w:jc w:val="center"/>
            </w:pPr>
            <w:r>
              <w:t>No episodes of colonic perforation or necrosis reported</w:t>
            </w:r>
          </w:p>
        </w:tc>
        <w:tc>
          <w:tcPr>
            <w:tcW w:w="2555" w:type="dxa"/>
          </w:tcPr>
          <w:p w:rsidR="008F03B5" w:rsidRDefault="00586B9B">
            <w:pPr>
              <w:pStyle w:val="TableParagraph"/>
              <w:spacing w:before="116" w:line="276" w:lineRule="auto"/>
              <w:ind w:left="248" w:right="242" w:hanging="2"/>
              <w:jc w:val="center"/>
            </w:pPr>
            <w:r>
              <w:t>No episodes of colonic perforation or necrosis reported</w:t>
            </w:r>
          </w:p>
        </w:tc>
      </w:tr>
      <w:tr w:rsidR="008F03B5">
        <w:trPr>
          <w:trHeight w:val="549"/>
        </w:trPr>
        <w:tc>
          <w:tcPr>
            <w:tcW w:w="1844" w:type="dxa"/>
            <w:shd w:val="clear" w:color="auto" w:fill="DEEAF6"/>
          </w:tcPr>
          <w:p w:rsidR="008F03B5" w:rsidRDefault="00586B9B">
            <w:pPr>
              <w:pStyle w:val="TableParagraph"/>
              <w:spacing w:before="117"/>
              <w:ind w:left="107"/>
              <w:rPr>
                <w:b/>
              </w:rPr>
            </w:pPr>
            <w:r>
              <w:rPr>
                <w:b/>
              </w:rPr>
              <w:t>FDA Approval</w:t>
            </w:r>
          </w:p>
        </w:tc>
        <w:tc>
          <w:tcPr>
            <w:tcW w:w="2552" w:type="dxa"/>
          </w:tcPr>
          <w:p w:rsidR="008F03B5" w:rsidRDefault="00586B9B">
            <w:pPr>
              <w:pStyle w:val="TableParagraph"/>
              <w:spacing w:before="117"/>
              <w:ind w:left="398" w:right="390"/>
              <w:jc w:val="center"/>
            </w:pPr>
            <w:r>
              <w:t>1958</w:t>
            </w:r>
          </w:p>
        </w:tc>
        <w:tc>
          <w:tcPr>
            <w:tcW w:w="2552" w:type="dxa"/>
          </w:tcPr>
          <w:p w:rsidR="008F03B5" w:rsidRDefault="00586B9B">
            <w:pPr>
              <w:pStyle w:val="TableParagraph"/>
              <w:spacing w:before="117"/>
              <w:ind w:left="397" w:right="390"/>
              <w:jc w:val="center"/>
            </w:pPr>
            <w:r>
              <w:t>2015</w:t>
            </w:r>
          </w:p>
        </w:tc>
        <w:tc>
          <w:tcPr>
            <w:tcW w:w="2555" w:type="dxa"/>
          </w:tcPr>
          <w:p w:rsidR="008F03B5" w:rsidRDefault="00586B9B">
            <w:pPr>
              <w:pStyle w:val="TableParagraph"/>
              <w:spacing w:before="117"/>
              <w:ind w:left="196" w:right="192"/>
              <w:jc w:val="center"/>
            </w:pPr>
            <w:r>
              <w:t>2018</w:t>
            </w:r>
          </w:p>
        </w:tc>
      </w:tr>
      <w:tr w:rsidR="008F03B5">
        <w:trPr>
          <w:trHeight w:val="858"/>
        </w:trPr>
        <w:tc>
          <w:tcPr>
            <w:tcW w:w="1844" w:type="dxa"/>
            <w:shd w:val="clear" w:color="auto" w:fill="DEEAF6"/>
          </w:tcPr>
          <w:p w:rsidR="008F03B5" w:rsidRDefault="00586B9B">
            <w:pPr>
              <w:pStyle w:val="TableParagraph"/>
              <w:spacing w:before="116" w:line="276" w:lineRule="auto"/>
              <w:ind w:left="107" w:right="369"/>
              <w:rPr>
                <w:b/>
              </w:rPr>
            </w:pPr>
            <w:r>
              <w:rPr>
                <w:b/>
              </w:rPr>
              <w:t>NICE Appraisal status</w:t>
            </w:r>
          </w:p>
        </w:tc>
        <w:tc>
          <w:tcPr>
            <w:tcW w:w="2552" w:type="dxa"/>
          </w:tcPr>
          <w:p w:rsidR="008F03B5" w:rsidRDefault="00586B9B">
            <w:pPr>
              <w:pStyle w:val="TableParagraph"/>
              <w:spacing w:before="116"/>
              <w:ind w:left="397" w:right="390"/>
              <w:jc w:val="center"/>
            </w:pPr>
            <w:r>
              <w:t>N/A</w:t>
            </w:r>
          </w:p>
        </w:tc>
        <w:tc>
          <w:tcPr>
            <w:tcW w:w="2552" w:type="dxa"/>
          </w:tcPr>
          <w:p w:rsidR="008F03B5" w:rsidRDefault="00586B9B">
            <w:pPr>
              <w:pStyle w:val="TableParagraph"/>
              <w:spacing w:before="116"/>
              <w:ind w:left="397" w:right="390"/>
              <w:jc w:val="center"/>
            </w:pPr>
            <w:r>
              <w:t>Pending</w:t>
            </w:r>
          </w:p>
        </w:tc>
        <w:tc>
          <w:tcPr>
            <w:tcW w:w="2555" w:type="dxa"/>
          </w:tcPr>
          <w:p w:rsidR="008F03B5" w:rsidRDefault="00586B9B">
            <w:pPr>
              <w:pStyle w:val="TableParagraph"/>
              <w:spacing w:before="116"/>
              <w:ind w:left="198" w:right="192"/>
              <w:jc w:val="center"/>
            </w:pPr>
            <w:r>
              <w:t>Approved</w:t>
            </w:r>
          </w:p>
        </w:tc>
      </w:tr>
    </w:tbl>
    <w:p w:rsidR="008F03B5" w:rsidRDefault="008F03B5">
      <w:pPr>
        <w:pStyle w:val="a3"/>
        <w:rPr>
          <w:b/>
          <w:sz w:val="20"/>
        </w:rPr>
      </w:pPr>
    </w:p>
    <w:p w:rsidR="008F03B5" w:rsidRDefault="008F03B5">
      <w:pPr>
        <w:pStyle w:val="a3"/>
        <w:spacing w:before="1"/>
        <w:rPr>
          <w:b/>
          <w:sz w:val="18"/>
        </w:rPr>
      </w:pPr>
    </w:p>
    <w:p w:rsidR="008F03B5" w:rsidRDefault="00586B9B">
      <w:pPr>
        <w:pStyle w:val="3"/>
      </w:pPr>
      <w:r>
        <w:t>Comparison between potassium-binding agents for treatment of hyperkalaemia.</w:t>
      </w:r>
    </w:p>
    <w:p w:rsidR="008F03B5" w:rsidRDefault="008F03B5">
      <w:pPr>
        <w:sectPr w:rsidR="008F03B5">
          <w:pgSz w:w="11910" w:h="16840"/>
          <w:pgMar w:top="1540" w:right="780" w:bottom="1100" w:left="860" w:header="425" w:footer="912" w:gutter="0"/>
          <w:cols w:space="720"/>
        </w:sectPr>
      </w:pPr>
    </w:p>
    <w:p w:rsidR="008F03B5" w:rsidRDefault="00586B9B">
      <w:pPr>
        <w:pStyle w:val="2"/>
        <w:spacing w:before="119"/>
      </w:pPr>
      <w:bookmarkStart w:id="31" w:name="_bookmark49"/>
      <w:bookmarkEnd w:id="31"/>
      <w:r>
        <w:rPr>
          <w:color w:val="1F4E79"/>
        </w:rPr>
        <w:lastRenderedPageBreak/>
        <w:t>Appendix 2: Summary of clinical trials of oral potassium lowering drugs</w:t>
      </w:r>
    </w:p>
    <w:p w:rsidR="008F03B5" w:rsidRDefault="008F03B5">
      <w:pPr>
        <w:pStyle w:val="a3"/>
        <w:rPr>
          <w:b/>
          <w:sz w:val="20"/>
        </w:rPr>
      </w:pPr>
    </w:p>
    <w:p w:rsidR="008F03B5" w:rsidRDefault="008F03B5">
      <w:pPr>
        <w:pStyle w:val="a3"/>
        <w:spacing w:before="7"/>
        <w:rPr>
          <w:b/>
          <w:sz w:val="29"/>
        </w:rPr>
      </w:pPr>
    </w:p>
    <w:tbl>
      <w:tblPr>
        <w:tblStyle w:val="TableNormal"/>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711"/>
        <w:gridCol w:w="1754"/>
        <w:gridCol w:w="1094"/>
        <w:gridCol w:w="1326"/>
        <w:gridCol w:w="1207"/>
        <w:gridCol w:w="1420"/>
      </w:tblGrid>
      <w:tr w:rsidR="008F03B5">
        <w:trPr>
          <w:trHeight w:val="925"/>
        </w:trPr>
        <w:tc>
          <w:tcPr>
            <w:tcW w:w="2093" w:type="dxa"/>
            <w:shd w:val="clear" w:color="auto" w:fill="DEEAF6"/>
          </w:tcPr>
          <w:p w:rsidR="008F03B5" w:rsidRDefault="00586B9B">
            <w:pPr>
              <w:pStyle w:val="TableParagraph"/>
              <w:spacing w:line="265" w:lineRule="exact"/>
              <w:ind w:left="107"/>
              <w:rPr>
                <w:b/>
              </w:rPr>
            </w:pPr>
            <w:r>
              <w:rPr>
                <w:b/>
              </w:rPr>
              <w:t>STUDY</w:t>
            </w:r>
          </w:p>
        </w:tc>
        <w:tc>
          <w:tcPr>
            <w:tcW w:w="711" w:type="dxa"/>
            <w:shd w:val="clear" w:color="auto" w:fill="DEEAF6"/>
          </w:tcPr>
          <w:p w:rsidR="008F03B5" w:rsidRDefault="00586B9B">
            <w:pPr>
              <w:pStyle w:val="TableParagraph"/>
              <w:spacing w:line="265" w:lineRule="exact"/>
              <w:ind w:left="165" w:right="159"/>
              <w:jc w:val="center"/>
              <w:rPr>
                <w:b/>
              </w:rPr>
            </w:pPr>
            <w:r>
              <w:rPr>
                <w:b/>
              </w:rPr>
              <w:t>N=</w:t>
            </w:r>
          </w:p>
        </w:tc>
        <w:tc>
          <w:tcPr>
            <w:tcW w:w="1754" w:type="dxa"/>
            <w:shd w:val="clear" w:color="auto" w:fill="DEEAF6"/>
          </w:tcPr>
          <w:p w:rsidR="008F03B5" w:rsidRDefault="00586B9B">
            <w:pPr>
              <w:pStyle w:val="TableParagraph"/>
              <w:spacing w:line="265" w:lineRule="exact"/>
              <w:ind w:left="162" w:right="154"/>
              <w:jc w:val="center"/>
              <w:rPr>
                <w:b/>
              </w:rPr>
            </w:pPr>
            <w:r>
              <w:rPr>
                <w:b/>
              </w:rPr>
              <w:t>INTERVENTION</w:t>
            </w:r>
          </w:p>
        </w:tc>
        <w:tc>
          <w:tcPr>
            <w:tcW w:w="1094" w:type="dxa"/>
            <w:shd w:val="clear" w:color="auto" w:fill="DEEAF6"/>
          </w:tcPr>
          <w:p w:rsidR="008F03B5" w:rsidRDefault="00586B9B">
            <w:pPr>
              <w:pStyle w:val="TableParagraph"/>
              <w:spacing w:line="276" w:lineRule="auto"/>
              <w:ind w:left="273" w:right="246" w:firstLine="86"/>
              <w:rPr>
                <w:b/>
              </w:rPr>
            </w:pPr>
            <w:r>
              <w:rPr>
                <w:b/>
              </w:rPr>
              <w:t>CKD (eGFR</w:t>
            </w:r>
          </w:p>
          <w:p w:rsidR="008F03B5" w:rsidRDefault="00586B9B">
            <w:pPr>
              <w:pStyle w:val="TableParagraph"/>
              <w:spacing w:line="268" w:lineRule="exact"/>
              <w:ind w:left="346"/>
              <w:rPr>
                <w:b/>
              </w:rPr>
            </w:pPr>
            <w:r>
              <w:rPr>
                <w:b/>
              </w:rPr>
              <w:t>&lt;60)</w:t>
            </w:r>
          </w:p>
        </w:tc>
        <w:tc>
          <w:tcPr>
            <w:tcW w:w="1326" w:type="dxa"/>
            <w:shd w:val="clear" w:color="auto" w:fill="DEEAF6"/>
          </w:tcPr>
          <w:p w:rsidR="008F03B5" w:rsidRDefault="00586B9B">
            <w:pPr>
              <w:pStyle w:val="TableParagraph"/>
              <w:spacing w:line="265" w:lineRule="exact"/>
              <w:ind w:left="205" w:right="189"/>
              <w:jc w:val="center"/>
              <w:rPr>
                <w:b/>
              </w:rPr>
            </w:pPr>
            <w:r>
              <w:rPr>
                <w:b/>
              </w:rPr>
              <w:t>DIABETES</w:t>
            </w:r>
          </w:p>
        </w:tc>
        <w:tc>
          <w:tcPr>
            <w:tcW w:w="1207" w:type="dxa"/>
            <w:shd w:val="clear" w:color="auto" w:fill="DEEAF6"/>
          </w:tcPr>
          <w:p w:rsidR="008F03B5" w:rsidRDefault="00586B9B">
            <w:pPr>
              <w:pStyle w:val="TableParagraph"/>
              <w:spacing w:line="276" w:lineRule="auto"/>
              <w:ind w:left="227" w:right="189" w:firstLine="72"/>
              <w:rPr>
                <w:b/>
              </w:rPr>
            </w:pPr>
            <w:r>
              <w:rPr>
                <w:b/>
              </w:rPr>
              <w:t>HEART FAILURE</w:t>
            </w:r>
          </w:p>
        </w:tc>
        <w:tc>
          <w:tcPr>
            <w:tcW w:w="1420" w:type="dxa"/>
            <w:shd w:val="clear" w:color="auto" w:fill="DEEAF6"/>
          </w:tcPr>
          <w:p w:rsidR="008F03B5" w:rsidRDefault="00586B9B">
            <w:pPr>
              <w:pStyle w:val="TableParagraph"/>
              <w:spacing w:line="265" w:lineRule="exact"/>
              <w:ind w:left="226" w:right="205"/>
              <w:jc w:val="center"/>
              <w:rPr>
                <w:b/>
              </w:rPr>
            </w:pPr>
            <w:r>
              <w:rPr>
                <w:b/>
              </w:rPr>
              <w:t>RAASi</w:t>
            </w:r>
          </w:p>
        </w:tc>
      </w:tr>
      <w:tr w:rsidR="008F03B5">
        <w:trPr>
          <w:trHeight w:val="637"/>
        </w:trPr>
        <w:tc>
          <w:tcPr>
            <w:tcW w:w="2093" w:type="dxa"/>
          </w:tcPr>
          <w:p w:rsidR="008F03B5" w:rsidRDefault="00586B9B">
            <w:pPr>
              <w:pStyle w:val="TableParagraph"/>
              <w:spacing w:before="8"/>
              <w:ind w:left="107"/>
            </w:pPr>
            <w:r>
              <w:t>Lepage 2015</w:t>
            </w:r>
          </w:p>
          <w:p w:rsidR="008F03B5" w:rsidRDefault="00586B9B">
            <w:pPr>
              <w:pStyle w:val="TableParagraph"/>
              <w:spacing w:before="39"/>
              <w:ind w:left="107"/>
            </w:pPr>
            <w:r>
              <w:t>RCT</w:t>
            </w:r>
          </w:p>
        </w:tc>
        <w:tc>
          <w:tcPr>
            <w:tcW w:w="711" w:type="dxa"/>
          </w:tcPr>
          <w:p w:rsidR="008F03B5" w:rsidRDefault="00586B9B">
            <w:pPr>
              <w:pStyle w:val="TableParagraph"/>
              <w:spacing w:before="162"/>
              <w:ind w:left="167" w:right="159"/>
              <w:jc w:val="center"/>
            </w:pPr>
            <w:r>
              <w:t>33</w:t>
            </w:r>
          </w:p>
        </w:tc>
        <w:tc>
          <w:tcPr>
            <w:tcW w:w="1754" w:type="dxa"/>
          </w:tcPr>
          <w:p w:rsidR="008F03B5" w:rsidRDefault="00586B9B">
            <w:pPr>
              <w:pStyle w:val="TableParagraph"/>
              <w:spacing w:before="162"/>
              <w:ind w:left="161" w:right="154"/>
              <w:jc w:val="center"/>
            </w:pPr>
            <w:r>
              <w:t>SPS</w:t>
            </w:r>
          </w:p>
        </w:tc>
        <w:tc>
          <w:tcPr>
            <w:tcW w:w="1094" w:type="dxa"/>
          </w:tcPr>
          <w:p w:rsidR="008F03B5" w:rsidRDefault="00586B9B">
            <w:pPr>
              <w:pStyle w:val="TableParagraph"/>
              <w:spacing w:before="162"/>
              <w:ind w:left="281" w:right="271"/>
              <w:jc w:val="center"/>
            </w:pPr>
            <w:r>
              <w:t>100%</w:t>
            </w:r>
          </w:p>
        </w:tc>
        <w:tc>
          <w:tcPr>
            <w:tcW w:w="1326" w:type="dxa"/>
          </w:tcPr>
          <w:p w:rsidR="008F03B5" w:rsidRDefault="00586B9B">
            <w:pPr>
              <w:pStyle w:val="TableParagraph"/>
              <w:spacing w:before="162"/>
              <w:ind w:left="205" w:right="188"/>
              <w:jc w:val="center"/>
            </w:pPr>
            <w:r>
              <w:t>72%</w:t>
            </w:r>
          </w:p>
        </w:tc>
        <w:tc>
          <w:tcPr>
            <w:tcW w:w="1207" w:type="dxa"/>
          </w:tcPr>
          <w:p w:rsidR="008F03B5" w:rsidRDefault="00586B9B">
            <w:pPr>
              <w:pStyle w:val="TableParagraph"/>
              <w:spacing w:before="162"/>
              <w:ind w:left="341" w:right="322"/>
              <w:jc w:val="center"/>
            </w:pPr>
            <w:r>
              <w:t>9%</w:t>
            </w:r>
          </w:p>
        </w:tc>
        <w:tc>
          <w:tcPr>
            <w:tcW w:w="1420" w:type="dxa"/>
          </w:tcPr>
          <w:p w:rsidR="008F03B5" w:rsidRDefault="00586B9B">
            <w:pPr>
              <w:pStyle w:val="TableParagraph"/>
              <w:spacing w:before="162"/>
              <w:ind w:left="223" w:right="205"/>
              <w:jc w:val="center"/>
            </w:pPr>
            <w:r>
              <w:t>76%</w:t>
            </w:r>
          </w:p>
        </w:tc>
      </w:tr>
      <w:tr w:rsidR="008F03B5">
        <w:trPr>
          <w:trHeight w:val="618"/>
        </w:trPr>
        <w:tc>
          <w:tcPr>
            <w:tcW w:w="2093" w:type="dxa"/>
          </w:tcPr>
          <w:p w:rsidR="008F03B5" w:rsidRDefault="00586B9B">
            <w:pPr>
              <w:pStyle w:val="TableParagraph"/>
              <w:spacing w:line="268" w:lineRule="exact"/>
              <w:ind w:left="107"/>
            </w:pPr>
            <w:r>
              <w:t>Nasir 2014</w:t>
            </w:r>
          </w:p>
          <w:p w:rsidR="008F03B5" w:rsidRDefault="00586B9B">
            <w:pPr>
              <w:pStyle w:val="TableParagraph"/>
              <w:spacing w:before="38"/>
              <w:ind w:left="107"/>
            </w:pPr>
            <w:r>
              <w:t>RCT</w:t>
            </w:r>
          </w:p>
        </w:tc>
        <w:tc>
          <w:tcPr>
            <w:tcW w:w="711" w:type="dxa"/>
          </w:tcPr>
          <w:p w:rsidR="008F03B5" w:rsidRDefault="00586B9B">
            <w:pPr>
              <w:pStyle w:val="TableParagraph"/>
              <w:spacing w:before="152"/>
              <w:ind w:left="167" w:right="159"/>
              <w:jc w:val="center"/>
            </w:pPr>
            <w:r>
              <w:t>97</w:t>
            </w:r>
          </w:p>
        </w:tc>
        <w:tc>
          <w:tcPr>
            <w:tcW w:w="1754" w:type="dxa"/>
          </w:tcPr>
          <w:p w:rsidR="008F03B5" w:rsidRDefault="00586B9B">
            <w:pPr>
              <w:pStyle w:val="TableParagraph"/>
              <w:spacing w:line="268" w:lineRule="exact"/>
              <w:ind w:left="162" w:right="152"/>
              <w:jc w:val="center"/>
            </w:pPr>
            <w:r>
              <w:t>CPS</w:t>
            </w:r>
          </w:p>
          <w:p w:rsidR="008F03B5" w:rsidRDefault="00586B9B">
            <w:pPr>
              <w:pStyle w:val="TableParagraph"/>
              <w:spacing w:before="38"/>
              <w:ind w:left="161" w:right="154"/>
              <w:jc w:val="center"/>
            </w:pPr>
            <w:r>
              <w:t>SPS</w:t>
            </w:r>
          </w:p>
        </w:tc>
        <w:tc>
          <w:tcPr>
            <w:tcW w:w="1094" w:type="dxa"/>
          </w:tcPr>
          <w:p w:rsidR="008F03B5" w:rsidRDefault="00586B9B">
            <w:pPr>
              <w:pStyle w:val="TableParagraph"/>
              <w:spacing w:before="152"/>
              <w:ind w:left="281" w:right="271"/>
              <w:jc w:val="center"/>
            </w:pPr>
            <w:r>
              <w:t>100%</w:t>
            </w:r>
          </w:p>
        </w:tc>
        <w:tc>
          <w:tcPr>
            <w:tcW w:w="1326" w:type="dxa"/>
          </w:tcPr>
          <w:p w:rsidR="008F03B5" w:rsidRDefault="00586B9B">
            <w:pPr>
              <w:pStyle w:val="TableParagraph"/>
              <w:spacing w:before="152"/>
              <w:ind w:left="205" w:right="188"/>
              <w:jc w:val="center"/>
            </w:pPr>
            <w:r>
              <w:t>65%</w:t>
            </w:r>
          </w:p>
        </w:tc>
        <w:tc>
          <w:tcPr>
            <w:tcW w:w="1207" w:type="dxa"/>
          </w:tcPr>
          <w:p w:rsidR="008F03B5" w:rsidRDefault="00586B9B">
            <w:pPr>
              <w:pStyle w:val="TableParagraph"/>
              <w:spacing w:before="152"/>
              <w:ind w:left="339" w:right="322"/>
              <w:jc w:val="center"/>
            </w:pPr>
            <w:r>
              <w:t>NA</w:t>
            </w:r>
          </w:p>
        </w:tc>
        <w:tc>
          <w:tcPr>
            <w:tcW w:w="1420" w:type="dxa"/>
          </w:tcPr>
          <w:p w:rsidR="008F03B5" w:rsidRDefault="00586B9B">
            <w:pPr>
              <w:pStyle w:val="TableParagraph"/>
              <w:spacing w:line="268" w:lineRule="exact"/>
              <w:ind w:left="224" w:right="205"/>
              <w:jc w:val="center"/>
            </w:pPr>
            <w:r>
              <w:t>0%</w:t>
            </w:r>
          </w:p>
          <w:p w:rsidR="008F03B5" w:rsidRDefault="00586B9B">
            <w:pPr>
              <w:pStyle w:val="TableParagraph"/>
              <w:spacing w:before="38"/>
              <w:ind w:left="226" w:right="205"/>
              <w:jc w:val="center"/>
            </w:pPr>
            <w:r>
              <w:t>(excluded)</w:t>
            </w:r>
          </w:p>
        </w:tc>
      </w:tr>
      <w:tr w:rsidR="008F03B5">
        <w:trPr>
          <w:trHeight w:val="697"/>
        </w:trPr>
        <w:tc>
          <w:tcPr>
            <w:tcW w:w="2093" w:type="dxa"/>
            <w:tcBorders>
              <w:bottom w:val="single" w:sz="18" w:space="0" w:color="000000"/>
            </w:tcBorders>
          </w:tcPr>
          <w:p w:rsidR="008F03B5" w:rsidRDefault="00586B9B">
            <w:pPr>
              <w:pStyle w:val="TableParagraph"/>
              <w:spacing w:before="38" w:line="276" w:lineRule="auto"/>
              <w:ind w:left="107" w:right="394"/>
            </w:pPr>
            <w:r>
              <w:t>Gruy-Kapral 1998 RCT</w:t>
            </w:r>
          </w:p>
        </w:tc>
        <w:tc>
          <w:tcPr>
            <w:tcW w:w="711" w:type="dxa"/>
            <w:tcBorders>
              <w:bottom w:val="single" w:sz="18" w:space="0" w:color="000000"/>
            </w:tcBorders>
          </w:tcPr>
          <w:p w:rsidR="008F03B5" w:rsidRDefault="00586B9B">
            <w:pPr>
              <w:pStyle w:val="TableParagraph"/>
              <w:spacing w:before="191"/>
              <w:ind w:left="6"/>
              <w:jc w:val="center"/>
            </w:pPr>
            <w:r>
              <w:t>6</w:t>
            </w:r>
          </w:p>
        </w:tc>
        <w:tc>
          <w:tcPr>
            <w:tcW w:w="1754" w:type="dxa"/>
            <w:tcBorders>
              <w:bottom w:val="single" w:sz="18" w:space="0" w:color="000000"/>
            </w:tcBorders>
          </w:tcPr>
          <w:p w:rsidR="008F03B5" w:rsidRDefault="00586B9B">
            <w:pPr>
              <w:pStyle w:val="TableParagraph"/>
              <w:spacing w:before="191"/>
              <w:ind w:left="161" w:right="154"/>
              <w:jc w:val="center"/>
            </w:pPr>
            <w:r>
              <w:t>SPS</w:t>
            </w:r>
          </w:p>
        </w:tc>
        <w:tc>
          <w:tcPr>
            <w:tcW w:w="1094" w:type="dxa"/>
            <w:tcBorders>
              <w:bottom w:val="single" w:sz="18" w:space="0" w:color="000000"/>
            </w:tcBorders>
          </w:tcPr>
          <w:p w:rsidR="008F03B5" w:rsidRDefault="00586B9B">
            <w:pPr>
              <w:pStyle w:val="TableParagraph"/>
              <w:spacing w:before="191"/>
              <w:ind w:left="281" w:right="271"/>
              <w:jc w:val="center"/>
            </w:pPr>
            <w:r>
              <w:t>HD</w:t>
            </w:r>
          </w:p>
        </w:tc>
        <w:tc>
          <w:tcPr>
            <w:tcW w:w="1326" w:type="dxa"/>
            <w:tcBorders>
              <w:bottom w:val="single" w:sz="18" w:space="0" w:color="000000"/>
            </w:tcBorders>
          </w:tcPr>
          <w:p w:rsidR="008F03B5" w:rsidRDefault="00586B9B">
            <w:pPr>
              <w:pStyle w:val="TableParagraph"/>
              <w:spacing w:before="191"/>
              <w:ind w:left="205" w:right="189"/>
              <w:jc w:val="center"/>
            </w:pPr>
            <w:r>
              <w:t>NA</w:t>
            </w:r>
          </w:p>
        </w:tc>
        <w:tc>
          <w:tcPr>
            <w:tcW w:w="1207" w:type="dxa"/>
            <w:tcBorders>
              <w:bottom w:val="single" w:sz="18" w:space="0" w:color="000000"/>
            </w:tcBorders>
          </w:tcPr>
          <w:p w:rsidR="008F03B5" w:rsidRDefault="00586B9B">
            <w:pPr>
              <w:pStyle w:val="TableParagraph"/>
              <w:spacing w:before="191"/>
              <w:ind w:left="339" w:right="322"/>
              <w:jc w:val="center"/>
            </w:pPr>
            <w:r>
              <w:t>NA</w:t>
            </w:r>
          </w:p>
        </w:tc>
        <w:tc>
          <w:tcPr>
            <w:tcW w:w="1420" w:type="dxa"/>
            <w:tcBorders>
              <w:bottom w:val="single" w:sz="18" w:space="0" w:color="000000"/>
            </w:tcBorders>
          </w:tcPr>
          <w:p w:rsidR="008F03B5" w:rsidRDefault="00586B9B">
            <w:pPr>
              <w:pStyle w:val="TableParagraph"/>
              <w:spacing w:before="191"/>
              <w:ind w:left="222" w:right="205"/>
              <w:jc w:val="center"/>
            </w:pPr>
            <w:r>
              <w:t>NA</w:t>
            </w:r>
          </w:p>
        </w:tc>
      </w:tr>
      <w:tr w:rsidR="008F03B5">
        <w:trPr>
          <w:trHeight w:val="937"/>
        </w:trPr>
        <w:tc>
          <w:tcPr>
            <w:tcW w:w="2093" w:type="dxa"/>
            <w:tcBorders>
              <w:top w:val="single" w:sz="18" w:space="0" w:color="000000"/>
            </w:tcBorders>
            <w:shd w:val="clear" w:color="auto" w:fill="F1F1F1"/>
          </w:tcPr>
          <w:p w:rsidR="008F03B5" w:rsidRDefault="00586B9B">
            <w:pPr>
              <w:pStyle w:val="TableParagraph"/>
              <w:spacing w:before="3"/>
              <w:ind w:left="107"/>
            </w:pPr>
            <w:r>
              <w:t>Ash 2015</w:t>
            </w:r>
          </w:p>
          <w:p w:rsidR="008F03B5" w:rsidRDefault="00586B9B">
            <w:pPr>
              <w:pStyle w:val="TableParagraph"/>
              <w:spacing w:before="41"/>
              <w:ind w:left="107"/>
            </w:pPr>
            <w:r>
              <w:t>Phase II RCT</w:t>
            </w:r>
          </w:p>
          <w:p w:rsidR="008F03B5" w:rsidRDefault="00586B9B">
            <w:pPr>
              <w:pStyle w:val="TableParagraph"/>
              <w:spacing w:before="39"/>
              <w:ind w:left="107"/>
              <w:rPr>
                <w:b/>
              </w:rPr>
            </w:pPr>
            <w:r>
              <w:rPr>
                <w:b/>
              </w:rPr>
              <w:t>ZS-002</w:t>
            </w:r>
          </w:p>
        </w:tc>
        <w:tc>
          <w:tcPr>
            <w:tcW w:w="711" w:type="dxa"/>
            <w:tcBorders>
              <w:top w:val="single" w:sz="18" w:space="0" w:color="000000"/>
            </w:tcBorders>
            <w:shd w:val="clear" w:color="auto" w:fill="F1F1F1"/>
          </w:tcPr>
          <w:p w:rsidR="008F03B5" w:rsidRDefault="008F03B5">
            <w:pPr>
              <w:pStyle w:val="TableParagraph"/>
              <w:spacing w:before="7"/>
              <w:rPr>
                <w:b/>
                <w:sz w:val="25"/>
              </w:rPr>
            </w:pPr>
          </w:p>
          <w:p w:rsidR="008F03B5" w:rsidRDefault="00586B9B">
            <w:pPr>
              <w:pStyle w:val="TableParagraph"/>
              <w:ind w:left="167" w:right="159"/>
              <w:jc w:val="center"/>
            </w:pPr>
            <w:r>
              <w:t>90</w:t>
            </w:r>
          </w:p>
        </w:tc>
        <w:tc>
          <w:tcPr>
            <w:tcW w:w="1754" w:type="dxa"/>
            <w:tcBorders>
              <w:top w:val="single" w:sz="18" w:space="0" w:color="000000"/>
            </w:tcBorders>
            <w:shd w:val="clear" w:color="auto" w:fill="F1F1F1"/>
          </w:tcPr>
          <w:p w:rsidR="008F03B5" w:rsidRDefault="008F03B5">
            <w:pPr>
              <w:pStyle w:val="TableParagraph"/>
              <w:spacing w:before="7"/>
              <w:rPr>
                <w:b/>
                <w:sz w:val="25"/>
              </w:rPr>
            </w:pPr>
          </w:p>
          <w:p w:rsidR="008F03B5" w:rsidRDefault="00586B9B">
            <w:pPr>
              <w:pStyle w:val="TableParagraph"/>
              <w:ind w:left="162" w:right="154"/>
              <w:jc w:val="center"/>
            </w:pPr>
            <w:r>
              <w:t>SZC</w:t>
            </w:r>
          </w:p>
        </w:tc>
        <w:tc>
          <w:tcPr>
            <w:tcW w:w="1094" w:type="dxa"/>
            <w:tcBorders>
              <w:top w:val="single" w:sz="18" w:space="0" w:color="000000"/>
            </w:tcBorders>
            <w:shd w:val="clear" w:color="auto" w:fill="F1F1F1"/>
          </w:tcPr>
          <w:p w:rsidR="008F03B5" w:rsidRDefault="008F03B5">
            <w:pPr>
              <w:pStyle w:val="TableParagraph"/>
              <w:spacing w:before="7"/>
              <w:rPr>
                <w:b/>
                <w:sz w:val="25"/>
              </w:rPr>
            </w:pPr>
          </w:p>
          <w:p w:rsidR="008F03B5" w:rsidRDefault="00586B9B">
            <w:pPr>
              <w:pStyle w:val="TableParagraph"/>
              <w:ind w:left="281" w:right="271"/>
              <w:jc w:val="center"/>
            </w:pPr>
            <w:r>
              <w:t>100%</w:t>
            </w:r>
          </w:p>
        </w:tc>
        <w:tc>
          <w:tcPr>
            <w:tcW w:w="1326" w:type="dxa"/>
            <w:tcBorders>
              <w:top w:val="single" w:sz="18" w:space="0" w:color="000000"/>
            </w:tcBorders>
            <w:shd w:val="clear" w:color="auto" w:fill="F1F1F1"/>
          </w:tcPr>
          <w:p w:rsidR="008F03B5" w:rsidRDefault="008F03B5">
            <w:pPr>
              <w:pStyle w:val="TableParagraph"/>
              <w:spacing w:before="7"/>
              <w:rPr>
                <w:b/>
                <w:sz w:val="25"/>
              </w:rPr>
            </w:pPr>
          </w:p>
          <w:p w:rsidR="008F03B5" w:rsidRDefault="00586B9B">
            <w:pPr>
              <w:pStyle w:val="TableParagraph"/>
              <w:ind w:left="205" w:right="188"/>
              <w:jc w:val="center"/>
            </w:pPr>
            <w:r>
              <w:t>56%</w:t>
            </w:r>
          </w:p>
        </w:tc>
        <w:tc>
          <w:tcPr>
            <w:tcW w:w="1207" w:type="dxa"/>
            <w:tcBorders>
              <w:top w:val="single" w:sz="18" w:space="0" w:color="000000"/>
            </w:tcBorders>
            <w:shd w:val="clear" w:color="auto" w:fill="F1F1F1"/>
          </w:tcPr>
          <w:p w:rsidR="008F03B5" w:rsidRDefault="008F03B5">
            <w:pPr>
              <w:pStyle w:val="TableParagraph"/>
              <w:spacing w:before="7"/>
              <w:rPr>
                <w:b/>
                <w:sz w:val="25"/>
              </w:rPr>
            </w:pPr>
          </w:p>
          <w:p w:rsidR="008F03B5" w:rsidRDefault="00586B9B">
            <w:pPr>
              <w:pStyle w:val="TableParagraph"/>
              <w:ind w:left="339" w:right="322"/>
              <w:jc w:val="center"/>
            </w:pPr>
            <w:r>
              <w:t>NA</w:t>
            </w:r>
          </w:p>
        </w:tc>
        <w:tc>
          <w:tcPr>
            <w:tcW w:w="1420" w:type="dxa"/>
            <w:tcBorders>
              <w:top w:val="single" w:sz="18" w:space="0" w:color="000000"/>
            </w:tcBorders>
            <w:shd w:val="clear" w:color="auto" w:fill="F1F1F1"/>
          </w:tcPr>
          <w:p w:rsidR="008F03B5" w:rsidRDefault="008F03B5">
            <w:pPr>
              <w:pStyle w:val="TableParagraph"/>
              <w:spacing w:before="7"/>
              <w:rPr>
                <w:b/>
                <w:sz w:val="25"/>
              </w:rPr>
            </w:pPr>
          </w:p>
          <w:p w:rsidR="008F03B5" w:rsidRDefault="00586B9B">
            <w:pPr>
              <w:pStyle w:val="TableParagraph"/>
              <w:ind w:left="223" w:right="205"/>
              <w:jc w:val="center"/>
            </w:pPr>
            <w:r>
              <w:t>62%</w:t>
            </w:r>
          </w:p>
        </w:tc>
      </w:tr>
      <w:tr w:rsidR="008F03B5">
        <w:trPr>
          <w:trHeight w:val="926"/>
        </w:trPr>
        <w:tc>
          <w:tcPr>
            <w:tcW w:w="2093" w:type="dxa"/>
            <w:shd w:val="clear" w:color="auto" w:fill="F1F1F1"/>
          </w:tcPr>
          <w:p w:rsidR="008F03B5" w:rsidRDefault="00586B9B">
            <w:pPr>
              <w:pStyle w:val="TableParagraph"/>
              <w:spacing w:line="276" w:lineRule="auto"/>
              <w:ind w:left="107" w:right="651"/>
            </w:pPr>
            <w:r>
              <w:t>Packman 2015 Phase III RCT</w:t>
            </w:r>
          </w:p>
          <w:p w:rsidR="008F03B5" w:rsidRDefault="00586B9B">
            <w:pPr>
              <w:pStyle w:val="TableParagraph"/>
              <w:ind w:left="107"/>
              <w:rPr>
                <w:b/>
              </w:rPr>
            </w:pPr>
            <w:r>
              <w:rPr>
                <w:b/>
              </w:rPr>
              <w:t>ZS-003</w:t>
            </w:r>
          </w:p>
        </w:tc>
        <w:tc>
          <w:tcPr>
            <w:tcW w:w="711" w:type="dxa"/>
            <w:shd w:val="clear" w:color="auto" w:fill="F1F1F1"/>
          </w:tcPr>
          <w:p w:rsidR="008F03B5" w:rsidRDefault="008F03B5">
            <w:pPr>
              <w:pStyle w:val="TableParagraph"/>
              <w:spacing w:before="1"/>
              <w:rPr>
                <w:b/>
                <w:sz w:val="25"/>
              </w:rPr>
            </w:pPr>
          </w:p>
          <w:p w:rsidR="008F03B5" w:rsidRDefault="00586B9B">
            <w:pPr>
              <w:pStyle w:val="TableParagraph"/>
              <w:ind w:left="167" w:right="159"/>
              <w:jc w:val="center"/>
            </w:pPr>
            <w:r>
              <w:t>753</w:t>
            </w:r>
          </w:p>
        </w:tc>
        <w:tc>
          <w:tcPr>
            <w:tcW w:w="1754" w:type="dxa"/>
            <w:shd w:val="clear" w:color="auto" w:fill="F1F1F1"/>
          </w:tcPr>
          <w:p w:rsidR="008F03B5" w:rsidRDefault="008F03B5">
            <w:pPr>
              <w:pStyle w:val="TableParagraph"/>
              <w:spacing w:before="1"/>
              <w:rPr>
                <w:b/>
                <w:sz w:val="25"/>
              </w:rPr>
            </w:pPr>
          </w:p>
          <w:p w:rsidR="008F03B5" w:rsidRDefault="00586B9B">
            <w:pPr>
              <w:pStyle w:val="TableParagraph"/>
              <w:ind w:left="162" w:right="154"/>
              <w:jc w:val="center"/>
            </w:pPr>
            <w:r>
              <w:t>SZC</w:t>
            </w:r>
          </w:p>
        </w:tc>
        <w:tc>
          <w:tcPr>
            <w:tcW w:w="1094" w:type="dxa"/>
            <w:shd w:val="clear" w:color="auto" w:fill="F1F1F1"/>
          </w:tcPr>
          <w:p w:rsidR="008F03B5" w:rsidRDefault="008F03B5">
            <w:pPr>
              <w:pStyle w:val="TableParagraph"/>
              <w:spacing w:before="1"/>
              <w:rPr>
                <w:b/>
                <w:sz w:val="25"/>
              </w:rPr>
            </w:pPr>
          </w:p>
          <w:p w:rsidR="008F03B5" w:rsidRDefault="00586B9B">
            <w:pPr>
              <w:pStyle w:val="TableParagraph"/>
              <w:ind w:left="281" w:right="269"/>
              <w:jc w:val="center"/>
            </w:pPr>
            <w:r>
              <w:t>75%</w:t>
            </w:r>
          </w:p>
        </w:tc>
        <w:tc>
          <w:tcPr>
            <w:tcW w:w="1326" w:type="dxa"/>
            <w:shd w:val="clear" w:color="auto" w:fill="F1F1F1"/>
          </w:tcPr>
          <w:p w:rsidR="008F03B5" w:rsidRDefault="008F03B5">
            <w:pPr>
              <w:pStyle w:val="TableParagraph"/>
              <w:spacing w:before="1"/>
              <w:rPr>
                <w:b/>
                <w:sz w:val="25"/>
              </w:rPr>
            </w:pPr>
          </w:p>
          <w:p w:rsidR="008F03B5" w:rsidRDefault="00586B9B">
            <w:pPr>
              <w:pStyle w:val="TableParagraph"/>
              <w:ind w:left="205" w:right="188"/>
              <w:jc w:val="center"/>
            </w:pPr>
            <w:r>
              <w:t>60%</w:t>
            </w:r>
          </w:p>
        </w:tc>
        <w:tc>
          <w:tcPr>
            <w:tcW w:w="1207" w:type="dxa"/>
            <w:shd w:val="clear" w:color="auto" w:fill="F1F1F1"/>
          </w:tcPr>
          <w:p w:rsidR="008F03B5" w:rsidRDefault="008F03B5">
            <w:pPr>
              <w:pStyle w:val="TableParagraph"/>
              <w:spacing w:before="1"/>
              <w:rPr>
                <w:b/>
                <w:sz w:val="25"/>
              </w:rPr>
            </w:pPr>
          </w:p>
          <w:p w:rsidR="008F03B5" w:rsidRDefault="00586B9B">
            <w:pPr>
              <w:pStyle w:val="TableParagraph"/>
              <w:ind w:left="341" w:right="322"/>
              <w:jc w:val="center"/>
            </w:pPr>
            <w:r>
              <w:t>40%</w:t>
            </w:r>
          </w:p>
        </w:tc>
        <w:tc>
          <w:tcPr>
            <w:tcW w:w="1420" w:type="dxa"/>
            <w:shd w:val="clear" w:color="auto" w:fill="F1F1F1"/>
          </w:tcPr>
          <w:p w:rsidR="008F03B5" w:rsidRDefault="008F03B5">
            <w:pPr>
              <w:pStyle w:val="TableParagraph"/>
              <w:spacing w:before="1"/>
              <w:rPr>
                <w:b/>
                <w:sz w:val="25"/>
              </w:rPr>
            </w:pPr>
          </w:p>
          <w:p w:rsidR="008F03B5" w:rsidRDefault="00586B9B">
            <w:pPr>
              <w:pStyle w:val="TableParagraph"/>
              <w:ind w:left="223" w:right="205"/>
              <w:jc w:val="center"/>
            </w:pPr>
            <w:r>
              <w:t>67%</w:t>
            </w:r>
          </w:p>
        </w:tc>
      </w:tr>
      <w:tr w:rsidR="008F03B5">
        <w:trPr>
          <w:trHeight w:val="1236"/>
        </w:trPr>
        <w:tc>
          <w:tcPr>
            <w:tcW w:w="2093" w:type="dxa"/>
            <w:shd w:val="clear" w:color="auto" w:fill="F1F1F1"/>
          </w:tcPr>
          <w:p w:rsidR="008F03B5" w:rsidRDefault="00586B9B">
            <w:pPr>
              <w:pStyle w:val="TableParagraph"/>
              <w:spacing w:line="276" w:lineRule="auto"/>
              <w:ind w:left="107" w:right="553"/>
            </w:pPr>
            <w:r>
              <w:t>Kosiborod 2014 Phase III RCT HARMONIZE</w:t>
            </w:r>
          </w:p>
          <w:p w:rsidR="008F03B5" w:rsidRDefault="00586B9B">
            <w:pPr>
              <w:pStyle w:val="TableParagraph"/>
              <w:ind w:left="107"/>
              <w:rPr>
                <w:b/>
              </w:rPr>
            </w:pPr>
            <w:r>
              <w:rPr>
                <w:b/>
              </w:rPr>
              <w:t>ZS-004</w:t>
            </w:r>
          </w:p>
        </w:tc>
        <w:tc>
          <w:tcPr>
            <w:tcW w:w="711" w:type="dxa"/>
            <w:shd w:val="clear" w:color="auto" w:fill="F1F1F1"/>
          </w:tcPr>
          <w:p w:rsidR="008F03B5" w:rsidRDefault="008F03B5">
            <w:pPr>
              <w:pStyle w:val="TableParagraph"/>
              <w:rPr>
                <w:b/>
              </w:rPr>
            </w:pPr>
          </w:p>
          <w:p w:rsidR="008F03B5" w:rsidRDefault="00586B9B">
            <w:pPr>
              <w:pStyle w:val="TableParagraph"/>
              <w:spacing w:before="193"/>
              <w:ind w:left="167" w:right="159"/>
              <w:jc w:val="center"/>
            </w:pPr>
            <w:r>
              <w:t>258</w:t>
            </w:r>
          </w:p>
        </w:tc>
        <w:tc>
          <w:tcPr>
            <w:tcW w:w="1754" w:type="dxa"/>
            <w:shd w:val="clear" w:color="auto" w:fill="F1F1F1"/>
          </w:tcPr>
          <w:p w:rsidR="008F03B5" w:rsidRDefault="008F03B5">
            <w:pPr>
              <w:pStyle w:val="TableParagraph"/>
              <w:rPr>
                <w:b/>
              </w:rPr>
            </w:pPr>
          </w:p>
          <w:p w:rsidR="008F03B5" w:rsidRDefault="00586B9B">
            <w:pPr>
              <w:pStyle w:val="TableParagraph"/>
              <w:spacing w:before="193"/>
              <w:ind w:left="162" w:right="154"/>
              <w:jc w:val="center"/>
            </w:pPr>
            <w:r>
              <w:t>SZC</w:t>
            </w:r>
          </w:p>
        </w:tc>
        <w:tc>
          <w:tcPr>
            <w:tcW w:w="1094" w:type="dxa"/>
            <w:shd w:val="clear" w:color="auto" w:fill="F1F1F1"/>
          </w:tcPr>
          <w:p w:rsidR="008F03B5" w:rsidRDefault="008F03B5">
            <w:pPr>
              <w:pStyle w:val="TableParagraph"/>
              <w:rPr>
                <w:b/>
              </w:rPr>
            </w:pPr>
          </w:p>
          <w:p w:rsidR="008F03B5" w:rsidRDefault="00586B9B">
            <w:pPr>
              <w:pStyle w:val="TableParagraph"/>
              <w:spacing w:before="193"/>
              <w:ind w:left="281" w:right="269"/>
              <w:jc w:val="center"/>
            </w:pPr>
            <w:r>
              <w:t>66%</w:t>
            </w:r>
          </w:p>
        </w:tc>
        <w:tc>
          <w:tcPr>
            <w:tcW w:w="1326" w:type="dxa"/>
            <w:shd w:val="clear" w:color="auto" w:fill="F1F1F1"/>
          </w:tcPr>
          <w:p w:rsidR="008F03B5" w:rsidRDefault="008F03B5">
            <w:pPr>
              <w:pStyle w:val="TableParagraph"/>
              <w:rPr>
                <w:b/>
              </w:rPr>
            </w:pPr>
          </w:p>
          <w:p w:rsidR="008F03B5" w:rsidRDefault="00586B9B">
            <w:pPr>
              <w:pStyle w:val="TableParagraph"/>
              <w:spacing w:before="193"/>
              <w:ind w:left="205" w:right="188"/>
              <w:jc w:val="center"/>
            </w:pPr>
            <w:r>
              <w:t>66%</w:t>
            </w:r>
          </w:p>
        </w:tc>
        <w:tc>
          <w:tcPr>
            <w:tcW w:w="1207" w:type="dxa"/>
            <w:shd w:val="clear" w:color="auto" w:fill="F1F1F1"/>
          </w:tcPr>
          <w:p w:rsidR="008F03B5" w:rsidRDefault="008F03B5">
            <w:pPr>
              <w:pStyle w:val="TableParagraph"/>
              <w:rPr>
                <w:b/>
              </w:rPr>
            </w:pPr>
          </w:p>
          <w:p w:rsidR="008F03B5" w:rsidRDefault="00586B9B">
            <w:pPr>
              <w:pStyle w:val="TableParagraph"/>
              <w:spacing w:before="193"/>
              <w:ind w:left="341" w:right="322"/>
              <w:jc w:val="center"/>
            </w:pPr>
            <w:r>
              <w:t>36%</w:t>
            </w:r>
          </w:p>
        </w:tc>
        <w:tc>
          <w:tcPr>
            <w:tcW w:w="1420" w:type="dxa"/>
            <w:shd w:val="clear" w:color="auto" w:fill="F1F1F1"/>
          </w:tcPr>
          <w:p w:rsidR="008F03B5" w:rsidRDefault="008F03B5">
            <w:pPr>
              <w:pStyle w:val="TableParagraph"/>
              <w:rPr>
                <w:b/>
              </w:rPr>
            </w:pPr>
          </w:p>
          <w:p w:rsidR="008F03B5" w:rsidRDefault="00586B9B">
            <w:pPr>
              <w:pStyle w:val="TableParagraph"/>
              <w:spacing w:before="193"/>
              <w:ind w:left="223" w:right="205"/>
              <w:jc w:val="center"/>
            </w:pPr>
            <w:r>
              <w:t>70%</w:t>
            </w:r>
          </w:p>
        </w:tc>
      </w:tr>
      <w:tr w:rsidR="008F03B5">
        <w:trPr>
          <w:trHeight w:val="699"/>
        </w:trPr>
        <w:tc>
          <w:tcPr>
            <w:tcW w:w="2093" w:type="dxa"/>
            <w:tcBorders>
              <w:bottom w:val="single" w:sz="18" w:space="0" w:color="000000"/>
            </w:tcBorders>
            <w:shd w:val="clear" w:color="auto" w:fill="F1F1F1"/>
          </w:tcPr>
          <w:p w:rsidR="008F03B5" w:rsidRDefault="00586B9B">
            <w:pPr>
              <w:pStyle w:val="TableParagraph"/>
              <w:spacing w:before="37"/>
              <w:ind w:left="107"/>
            </w:pPr>
            <w:r>
              <w:t>Fishbane 2017</w:t>
            </w:r>
          </w:p>
          <w:p w:rsidR="008F03B5" w:rsidRDefault="00586B9B">
            <w:pPr>
              <w:pStyle w:val="TableParagraph"/>
              <w:spacing w:before="41"/>
              <w:ind w:left="107"/>
              <w:rPr>
                <w:b/>
              </w:rPr>
            </w:pPr>
            <w:r>
              <w:rPr>
                <w:b/>
              </w:rPr>
              <w:t>ZS-005</w:t>
            </w:r>
          </w:p>
        </w:tc>
        <w:tc>
          <w:tcPr>
            <w:tcW w:w="711" w:type="dxa"/>
            <w:tcBorders>
              <w:bottom w:val="single" w:sz="18" w:space="0" w:color="000000"/>
            </w:tcBorders>
            <w:shd w:val="clear" w:color="auto" w:fill="F1F1F1"/>
          </w:tcPr>
          <w:p w:rsidR="008F03B5" w:rsidRDefault="00586B9B">
            <w:pPr>
              <w:pStyle w:val="TableParagraph"/>
              <w:spacing w:before="193"/>
              <w:ind w:left="167" w:right="159"/>
              <w:jc w:val="center"/>
            </w:pPr>
            <w:r>
              <w:t>751</w:t>
            </w:r>
          </w:p>
        </w:tc>
        <w:tc>
          <w:tcPr>
            <w:tcW w:w="1754" w:type="dxa"/>
            <w:tcBorders>
              <w:bottom w:val="single" w:sz="18" w:space="0" w:color="000000"/>
            </w:tcBorders>
            <w:shd w:val="clear" w:color="auto" w:fill="F1F1F1"/>
          </w:tcPr>
          <w:p w:rsidR="008F03B5" w:rsidRDefault="00586B9B">
            <w:pPr>
              <w:pStyle w:val="TableParagraph"/>
              <w:spacing w:before="193"/>
              <w:ind w:left="162" w:right="154"/>
              <w:jc w:val="center"/>
            </w:pPr>
            <w:r>
              <w:t>SZC</w:t>
            </w:r>
          </w:p>
        </w:tc>
        <w:tc>
          <w:tcPr>
            <w:tcW w:w="1094" w:type="dxa"/>
            <w:tcBorders>
              <w:bottom w:val="single" w:sz="18" w:space="0" w:color="000000"/>
            </w:tcBorders>
            <w:shd w:val="clear" w:color="auto" w:fill="F1F1F1"/>
          </w:tcPr>
          <w:p w:rsidR="008F03B5" w:rsidRDefault="00586B9B">
            <w:pPr>
              <w:pStyle w:val="TableParagraph"/>
              <w:spacing w:before="193"/>
              <w:ind w:left="281" w:right="269"/>
              <w:jc w:val="center"/>
            </w:pPr>
            <w:r>
              <w:t>73%</w:t>
            </w:r>
          </w:p>
        </w:tc>
        <w:tc>
          <w:tcPr>
            <w:tcW w:w="1326" w:type="dxa"/>
            <w:tcBorders>
              <w:bottom w:val="single" w:sz="18" w:space="0" w:color="000000"/>
            </w:tcBorders>
            <w:shd w:val="clear" w:color="auto" w:fill="F1F1F1"/>
          </w:tcPr>
          <w:p w:rsidR="008F03B5" w:rsidRDefault="00586B9B">
            <w:pPr>
              <w:pStyle w:val="TableParagraph"/>
              <w:spacing w:before="193"/>
              <w:ind w:left="205" w:right="188"/>
              <w:jc w:val="center"/>
            </w:pPr>
            <w:r>
              <w:t>62%</w:t>
            </w:r>
          </w:p>
        </w:tc>
        <w:tc>
          <w:tcPr>
            <w:tcW w:w="1207" w:type="dxa"/>
            <w:tcBorders>
              <w:bottom w:val="single" w:sz="18" w:space="0" w:color="000000"/>
            </w:tcBorders>
            <w:shd w:val="clear" w:color="auto" w:fill="F1F1F1"/>
          </w:tcPr>
          <w:p w:rsidR="008F03B5" w:rsidRDefault="00586B9B">
            <w:pPr>
              <w:pStyle w:val="TableParagraph"/>
              <w:spacing w:before="193"/>
              <w:ind w:left="341" w:right="322"/>
              <w:jc w:val="center"/>
            </w:pPr>
            <w:r>
              <w:t>38%</w:t>
            </w:r>
          </w:p>
        </w:tc>
        <w:tc>
          <w:tcPr>
            <w:tcW w:w="1420" w:type="dxa"/>
            <w:tcBorders>
              <w:bottom w:val="single" w:sz="18" w:space="0" w:color="000000"/>
            </w:tcBorders>
            <w:shd w:val="clear" w:color="auto" w:fill="F1F1F1"/>
          </w:tcPr>
          <w:p w:rsidR="008F03B5" w:rsidRDefault="00586B9B">
            <w:pPr>
              <w:pStyle w:val="TableParagraph"/>
              <w:spacing w:before="193"/>
              <w:ind w:left="223" w:right="205"/>
              <w:jc w:val="center"/>
            </w:pPr>
            <w:r>
              <w:t>64%</w:t>
            </w:r>
          </w:p>
        </w:tc>
      </w:tr>
      <w:tr w:rsidR="008F03B5">
        <w:trPr>
          <w:trHeight w:val="814"/>
        </w:trPr>
        <w:tc>
          <w:tcPr>
            <w:tcW w:w="2093" w:type="dxa"/>
            <w:tcBorders>
              <w:top w:val="single" w:sz="18" w:space="0" w:color="000000"/>
            </w:tcBorders>
          </w:tcPr>
          <w:p w:rsidR="008F03B5" w:rsidRDefault="00586B9B">
            <w:pPr>
              <w:pStyle w:val="TableParagraph"/>
              <w:spacing w:before="97" w:line="273" w:lineRule="auto"/>
              <w:ind w:left="107" w:right="578"/>
            </w:pPr>
            <w:r>
              <w:t>Pitt 2011 PEARL-HF (RCT)</w:t>
            </w:r>
          </w:p>
        </w:tc>
        <w:tc>
          <w:tcPr>
            <w:tcW w:w="711" w:type="dxa"/>
            <w:tcBorders>
              <w:top w:val="single" w:sz="18" w:space="0" w:color="000000"/>
            </w:tcBorders>
          </w:tcPr>
          <w:p w:rsidR="008F03B5" w:rsidRDefault="008F03B5">
            <w:pPr>
              <w:pStyle w:val="TableParagraph"/>
              <w:spacing w:before="6"/>
              <w:rPr>
                <w:b/>
                <w:sz w:val="20"/>
              </w:rPr>
            </w:pPr>
          </w:p>
          <w:p w:rsidR="008F03B5" w:rsidRDefault="00586B9B">
            <w:pPr>
              <w:pStyle w:val="TableParagraph"/>
              <w:ind w:left="167" w:right="159"/>
              <w:jc w:val="center"/>
            </w:pPr>
            <w:r>
              <w:t>104</w:t>
            </w:r>
          </w:p>
        </w:tc>
        <w:tc>
          <w:tcPr>
            <w:tcW w:w="1754" w:type="dxa"/>
            <w:tcBorders>
              <w:top w:val="single" w:sz="18" w:space="0" w:color="000000"/>
            </w:tcBorders>
          </w:tcPr>
          <w:p w:rsidR="008F03B5" w:rsidRDefault="008F03B5">
            <w:pPr>
              <w:pStyle w:val="TableParagraph"/>
              <w:spacing w:before="6"/>
              <w:rPr>
                <w:b/>
                <w:sz w:val="20"/>
              </w:rPr>
            </w:pPr>
          </w:p>
          <w:p w:rsidR="008F03B5" w:rsidRDefault="00586B9B">
            <w:pPr>
              <w:pStyle w:val="TableParagraph"/>
              <w:ind w:left="162" w:right="153"/>
              <w:jc w:val="center"/>
            </w:pPr>
            <w:r>
              <w:t>Patiromer</w:t>
            </w:r>
          </w:p>
        </w:tc>
        <w:tc>
          <w:tcPr>
            <w:tcW w:w="1094" w:type="dxa"/>
            <w:tcBorders>
              <w:top w:val="single" w:sz="18" w:space="0" w:color="000000"/>
            </w:tcBorders>
          </w:tcPr>
          <w:p w:rsidR="008F03B5" w:rsidRDefault="008F03B5">
            <w:pPr>
              <w:pStyle w:val="TableParagraph"/>
              <w:spacing w:before="6"/>
              <w:rPr>
                <w:b/>
                <w:sz w:val="20"/>
              </w:rPr>
            </w:pPr>
          </w:p>
          <w:p w:rsidR="008F03B5" w:rsidRDefault="00586B9B">
            <w:pPr>
              <w:pStyle w:val="TableParagraph"/>
              <w:ind w:left="281" w:right="269"/>
              <w:jc w:val="center"/>
            </w:pPr>
            <w:r>
              <w:t>27%</w:t>
            </w:r>
          </w:p>
        </w:tc>
        <w:tc>
          <w:tcPr>
            <w:tcW w:w="1326" w:type="dxa"/>
            <w:tcBorders>
              <w:top w:val="single" w:sz="18" w:space="0" w:color="000000"/>
            </w:tcBorders>
          </w:tcPr>
          <w:p w:rsidR="008F03B5" w:rsidRDefault="008F03B5">
            <w:pPr>
              <w:pStyle w:val="TableParagraph"/>
              <w:spacing w:before="6"/>
              <w:rPr>
                <w:b/>
                <w:sz w:val="20"/>
              </w:rPr>
            </w:pPr>
          </w:p>
          <w:p w:rsidR="008F03B5" w:rsidRDefault="00586B9B">
            <w:pPr>
              <w:pStyle w:val="TableParagraph"/>
              <w:ind w:left="205" w:right="188"/>
              <w:jc w:val="center"/>
            </w:pPr>
            <w:r>
              <w:t>32%</w:t>
            </w:r>
          </w:p>
        </w:tc>
        <w:tc>
          <w:tcPr>
            <w:tcW w:w="1207" w:type="dxa"/>
            <w:tcBorders>
              <w:top w:val="single" w:sz="18" w:space="0" w:color="000000"/>
            </w:tcBorders>
          </w:tcPr>
          <w:p w:rsidR="008F03B5" w:rsidRDefault="008F03B5">
            <w:pPr>
              <w:pStyle w:val="TableParagraph"/>
              <w:spacing w:before="6"/>
              <w:rPr>
                <w:b/>
                <w:sz w:val="20"/>
              </w:rPr>
            </w:pPr>
          </w:p>
          <w:p w:rsidR="008F03B5" w:rsidRDefault="00586B9B">
            <w:pPr>
              <w:pStyle w:val="TableParagraph"/>
              <w:ind w:left="343" w:right="322"/>
              <w:jc w:val="center"/>
            </w:pPr>
            <w:r>
              <w:t>100%</w:t>
            </w:r>
          </w:p>
        </w:tc>
        <w:tc>
          <w:tcPr>
            <w:tcW w:w="1420" w:type="dxa"/>
            <w:tcBorders>
              <w:top w:val="single" w:sz="18" w:space="0" w:color="000000"/>
            </w:tcBorders>
          </w:tcPr>
          <w:p w:rsidR="008F03B5" w:rsidRDefault="008F03B5">
            <w:pPr>
              <w:pStyle w:val="TableParagraph"/>
              <w:spacing w:before="6"/>
              <w:rPr>
                <w:b/>
                <w:sz w:val="20"/>
              </w:rPr>
            </w:pPr>
          </w:p>
          <w:p w:rsidR="008F03B5" w:rsidRDefault="00586B9B">
            <w:pPr>
              <w:pStyle w:val="TableParagraph"/>
              <w:ind w:left="222" w:right="205"/>
              <w:jc w:val="center"/>
            </w:pPr>
            <w:r>
              <w:t>NA</w:t>
            </w:r>
          </w:p>
        </w:tc>
      </w:tr>
      <w:tr w:rsidR="008F03B5">
        <w:trPr>
          <w:trHeight w:val="928"/>
        </w:trPr>
        <w:tc>
          <w:tcPr>
            <w:tcW w:w="2093" w:type="dxa"/>
          </w:tcPr>
          <w:p w:rsidR="008F03B5" w:rsidRDefault="00586B9B">
            <w:pPr>
              <w:pStyle w:val="TableParagraph"/>
              <w:spacing w:line="273" w:lineRule="auto"/>
              <w:ind w:left="107" w:right="643"/>
            </w:pPr>
            <w:r>
              <w:t>Bakris 2015 AMETHYST-DN</w:t>
            </w:r>
          </w:p>
          <w:p w:rsidR="008F03B5" w:rsidRDefault="00586B9B">
            <w:pPr>
              <w:pStyle w:val="TableParagraph"/>
              <w:spacing w:before="3"/>
              <w:ind w:left="107"/>
            </w:pPr>
            <w:r>
              <w:t>(RCT)</w:t>
            </w:r>
          </w:p>
        </w:tc>
        <w:tc>
          <w:tcPr>
            <w:tcW w:w="711" w:type="dxa"/>
          </w:tcPr>
          <w:p w:rsidR="008F03B5" w:rsidRDefault="008F03B5">
            <w:pPr>
              <w:pStyle w:val="TableParagraph"/>
              <w:spacing w:before="1"/>
              <w:rPr>
                <w:b/>
                <w:sz w:val="25"/>
              </w:rPr>
            </w:pPr>
          </w:p>
          <w:p w:rsidR="008F03B5" w:rsidRDefault="00586B9B">
            <w:pPr>
              <w:pStyle w:val="TableParagraph"/>
              <w:ind w:left="167" w:right="159"/>
              <w:jc w:val="center"/>
            </w:pPr>
            <w:r>
              <w:t>222</w:t>
            </w:r>
          </w:p>
        </w:tc>
        <w:tc>
          <w:tcPr>
            <w:tcW w:w="1754" w:type="dxa"/>
          </w:tcPr>
          <w:p w:rsidR="008F03B5" w:rsidRDefault="008F03B5">
            <w:pPr>
              <w:pStyle w:val="TableParagraph"/>
              <w:spacing w:before="1"/>
              <w:rPr>
                <w:b/>
                <w:sz w:val="25"/>
              </w:rPr>
            </w:pPr>
          </w:p>
          <w:p w:rsidR="008F03B5" w:rsidRDefault="00586B9B">
            <w:pPr>
              <w:pStyle w:val="TableParagraph"/>
              <w:ind w:left="162" w:right="153"/>
              <w:jc w:val="center"/>
            </w:pPr>
            <w:r>
              <w:t>Patiromer</w:t>
            </w:r>
          </w:p>
        </w:tc>
        <w:tc>
          <w:tcPr>
            <w:tcW w:w="1094" w:type="dxa"/>
          </w:tcPr>
          <w:p w:rsidR="008F03B5" w:rsidRDefault="008F03B5">
            <w:pPr>
              <w:pStyle w:val="TableParagraph"/>
              <w:spacing w:before="1"/>
              <w:rPr>
                <w:b/>
                <w:sz w:val="25"/>
              </w:rPr>
            </w:pPr>
          </w:p>
          <w:p w:rsidR="008F03B5" w:rsidRDefault="00586B9B">
            <w:pPr>
              <w:pStyle w:val="TableParagraph"/>
              <w:ind w:left="281" w:right="269"/>
              <w:jc w:val="center"/>
            </w:pPr>
            <w:r>
              <w:t>87%</w:t>
            </w:r>
          </w:p>
        </w:tc>
        <w:tc>
          <w:tcPr>
            <w:tcW w:w="1326" w:type="dxa"/>
          </w:tcPr>
          <w:p w:rsidR="008F03B5" w:rsidRDefault="008F03B5">
            <w:pPr>
              <w:pStyle w:val="TableParagraph"/>
              <w:spacing w:before="1"/>
              <w:rPr>
                <w:b/>
                <w:sz w:val="25"/>
              </w:rPr>
            </w:pPr>
          </w:p>
          <w:p w:rsidR="008F03B5" w:rsidRDefault="00586B9B">
            <w:pPr>
              <w:pStyle w:val="TableParagraph"/>
              <w:ind w:left="204" w:right="189"/>
              <w:jc w:val="center"/>
            </w:pPr>
            <w:r>
              <w:t>100%</w:t>
            </w:r>
          </w:p>
        </w:tc>
        <w:tc>
          <w:tcPr>
            <w:tcW w:w="1207" w:type="dxa"/>
          </w:tcPr>
          <w:p w:rsidR="008F03B5" w:rsidRDefault="008F03B5">
            <w:pPr>
              <w:pStyle w:val="TableParagraph"/>
              <w:spacing w:before="1"/>
              <w:rPr>
                <w:b/>
                <w:sz w:val="25"/>
              </w:rPr>
            </w:pPr>
          </w:p>
          <w:p w:rsidR="008F03B5" w:rsidRDefault="00586B9B">
            <w:pPr>
              <w:pStyle w:val="TableParagraph"/>
              <w:ind w:left="341" w:right="322"/>
              <w:jc w:val="center"/>
            </w:pPr>
            <w:r>
              <w:t>35%</w:t>
            </w:r>
          </w:p>
        </w:tc>
        <w:tc>
          <w:tcPr>
            <w:tcW w:w="1420" w:type="dxa"/>
          </w:tcPr>
          <w:p w:rsidR="008F03B5" w:rsidRDefault="008F03B5">
            <w:pPr>
              <w:pStyle w:val="TableParagraph"/>
              <w:spacing w:before="1"/>
              <w:rPr>
                <w:b/>
                <w:sz w:val="25"/>
              </w:rPr>
            </w:pPr>
          </w:p>
          <w:p w:rsidR="008F03B5" w:rsidRDefault="00586B9B">
            <w:pPr>
              <w:pStyle w:val="TableParagraph"/>
              <w:ind w:left="223" w:right="205"/>
              <w:jc w:val="center"/>
            </w:pPr>
            <w:r>
              <w:t>71%</w:t>
            </w:r>
          </w:p>
        </w:tc>
      </w:tr>
      <w:tr w:rsidR="008F03B5">
        <w:trPr>
          <w:trHeight w:val="693"/>
        </w:trPr>
        <w:tc>
          <w:tcPr>
            <w:tcW w:w="2093" w:type="dxa"/>
          </w:tcPr>
          <w:p w:rsidR="008F03B5" w:rsidRDefault="00586B9B">
            <w:pPr>
              <w:pStyle w:val="TableParagraph"/>
              <w:spacing w:before="35" w:line="273" w:lineRule="auto"/>
              <w:ind w:left="107" w:right="571"/>
            </w:pPr>
            <w:r>
              <w:t>Bushinsky 2015 Phase I Trial</w:t>
            </w:r>
          </w:p>
        </w:tc>
        <w:tc>
          <w:tcPr>
            <w:tcW w:w="711" w:type="dxa"/>
          </w:tcPr>
          <w:p w:rsidR="008F03B5" w:rsidRDefault="00586B9B">
            <w:pPr>
              <w:pStyle w:val="TableParagraph"/>
              <w:spacing w:before="189"/>
              <w:ind w:left="167" w:right="159"/>
              <w:jc w:val="center"/>
            </w:pPr>
            <w:r>
              <w:t>25</w:t>
            </w:r>
          </w:p>
        </w:tc>
        <w:tc>
          <w:tcPr>
            <w:tcW w:w="1754" w:type="dxa"/>
          </w:tcPr>
          <w:p w:rsidR="008F03B5" w:rsidRDefault="00586B9B">
            <w:pPr>
              <w:pStyle w:val="TableParagraph"/>
              <w:spacing w:before="189"/>
              <w:ind w:left="162" w:right="153"/>
              <w:jc w:val="center"/>
            </w:pPr>
            <w:r>
              <w:t>Patiromer</w:t>
            </w:r>
          </w:p>
        </w:tc>
        <w:tc>
          <w:tcPr>
            <w:tcW w:w="1094" w:type="dxa"/>
          </w:tcPr>
          <w:p w:rsidR="008F03B5" w:rsidRDefault="00586B9B">
            <w:pPr>
              <w:pStyle w:val="TableParagraph"/>
              <w:spacing w:before="189"/>
              <w:ind w:left="281" w:right="271"/>
              <w:jc w:val="center"/>
            </w:pPr>
            <w:r>
              <w:t>100%</w:t>
            </w:r>
          </w:p>
        </w:tc>
        <w:tc>
          <w:tcPr>
            <w:tcW w:w="1326" w:type="dxa"/>
          </w:tcPr>
          <w:p w:rsidR="008F03B5" w:rsidRDefault="00586B9B">
            <w:pPr>
              <w:pStyle w:val="TableParagraph"/>
              <w:spacing w:before="189"/>
              <w:ind w:left="205" w:right="188"/>
              <w:jc w:val="center"/>
            </w:pPr>
            <w:r>
              <w:t>60%</w:t>
            </w:r>
          </w:p>
        </w:tc>
        <w:tc>
          <w:tcPr>
            <w:tcW w:w="1207" w:type="dxa"/>
          </w:tcPr>
          <w:p w:rsidR="008F03B5" w:rsidRDefault="00586B9B">
            <w:pPr>
              <w:pStyle w:val="TableParagraph"/>
              <w:spacing w:before="189"/>
              <w:ind w:left="341" w:right="322"/>
              <w:jc w:val="center"/>
            </w:pPr>
            <w:r>
              <w:t>28%</w:t>
            </w:r>
          </w:p>
        </w:tc>
        <w:tc>
          <w:tcPr>
            <w:tcW w:w="1420" w:type="dxa"/>
          </w:tcPr>
          <w:p w:rsidR="008F03B5" w:rsidRDefault="00586B9B">
            <w:pPr>
              <w:pStyle w:val="TableParagraph"/>
              <w:spacing w:before="189"/>
              <w:ind w:left="226" w:right="205"/>
              <w:jc w:val="center"/>
            </w:pPr>
            <w:r>
              <w:t>100%</w:t>
            </w:r>
          </w:p>
        </w:tc>
      </w:tr>
      <w:tr w:rsidR="008F03B5">
        <w:trPr>
          <w:trHeight w:val="676"/>
        </w:trPr>
        <w:tc>
          <w:tcPr>
            <w:tcW w:w="2093" w:type="dxa"/>
          </w:tcPr>
          <w:p w:rsidR="008F03B5" w:rsidRDefault="00586B9B">
            <w:pPr>
              <w:pStyle w:val="TableParagraph"/>
              <w:spacing w:before="28" w:line="273" w:lineRule="auto"/>
              <w:ind w:left="107" w:right="646"/>
            </w:pPr>
            <w:r>
              <w:t>Weir 2015 OPAL-HK (RCT)</w:t>
            </w:r>
          </w:p>
        </w:tc>
        <w:tc>
          <w:tcPr>
            <w:tcW w:w="711" w:type="dxa"/>
          </w:tcPr>
          <w:p w:rsidR="008F03B5" w:rsidRDefault="00586B9B">
            <w:pPr>
              <w:pStyle w:val="TableParagraph"/>
              <w:spacing w:before="181"/>
              <w:ind w:left="167" w:right="159"/>
              <w:jc w:val="center"/>
            </w:pPr>
            <w:r>
              <w:t>243</w:t>
            </w:r>
          </w:p>
        </w:tc>
        <w:tc>
          <w:tcPr>
            <w:tcW w:w="1754" w:type="dxa"/>
          </w:tcPr>
          <w:p w:rsidR="008F03B5" w:rsidRDefault="00586B9B">
            <w:pPr>
              <w:pStyle w:val="TableParagraph"/>
              <w:spacing w:before="181"/>
              <w:ind w:left="162" w:right="153"/>
              <w:jc w:val="center"/>
            </w:pPr>
            <w:r>
              <w:t>Patiromer</w:t>
            </w:r>
          </w:p>
        </w:tc>
        <w:tc>
          <w:tcPr>
            <w:tcW w:w="1094" w:type="dxa"/>
          </w:tcPr>
          <w:p w:rsidR="008F03B5" w:rsidRDefault="00586B9B">
            <w:pPr>
              <w:pStyle w:val="TableParagraph"/>
              <w:spacing w:before="181"/>
              <w:ind w:left="281" w:right="271"/>
              <w:jc w:val="center"/>
            </w:pPr>
            <w:r>
              <w:t>100%</w:t>
            </w:r>
          </w:p>
        </w:tc>
        <w:tc>
          <w:tcPr>
            <w:tcW w:w="1326" w:type="dxa"/>
          </w:tcPr>
          <w:p w:rsidR="008F03B5" w:rsidRDefault="00586B9B">
            <w:pPr>
              <w:pStyle w:val="TableParagraph"/>
              <w:spacing w:before="181"/>
              <w:ind w:left="205" w:right="188"/>
              <w:jc w:val="center"/>
            </w:pPr>
            <w:r>
              <w:t>57%</w:t>
            </w:r>
          </w:p>
        </w:tc>
        <w:tc>
          <w:tcPr>
            <w:tcW w:w="1207" w:type="dxa"/>
          </w:tcPr>
          <w:p w:rsidR="008F03B5" w:rsidRDefault="00586B9B">
            <w:pPr>
              <w:pStyle w:val="TableParagraph"/>
              <w:spacing w:before="181"/>
              <w:ind w:left="341" w:right="322"/>
              <w:jc w:val="center"/>
            </w:pPr>
            <w:r>
              <w:t>42%</w:t>
            </w:r>
          </w:p>
        </w:tc>
        <w:tc>
          <w:tcPr>
            <w:tcW w:w="1420" w:type="dxa"/>
          </w:tcPr>
          <w:p w:rsidR="008F03B5" w:rsidRDefault="00586B9B">
            <w:pPr>
              <w:pStyle w:val="TableParagraph"/>
              <w:spacing w:before="181"/>
              <w:ind w:left="226" w:right="205"/>
              <w:jc w:val="center"/>
            </w:pPr>
            <w:r>
              <w:t>100%</w:t>
            </w:r>
          </w:p>
        </w:tc>
      </w:tr>
      <w:tr w:rsidR="008F03B5">
        <w:trPr>
          <w:trHeight w:val="926"/>
        </w:trPr>
        <w:tc>
          <w:tcPr>
            <w:tcW w:w="2093" w:type="dxa"/>
          </w:tcPr>
          <w:p w:rsidR="008F03B5" w:rsidRDefault="00586B9B">
            <w:pPr>
              <w:pStyle w:val="TableParagraph"/>
              <w:spacing w:line="276" w:lineRule="auto"/>
              <w:ind w:left="107" w:right="729"/>
            </w:pPr>
            <w:r>
              <w:t>Pergola 2017 TOURMALINE</w:t>
            </w:r>
          </w:p>
          <w:p w:rsidR="008F03B5" w:rsidRDefault="00586B9B">
            <w:pPr>
              <w:pStyle w:val="TableParagraph"/>
              <w:ind w:left="107"/>
            </w:pPr>
            <w:r>
              <w:t>(RCT)</w:t>
            </w:r>
          </w:p>
        </w:tc>
        <w:tc>
          <w:tcPr>
            <w:tcW w:w="711" w:type="dxa"/>
          </w:tcPr>
          <w:p w:rsidR="008F03B5" w:rsidRDefault="008F03B5">
            <w:pPr>
              <w:pStyle w:val="TableParagraph"/>
              <w:spacing w:before="1"/>
              <w:rPr>
                <w:b/>
                <w:sz w:val="25"/>
              </w:rPr>
            </w:pPr>
          </w:p>
          <w:p w:rsidR="008F03B5" w:rsidRDefault="00586B9B">
            <w:pPr>
              <w:pStyle w:val="TableParagraph"/>
              <w:ind w:left="167" w:right="159"/>
              <w:jc w:val="center"/>
            </w:pPr>
            <w:r>
              <w:t>112</w:t>
            </w:r>
          </w:p>
        </w:tc>
        <w:tc>
          <w:tcPr>
            <w:tcW w:w="1754" w:type="dxa"/>
          </w:tcPr>
          <w:p w:rsidR="008F03B5" w:rsidRDefault="008F03B5">
            <w:pPr>
              <w:pStyle w:val="TableParagraph"/>
              <w:spacing w:before="1"/>
              <w:rPr>
                <w:b/>
                <w:sz w:val="25"/>
              </w:rPr>
            </w:pPr>
          </w:p>
          <w:p w:rsidR="008F03B5" w:rsidRDefault="00586B9B">
            <w:pPr>
              <w:pStyle w:val="TableParagraph"/>
              <w:ind w:left="162" w:right="153"/>
              <w:jc w:val="center"/>
            </w:pPr>
            <w:r>
              <w:t>Patiromer</w:t>
            </w:r>
          </w:p>
        </w:tc>
        <w:tc>
          <w:tcPr>
            <w:tcW w:w="1094" w:type="dxa"/>
          </w:tcPr>
          <w:p w:rsidR="008F03B5" w:rsidRDefault="008F03B5">
            <w:pPr>
              <w:pStyle w:val="TableParagraph"/>
              <w:spacing w:before="1"/>
              <w:rPr>
                <w:b/>
                <w:sz w:val="25"/>
              </w:rPr>
            </w:pPr>
          </w:p>
          <w:p w:rsidR="008F03B5" w:rsidRDefault="00586B9B">
            <w:pPr>
              <w:pStyle w:val="TableParagraph"/>
              <w:ind w:left="281" w:right="269"/>
              <w:jc w:val="center"/>
            </w:pPr>
            <w:r>
              <w:t>76%</w:t>
            </w:r>
          </w:p>
        </w:tc>
        <w:tc>
          <w:tcPr>
            <w:tcW w:w="1326" w:type="dxa"/>
          </w:tcPr>
          <w:p w:rsidR="008F03B5" w:rsidRDefault="008F03B5">
            <w:pPr>
              <w:pStyle w:val="TableParagraph"/>
              <w:spacing w:before="1"/>
              <w:rPr>
                <w:b/>
                <w:sz w:val="25"/>
              </w:rPr>
            </w:pPr>
          </w:p>
          <w:p w:rsidR="008F03B5" w:rsidRDefault="00586B9B">
            <w:pPr>
              <w:pStyle w:val="TableParagraph"/>
              <w:ind w:left="205" w:right="188"/>
              <w:jc w:val="center"/>
            </w:pPr>
            <w:r>
              <w:t>82%</w:t>
            </w:r>
          </w:p>
        </w:tc>
        <w:tc>
          <w:tcPr>
            <w:tcW w:w="1207" w:type="dxa"/>
          </w:tcPr>
          <w:p w:rsidR="008F03B5" w:rsidRDefault="008F03B5">
            <w:pPr>
              <w:pStyle w:val="TableParagraph"/>
              <w:spacing w:before="1"/>
              <w:rPr>
                <w:b/>
                <w:sz w:val="25"/>
              </w:rPr>
            </w:pPr>
          </w:p>
          <w:p w:rsidR="008F03B5" w:rsidRDefault="00586B9B">
            <w:pPr>
              <w:pStyle w:val="TableParagraph"/>
              <w:ind w:left="341" w:right="322"/>
              <w:jc w:val="center"/>
            </w:pPr>
            <w:r>
              <w:t>9%</w:t>
            </w:r>
          </w:p>
        </w:tc>
        <w:tc>
          <w:tcPr>
            <w:tcW w:w="1420" w:type="dxa"/>
          </w:tcPr>
          <w:p w:rsidR="008F03B5" w:rsidRDefault="008F03B5">
            <w:pPr>
              <w:pStyle w:val="TableParagraph"/>
              <w:spacing w:before="1"/>
              <w:rPr>
                <w:b/>
                <w:sz w:val="25"/>
              </w:rPr>
            </w:pPr>
          </w:p>
          <w:p w:rsidR="008F03B5" w:rsidRDefault="00586B9B">
            <w:pPr>
              <w:pStyle w:val="TableParagraph"/>
              <w:ind w:left="223" w:right="205"/>
              <w:jc w:val="center"/>
            </w:pPr>
            <w:r>
              <w:t>59%</w:t>
            </w:r>
          </w:p>
        </w:tc>
      </w:tr>
      <w:tr w:rsidR="008F03B5">
        <w:trPr>
          <w:trHeight w:val="928"/>
        </w:trPr>
        <w:tc>
          <w:tcPr>
            <w:tcW w:w="2093" w:type="dxa"/>
          </w:tcPr>
          <w:p w:rsidR="008F03B5" w:rsidRDefault="00586B9B">
            <w:pPr>
              <w:pStyle w:val="TableParagraph"/>
              <w:spacing w:line="273" w:lineRule="auto"/>
              <w:ind w:left="107" w:right="986"/>
            </w:pPr>
            <w:r>
              <w:t>Pitt 2018 Open-label</w:t>
            </w:r>
          </w:p>
        </w:tc>
        <w:tc>
          <w:tcPr>
            <w:tcW w:w="711" w:type="dxa"/>
          </w:tcPr>
          <w:p w:rsidR="008F03B5" w:rsidRDefault="008F03B5">
            <w:pPr>
              <w:pStyle w:val="TableParagraph"/>
              <w:spacing w:before="1"/>
              <w:rPr>
                <w:b/>
                <w:sz w:val="25"/>
              </w:rPr>
            </w:pPr>
          </w:p>
          <w:p w:rsidR="008F03B5" w:rsidRDefault="00586B9B">
            <w:pPr>
              <w:pStyle w:val="TableParagraph"/>
              <w:ind w:left="167" w:right="159"/>
              <w:jc w:val="center"/>
            </w:pPr>
            <w:r>
              <w:t>63</w:t>
            </w:r>
          </w:p>
        </w:tc>
        <w:tc>
          <w:tcPr>
            <w:tcW w:w="1754" w:type="dxa"/>
          </w:tcPr>
          <w:p w:rsidR="008F03B5" w:rsidRDefault="008F03B5">
            <w:pPr>
              <w:pStyle w:val="TableParagraph"/>
              <w:spacing w:before="1"/>
              <w:rPr>
                <w:b/>
                <w:sz w:val="25"/>
              </w:rPr>
            </w:pPr>
          </w:p>
          <w:p w:rsidR="008F03B5" w:rsidRDefault="00586B9B">
            <w:pPr>
              <w:pStyle w:val="TableParagraph"/>
              <w:ind w:left="162" w:right="153"/>
              <w:jc w:val="center"/>
            </w:pPr>
            <w:r>
              <w:t>Patiromer</w:t>
            </w:r>
          </w:p>
        </w:tc>
        <w:tc>
          <w:tcPr>
            <w:tcW w:w="1094" w:type="dxa"/>
          </w:tcPr>
          <w:p w:rsidR="008F03B5" w:rsidRDefault="008F03B5">
            <w:pPr>
              <w:pStyle w:val="TableParagraph"/>
              <w:spacing w:before="1"/>
              <w:rPr>
                <w:b/>
                <w:sz w:val="25"/>
              </w:rPr>
            </w:pPr>
          </w:p>
          <w:p w:rsidR="008F03B5" w:rsidRDefault="00586B9B">
            <w:pPr>
              <w:pStyle w:val="TableParagraph"/>
              <w:ind w:left="281" w:right="271"/>
              <w:jc w:val="center"/>
            </w:pPr>
            <w:r>
              <w:t>100%</w:t>
            </w:r>
          </w:p>
        </w:tc>
        <w:tc>
          <w:tcPr>
            <w:tcW w:w="1326" w:type="dxa"/>
          </w:tcPr>
          <w:p w:rsidR="008F03B5" w:rsidRDefault="008F03B5">
            <w:pPr>
              <w:pStyle w:val="TableParagraph"/>
              <w:spacing w:before="1"/>
              <w:rPr>
                <w:b/>
                <w:sz w:val="25"/>
              </w:rPr>
            </w:pPr>
          </w:p>
          <w:p w:rsidR="008F03B5" w:rsidRDefault="00586B9B">
            <w:pPr>
              <w:pStyle w:val="TableParagraph"/>
              <w:ind w:left="205" w:right="188"/>
              <w:jc w:val="center"/>
            </w:pPr>
            <w:r>
              <w:t>43%</w:t>
            </w:r>
          </w:p>
        </w:tc>
        <w:tc>
          <w:tcPr>
            <w:tcW w:w="1207" w:type="dxa"/>
          </w:tcPr>
          <w:p w:rsidR="008F03B5" w:rsidRDefault="008F03B5">
            <w:pPr>
              <w:pStyle w:val="TableParagraph"/>
              <w:spacing w:before="1"/>
              <w:rPr>
                <w:b/>
                <w:sz w:val="25"/>
              </w:rPr>
            </w:pPr>
          </w:p>
          <w:p w:rsidR="008F03B5" w:rsidRDefault="00586B9B">
            <w:pPr>
              <w:pStyle w:val="TableParagraph"/>
              <w:ind w:left="343" w:right="322"/>
              <w:jc w:val="center"/>
            </w:pPr>
            <w:r>
              <w:t>100%</w:t>
            </w:r>
          </w:p>
        </w:tc>
        <w:tc>
          <w:tcPr>
            <w:tcW w:w="1420" w:type="dxa"/>
          </w:tcPr>
          <w:p w:rsidR="008F03B5" w:rsidRDefault="008F03B5">
            <w:pPr>
              <w:pStyle w:val="TableParagraph"/>
              <w:spacing w:before="1"/>
              <w:rPr>
                <w:b/>
                <w:sz w:val="25"/>
              </w:rPr>
            </w:pPr>
          </w:p>
          <w:p w:rsidR="008F03B5" w:rsidRDefault="00586B9B">
            <w:pPr>
              <w:pStyle w:val="TableParagraph"/>
              <w:ind w:left="223" w:right="205"/>
              <w:jc w:val="center"/>
            </w:pPr>
            <w:r>
              <w:t>98%</w:t>
            </w:r>
          </w:p>
        </w:tc>
      </w:tr>
    </w:tbl>
    <w:p w:rsidR="008F03B5" w:rsidRDefault="008F03B5">
      <w:pPr>
        <w:pStyle w:val="a3"/>
        <w:spacing w:before="5"/>
        <w:rPr>
          <w:b/>
          <w:sz w:val="19"/>
        </w:rPr>
      </w:pPr>
    </w:p>
    <w:p w:rsidR="008F03B5" w:rsidRDefault="00586B9B">
      <w:pPr>
        <w:pStyle w:val="3"/>
      </w:pPr>
      <w:r>
        <w:t>Trials of oral potassium lowering drugs, representative comorbidities and use of RAASi drugs.</w:t>
      </w:r>
    </w:p>
    <w:p w:rsidR="008F03B5" w:rsidRDefault="00586B9B">
      <w:pPr>
        <w:spacing w:before="43"/>
        <w:ind w:left="217"/>
        <w:rPr>
          <w:sz w:val="18"/>
        </w:rPr>
      </w:pPr>
      <w:r>
        <w:rPr>
          <w:sz w:val="18"/>
        </w:rPr>
        <w:t>NA – not available</w:t>
      </w:r>
    </w:p>
    <w:p w:rsidR="008F03B5" w:rsidRDefault="008F03B5">
      <w:pPr>
        <w:rPr>
          <w:sz w:val="18"/>
        </w:rPr>
        <w:sectPr w:rsidR="008F03B5">
          <w:pgSz w:w="11910" w:h="16840"/>
          <w:pgMar w:top="1540" w:right="780" w:bottom="1100" w:left="860" w:header="425" w:footer="912" w:gutter="0"/>
          <w:cols w:space="720"/>
        </w:sectPr>
      </w:pPr>
    </w:p>
    <w:p w:rsidR="008F03B5" w:rsidRDefault="008F03B5">
      <w:pPr>
        <w:pStyle w:val="a3"/>
        <w:spacing w:before="10"/>
        <w:rPr>
          <w:sz w:val="21"/>
        </w:rPr>
      </w:pPr>
    </w:p>
    <w:p w:rsidR="008F03B5" w:rsidRDefault="00586B9B">
      <w:pPr>
        <w:pStyle w:val="2"/>
        <w:spacing w:before="52" w:after="46"/>
      </w:pPr>
      <w:bookmarkStart w:id="32" w:name="_bookmark50"/>
      <w:bookmarkEnd w:id="32"/>
      <w:r>
        <w:rPr>
          <w:color w:val="1F4E79"/>
        </w:rPr>
        <w:t>Appendix 3A: Drug administration and safety - IV calcium preparations</w:t>
      </w: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72"/>
        <w:gridCol w:w="7628"/>
      </w:tblGrid>
      <w:tr w:rsidR="008F03B5">
        <w:trPr>
          <w:trHeight w:val="277"/>
        </w:trPr>
        <w:tc>
          <w:tcPr>
            <w:tcW w:w="9500" w:type="dxa"/>
            <w:gridSpan w:val="2"/>
            <w:shd w:val="clear" w:color="auto" w:fill="DEEAF6"/>
          </w:tcPr>
          <w:p w:rsidR="008F03B5" w:rsidRDefault="00586B9B">
            <w:pPr>
              <w:pStyle w:val="TableParagraph"/>
              <w:spacing w:line="258" w:lineRule="exact"/>
              <w:ind w:left="107"/>
              <w:rPr>
                <w:b/>
              </w:rPr>
            </w:pPr>
            <w:r>
              <w:rPr>
                <w:b/>
              </w:rPr>
              <w:t>Calcium Chloride</w:t>
            </w:r>
          </w:p>
        </w:tc>
      </w:tr>
      <w:tr w:rsidR="008F03B5">
        <w:trPr>
          <w:trHeight w:val="628"/>
        </w:trPr>
        <w:tc>
          <w:tcPr>
            <w:tcW w:w="1872" w:type="dxa"/>
            <w:shd w:val="clear" w:color="auto" w:fill="F1F1F1"/>
          </w:tcPr>
          <w:p w:rsidR="008F03B5" w:rsidRDefault="00586B9B">
            <w:pPr>
              <w:pStyle w:val="TableParagraph"/>
              <w:spacing w:line="268" w:lineRule="exact"/>
              <w:ind w:left="107"/>
              <w:rPr>
                <w:b/>
              </w:rPr>
            </w:pPr>
            <w:r>
              <w:rPr>
                <w:b/>
              </w:rPr>
              <w:t>Available as</w:t>
            </w:r>
          </w:p>
        </w:tc>
        <w:tc>
          <w:tcPr>
            <w:tcW w:w="7628" w:type="dxa"/>
          </w:tcPr>
          <w:p w:rsidR="008F03B5" w:rsidRDefault="00586B9B">
            <w:pPr>
              <w:pStyle w:val="TableParagraph"/>
              <w:numPr>
                <w:ilvl w:val="0"/>
                <w:numId w:val="33"/>
              </w:numPr>
              <w:tabs>
                <w:tab w:val="left" w:pos="468"/>
                <w:tab w:val="left" w:pos="469"/>
              </w:tabs>
              <w:spacing w:line="277" w:lineRule="exact"/>
              <w:ind w:hanging="361"/>
            </w:pPr>
            <w:r>
              <w:t>Calcium chloride 10% pre-filled syringe 10mL (contains 6.8mmol of calcium</w:t>
            </w:r>
            <w:r>
              <w:rPr>
                <w:spacing w:val="-19"/>
              </w:rPr>
              <w:t xml:space="preserve"> </w:t>
            </w:r>
            <w:r>
              <w:t>in</w:t>
            </w:r>
          </w:p>
          <w:p w:rsidR="008F03B5" w:rsidRDefault="00586B9B">
            <w:pPr>
              <w:pStyle w:val="TableParagraph"/>
              <w:spacing w:before="41"/>
              <w:ind w:left="468"/>
            </w:pPr>
            <w:r>
              <w:t>10mL)</w:t>
            </w:r>
          </w:p>
        </w:tc>
      </w:tr>
      <w:tr w:rsidR="008F03B5">
        <w:trPr>
          <w:trHeight w:val="354"/>
        </w:trPr>
        <w:tc>
          <w:tcPr>
            <w:tcW w:w="1872" w:type="dxa"/>
            <w:shd w:val="clear" w:color="auto" w:fill="F1F1F1"/>
          </w:tcPr>
          <w:p w:rsidR="008F03B5" w:rsidRDefault="00586B9B">
            <w:pPr>
              <w:pStyle w:val="TableParagraph"/>
              <w:spacing w:line="265" w:lineRule="exact"/>
              <w:ind w:left="107"/>
              <w:rPr>
                <w:b/>
              </w:rPr>
            </w:pPr>
            <w:r>
              <w:rPr>
                <w:b/>
              </w:rPr>
              <w:t>Preparation</w:t>
            </w:r>
          </w:p>
        </w:tc>
        <w:tc>
          <w:tcPr>
            <w:tcW w:w="7628" w:type="dxa"/>
          </w:tcPr>
          <w:p w:rsidR="008F03B5" w:rsidRDefault="00586B9B">
            <w:pPr>
              <w:pStyle w:val="TableParagraph"/>
              <w:numPr>
                <w:ilvl w:val="0"/>
                <w:numId w:val="32"/>
              </w:numPr>
              <w:tabs>
                <w:tab w:val="left" w:pos="465"/>
                <w:tab w:val="left" w:pos="466"/>
              </w:tabs>
              <w:spacing w:line="277" w:lineRule="exact"/>
            </w:pPr>
            <w:r>
              <w:t>Can be used</w:t>
            </w:r>
            <w:r>
              <w:rPr>
                <w:spacing w:val="-2"/>
              </w:rPr>
              <w:t xml:space="preserve"> </w:t>
            </w:r>
            <w:r>
              <w:t>undiluted</w:t>
            </w:r>
          </w:p>
        </w:tc>
      </w:tr>
      <w:tr w:rsidR="008F03B5">
        <w:trPr>
          <w:trHeight w:val="950"/>
        </w:trPr>
        <w:tc>
          <w:tcPr>
            <w:tcW w:w="1872" w:type="dxa"/>
            <w:shd w:val="clear" w:color="auto" w:fill="F1F1F1"/>
          </w:tcPr>
          <w:p w:rsidR="008F03B5" w:rsidRDefault="00586B9B">
            <w:pPr>
              <w:pStyle w:val="TableParagraph"/>
              <w:spacing w:line="268" w:lineRule="exact"/>
              <w:ind w:left="107"/>
              <w:rPr>
                <w:b/>
              </w:rPr>
            </w:pPr>
            <w:r>
              <w:rPr>
                <w:b/>
              </w:rPr>
              <w:t>Flush solutions</w:t>
            </w:r>
          </w:p>
        </w:tc>
        <w:tc>
          <w:tcPr>
            <w:tcW w:w="7628" w:type="dxa"/>
          </w:tcPr>
          <w:p w:rsidR="008F03B5" w:rsidRDefault="00586B9B">
            <w:pPr>
              <w:pStyle w:val="TableParagraph"/>
              <w:numPr>
                <w:ilvl w:val="0"/>
                <w:numId w:val="31"/>
              </w:numPr>
              <w:tabs>
                <w:tab w:val="left" w:pos="468"/>
                <w:tab w:val="left" w:pos="469"/>
              </w:tabs>
              <w:spacing w:line="277" w:lineRule="exact"/>
              <w:ind w:hanging="361"/>
            </w:pPr>
            <w:r>
              <w:t>Flush well with sodium chloride 0.9% to reduce vein</w:t>
            </w:r>
            <w:r>
              <w:rPr>
                <w:spacing w:val="-8"/>
              </w:rPr>
              <w:t xml:space="preserve"> </w:t>
            </w:r>
            <w:r>
              <w:t>irritation.</w:t>
            </w:r>
          </w:p>
          <w:p w:rsidR="008F03B5" w:rsidRDefault="00586B9B">
            <w:pPr>
              <w:pStyle w:val="TableParagraph"/>
              <w:numPr>
                <w:ilvl w:val="0"/>
                <w:numId w:val="31"/>
              </w:numPr>
              <w:tabs>
                <w:tab w:val="left" w:pos="468"/>
                <w:tab w:val="left" w:pos="469"/>
              </w:tabs>
              <w:spacing w:before="11" w:line="310" w:lineRule="atLeast"/>
              <w:ind w:right="964"/>
            </w:pPr>
            <w:r>
              <w:t>Incompatible with many solutions (including sodium bicarbonate and phosphate).</w:t>
            </w:r>
          </w:p>
        </w:tc>
      </w:tr>
      <w:tr w:rsidR="008F03B5">
        <w:trPr>
          <w:trHeight w:val="2232"/>
        </w:trPr>
        <w:tc>
          <w:tcPr>
            <w:tcW w:w="1872" w:type="dxa"/>
            <w:shd w:val="clear" w:color="auto" w:fill="F1F1F1"/>
          </w:tcPr>
          <w:p w:rsidR="008F03B5" w:rsidRDefault="00586B9B">
            <w:pPr>
              <w:pStyle w:val="TableParagraph"/>
              <w:spacing w:line="268" w:lineRule="exact"/>
              <w:ind w:left="107"/>
              <w:rPr>
                <w:b/>
              </w:rPr>
            </w:pPr>
            <w:r>
              <w:rPr>
                <w:b/>
              </w:rPr>
              <w:t>Administration</w:t>
            </w:r>
          </w:p>
        </w:tc>
        <w:tc>
          <w:tcPr>
            <w:tcW w:w="7628" w:type="dxa"/>
          </w:tcPr>
          <w:p w:rsidR="008F03B5" w:rsidRDefault="00586B9B">
            <w:pPr>
              <w:pStyle w:val="TableParagraph"/>
              <w:numPr>
                <w:ilvl w:val="0"/>
                <w:numId w:val="30"/>
              </w:numPr>
              <w:tabs>
                <w:tab w:val="left" w:pos="468"/>
                <w:tab w:val="left" w:pos="469"/>
              </w:tabs>
              <w:spacing w:line="277" w:lineRule="exact"/>
              <w:ind w:hanging="361"/>
            </w:pPr>
            <w:r>
              <w:t>Give by intravenous injection over 3-5</w:t>
            </w:r>
            <w:r>
              <w:rPr>
                <w:spacing w:val="-6"/>
              </w:rPr>
              <w:t xml:space="preserve"> </w:t>
            </w:r>
            <w:r>
              <w:t>minutes.</w:t>
            </w:r>
          </w:p>
          <w:p w:rsidR="008F03B5" w:rsidRDefault="00586B9B">
            <w:pPr>
              <w:pStyle w:val="TableParagraph"/>
              <w:numPr>
                <w:ilvl w:val="0"/>
                <w:numId w:val="30"/>
              </w:numPr>
              <w:tabs>
                <w:tab w:val="left" w:pos="468"/>
                <w:tab w:val="left" w:pos="469"/>
              </w:tabs>
              <w:spacing w:before="42"/>
              <w:ind w:hanging="361"/>
            </w:pPr>
            <w:r>
              <w:t>Give as a bolus injection during</w:t>
            </w:r>
            <w:r>
              <w:rPr>
                <w:spacing w:val="-3"/>
              </w:rPr>
              <w:t xml:space="preserve"> </w:t>
            </w:r>
            <w:r>
              <w:t>resuscitation.</w:t>
            </w:r>
          </w:p>
          <w:p w:rsidR="008F03B5" w:rsidRDefault="00586B9B">
            <w:pPr>
              <w:pStyle w:val="TableParagraph"/>
              <w:numPr>
                <w:ilvl w:val="0"/>
                <w:numId w:val="30"/>
              </w:numPr>
              <w:tabs>
                <w:tab w:val="left" w:pos="468"/>
                <w:tab w:val="left" w:pos="469"/>
              </w:tabs>
              <w:spacing w:before="41"/>
              <w:ind w:hanging="361"/>
            </w:pPr>
            <w:r>
              <w:t>Preferably administer via a central venous device (if already</w:t>
            </w:r>
            <w:r>
              <w:rPr>
                <w:spacing w:val="-13"/>
              </w:rPr>
              <w:t xml:space="preserve"> </w:t>
            </w:r>
            <w:r>
              <w:t>in-situ).</w:t>
            </w:r>
          </w:p>
          <w:p w:rsidR="008F03B5" w:rsidRDefault="00586B9B">
            <w:pPr>
              <w:pStyle w:val="TableParagraph"/>
              <w:numPr>
                <w:ilvl w:val="0"/>
                <w:numId w:val="30"/>
              </w:numPr>
              <w:tabs>
                <w:tab w:val="left" w:pos="468"/>
                <w:tab w:val="left" w:pos="469"/>
              </w:tabs>
              <w:spacing w:before="39" w:line="276" w:lineRule="auto"/>
              <w:ind w:right="576"/>
            </w:pPr>
            <w:r>
              <w:t>For peripheral administration, choose a large vein and monitor closely for phlebitis.</w:t>
            </w:r>
          </w:p>
          <w:p w:rsidR="008F03B5" w:rsidRDefault="00586B9B">
            <w:pPr>
              <w:pStyle w:val="TableParagraph"/>
              <w:numPr>
                <w:ilvl w:val="0"/>
                <w:numId w:val="30"/>
              </w:numPr>
              <w:tabs>
                <w:tab w:val="left" w:pos="468"/>
                <w:tab w:val="left" w:pos="469"/>
              </w:tabs>
              <w:spacing w:line="280" w:lineRule="exact"/>
              <w:ind w:hanging="361"/>
            </w:pPr>
            <w:r>
              <w:t>Ensure patient is supine and closely observed during</w:t>
            </w:r>
            <w:r>
              <w:rPr>
                <w:spacing w:val="-10"/>
              </w:rPr>
              <w:t xml:space="preserve"> </w:t>
            </w:r>
            <w:r>
              <w:t>injection.</w:t>
            </w:r>
          </w:p>
          <w:p w:rsidR="008F03B5" w:rsidRDefault="00586B9B">
            <w:pPr>
              <w:pStyle w:val="TableParagraph"/>
              <w:numPr>
                <w:ilvl w:val="0"/>
                <w:numId w:val="30"/>
              </w:numPr>
              <w:tabs>
                <w:tab w:val="left" w:pos="468"/>
                <w:tab w:val="left" w:pos="469"/>
              </w:tabs>
              <w:spacing w:before="41"/>
              <w:ind w:hanging="361"/>
            </w:pPr>
            <w:r>
              <w:t>Monitor ECG and blood</w:t>
            </w:r>
            <w:r>
              <w:rPr>
                <w:spacing w:val="-5"/>
              </w:rPr>
              <w:t xml:space="preserve"> </w:t>
            </w:r>
            <w:r>
              <w:t>pressure.</w:t>
            </w:r>
          </w:p>
        </w:tc>
      </w:tr>
      <w:tr w:rsidR="008F03B5">
        <w:trPr>
          <w:trHeight w:val="928"/>
        </w:trPr>
        <w:tc>
          <w:tcPr>
            <w:tcW w:w="1872" w:type="dxa"/>
            <w:shd w:val="clear" w:color="auto" w:fill="F1F1F1"/>
          </w:tcPr>
          <w:p w:rsidR="008F03B5" w:rsidRDefault="00586B9B">
            <w:pPr>
              <w:pStyle w:val="TableParagraph"/>
              <w:spacing w:line="273" w:lineRule="auto"/>
              <w:ind w:left="107" w:right="875"/>
              <w:rPr>
                <w:b/>
              </w:rPr>
            </w:pPr>
            <w:r>
              <w:rPr>
                <w:b/>
              </w:rPr>
              <w:t>Specialist technical</w:t>
            </w:r>
          </w:p>
          <w:p w:rsidR="008F03B5" w:rsidRDefault="00586B9B">
            <w:pPr>
              <w:pStyle w:val="TableParagraph"/>
              <w:spacing w:before="3"/>
              <w:ind w:left="107"/>
              <w:rPr>
                <w:b/>
              </w:rPr>
            </w:pPr>
            <w:r>
              <w:rPr>
                <w:b/>
              </w:rPr>
              <w:t>information</w:t>
            </w:r>
          </w:p>
        </w:tc>
        <w:tc>
          <w:tcPr>
            <w:tcW w:w="7628" w:type="dxa"/>
          </w:tcPr>
          <w:p w:rsidR="008F03B5" w:rsidRDefault="00586B9B">
            <w:pPr>
              <w:pStyle w:val="TableParagraph"/>
              <w:numPr>
                <w:ilvl w:val="0"/>
                <w:numId w:val="29"/>
              </w:numPr>
              <w:tabs>
                <w:tab w:val="left" w:pos="468"/>
                <w:tab w:val="left" w:pos="469"/>
              </w:tabs>
              <w:spacing w:line="280" w:lineRule="exact"/>
              <w:ind w:hanging="361"/>
            </w:pPr>
            <w:r>
              <w:t>Extravasation can cause tissue damage because of the high</w:t>
            </w:r>
            <w:r>
              <w:rPr>
                <w:spacing w:val="-13"/>
              </w:rPr>
              <w:t xml:space="preserve"> </w:t>
            </w:r>
            <w:r>
              <w:t>osmolarity.</w:t>
            </w:r>
          </w:p>
        </w:tc>
      </w:tr>
      <w:tr w:rsidR="008F03B5">
        <w:trPr>
          <w:trHeight w:val="1260"/>
        </w:trPr>
        <w:tc>
          <w:tcPr>
            <w:tcW w:w="1872" w:type="dxa"/>
            <w:shd w:val="clear" w:color="auto" w:fill="F1F1F1"/>
          </w:tcPr>
          <w:p w:rsidR="008F03B5" w:rsidRDefault="00586B9B">
            <w:pPr>
              <w:pStyle w:val="TableParagraph"/>
              <w:spacing w:line="276" w:lineRule="auto"/>
              <w:ind w:left="107" w:right="543"/>
              <w:rPr>
                <w:b/>
              </w:rPr>
            </w:pPr>
            <w:r>
              <w:rPr>
                <w:b/>
              </w:rPr>
              <w:t>Cautions and side effects</w:t>
            </w:r>
          </w:p>
        </w:tc>
        <w:tc>
          <w:tcPr>
            <w:tcW w:w="7628" w:type="dxa"/>
          </w:tcPr>
          <w:p w:rsidR="008F03B5" w:rsidRDefault="00586B9B">
            <w:pPr>
              <w:pStyle w:val="TableParagraph"/>
              <w:numPr>
                <w:ilvl w:val="0"/>
                <w:numId w:val="28"/>
              </w:numPr>
              <w:tabs>
                <w:tab w:val="left" w:pos="468"/>
                <w:tab w:val="left" w:pos="469"/>
              </w:tabs>
              <w:spacing w:line="277" w:lineRule="exact"/>
              <w:ind w:hanging="361"/>
            </w:pPr>
            <w:r>
              <w:rPr>
                <w:b/>
              </w:rPr>
              <w:t>Cautions</w:t>
            </w:r>
            <w:r>
              <w:t>: - Hypercalcaemia.</w:t>
            </w:r>
            <w:r>
              <w:rPr>
                <w:spacing w:val="-4"/>
              </w:rPr>
              <w:t xml:space="preserve"> </w:t>
            </w:r>
            <w:r>
              <w:t>Digoxin.</w:t>
            </w:r>
          </w:p>
          <w:p w:rsidR="008F03B5" w:rsidRDefault="00586B9B">
            <w:pPr>
              <w:pStyle w:val="TableParagraph"/>
              <w:numPr>
                <w:ilvl w:val="0"/>
                <w:numId w:val="28"/>
              </w:numPr>
              <w:tabs>
                <w:tab w:val="left" w:pos="468"/>
                <w:tab w:val="left" w:pos="469"/>
              </w:tabs>
              <w:spacing w:before="9" w:line="310" w:lineRule="atLeast"/>
              <w:ind w:right="119"/>
            </w:pPr>
            <w:r>
              <w:rPr>
                <w:b/>
              </w:rPr>
              <w:t xml:space="preserve">Side Effects: - </w:t>
            </w:r>
            <w:r>
              <w:t>Too rapid administration may lead to symptoms of hypercalcaemia and may cause cardiac arrhythmias or arrest, hypotension and vasomotor collapse, sweating, hot flushes, nausea and</w:t>
            </w:r>
            <w:r>
              <w:rPr>
                <w:spacing w:val="-8"/>
              </w:rPr>
              <w:t xml:space="preserve"> </w:t>
            </w:r>
            <w:r>
              <w:t>vomiting.</w:t>
            </w:r>
          </w:p>
        </w:tc>
      </w:tr>
    </w:tbl>
    <w:p w:rsidR="008F03B5" w:rsidRDefault="008F03B5">
      <w:pPr>
        <w:pStyle w:val="a3"/>
        <w:spacing w:before="2"/>
        <w:rPr>
          <w:b/>
          <w:sz w:val="25"/>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72"/>
        <w:gridCol w:w="7628"/>
      </w:tblGrid>
      <w:tr w:rsidR="008F03B5">
        <w:trPr>
          <w:trHeight w:val="268"/>
        </w:trPr>
        <w:tc>
          <w:tcPr>
            <w:tcW w:w="9500" w:type="dxa"/>
            <w:gridSpan w:val="2"/>
            <w:shd w:val="clear" w:color="auto" w:fill="DEEAF6"/>
          </w:tcPr>
          <w:p w:rsidR="008F03B5" w:rsidRDefault="00586B9B">
            <w:pPr>
              <w:pStyle w:val="TableParagraph"/>
              <w:spacing w:line="248" w:lineRule="exact"/>
              <w:ind w:left="107"/>
              <w:rPr>
                <w:b/>
              </w:rPr>
            </w:pPr>
            <w:r>
              <w:rPr>
                <w:b/>
              </w:rPr>
              <w:t>Calcium Gluconate</w:t>
            </w:r>
          </w:p>
        </w:tc>
      </w:tr>
      <w:tr w:rsidR="008F03B5">
        <w:trPr>
          <w:trHeight w:val="395"/>
        </w:trPr>
        <w:tc>
          <w:tcPr>
            <w:tcW w:w="1872" w:type="dxa"/>
            <w:shd w:val="clear" w:color="auto" w:fill="F1F1F1"/>
          </w:tcPr>
          <w:p w:rsidR="008F03B5" w:rsidRDefault="00586B9B">
            <w:pPr>
              <w:pStyle w:val="TableParagraph"/>
              <w:spacing w:line="265" w:lineRule="exact"/>
              <w:ind w:left="107"/>
              <w:rPr>
                <w:b/>
              </w:rPr>
            </w:pPr>
            <w:r>
              <w:rPr>
                <w:b/>
              </w:rPr>
              <w:t>Available as</w:t>
            </w:r>
          </w:p>
        </w:tc>
        <w:tc>
          <w:tcPr>
            <w:tcW w:w="7628" w:type="dxa"/>
          </w:tcPr>
          <w:p w:rsidR="008F03B5" w:rsidRDefault="00586B9B">
            <w:pPr>
              <w:pStyle w:val="TableParagraph"/>
              <w:numPr>
                <w:ilvl w:val="0"/>
                <w:numId w:val="27"/>
              </w:numPr>
              <w:tabs>
                <w:tab w:val="left" w:pos="468"/>
                <w:tab w:val="left" w:pos="469"/>
              </w:tabs>
              <w:spacing w:line="277" w:lineRule="exact"/>
              <w:ind w:hanging="361"/>
            </w:pPr>
            <w:r>
              <w:t>Calcium gluconate 10% ampoules (contains 2.2mmoL of calcium in</w:t>
            </w:r>
            <w:r>
              <w:rPr>
                <w:spacing w:val="-13"/>
              </w:rPr>
              <w:t xml:space="preserve"> </w:t>
            </w:r>
            <w:r>
              <w:t>10mL)</w:t>
            </w:r>
          </w:p>
        </w:tc>
      </w:tr>
      <w:tr w:rsidR="008F03B5">
        <w:trPr>
          <w:trHeight w:val="405"/>
        </w:trPr>
        <w:tc>
          <w:tcPr>
            <w:tcW w:w="1872" w:type="dxa"/>
            <w:shd w:val="clear" w:color="auto" w:fill="F1F1F1"/>
          </w:tcPr>
          <w:p w:rsidR="008F03B5" w:rsidRDefault="00586B9B">
            <w:pPr>
              <w:pStyle w:val="TableParagraph"/>
              <w:spacing w:line="268" w:lineRule="exact"/>
              <w:ind w:left="107"/>
              <w:rPr>
                <w:b/>
              </w:rPr>
            </w:pPr>
            <w:r>
              <w:rPr>
                <w:b/>
              </w:rPr>
              <w:t>Preparation</w:t>
            </w:r>
          </w:p>
        </w:tc>
        <w:tc>
          <w:tcPr>
            <w:tcW w:w="7628" w:type="dxa"/>
          </w:tcPr>
          <w:p w:rsidR="008F03B5" w:rsidRDefault="00586B9B">
            <w:pPr>
              <w:pStyle w:val="TableParagraph"/>
              <w:numPr>
                <w:ilvl w:val="0"/>
                <w:numId w:val="26"/>
              </w:numPr>
              <w:tabs>
                <w:tab w:val="left" w:pos="468"/>
                <w:tab w:val="left" w:pos="469"/>
              </w:tabs>
              <w:spacing w:line="280" w:lineRule="exact"/>
              <w:ind w:hanging="361"/>
            </w:pPr>
            <w:r>
              <w:t>Can be used</w:t>
            </w:r>
            <w:r>
              <w:rPr>
                <w:spacing w:val="-2"/>
              </w:rPr>
              <w:t xml:space="preserve"> </w:t>
            </w:r>
            <w:r>
              <w:t>undiluted.</w:t>
            </w:r>
          </w:p>
        </w:tc>
      </w:tr>
      <w:tr w:rsidR="008F03B5">
        <w:trPr>
          <w:trHeight w:val="947"/>
        </w:trPr>
        <w:tc>
          <w:tcPr>
            <w:tcW w:w="1872" w:type="dxa"/>
            <w:shd w:val="clear" w:color="auto" w:fill="F1F1F1"/>
          </w:tcPr>
          <w:p w:rsidR="008F03B5" w:rsidRDefault="00586B9B">
            <w:pPr>
              <w:pStyle w:val="TableParagraph"/>
              <w:spacing w:line="268" w:lineRule="exact"/>
              <w:ind w:left="107"/>
              <w:rPr>
                <w:b/>
              </w:rPr>
            </w:pPr>
            <w:r>
              <w:rPr>
                <w:b/>
              </w:rPr>
              <w:t>Flush solutions</w:t>
            </w:r>
          </w:p>
        </w:tc>
        <w:tc>
          <w:tcPr>
            <w:tcW w:w="7628" w:type="dxa"/>
          </w:tcPr>
          <w:p w:rsidR="008F03B5" w:rsidRDefault="00586B9B">
            <w:pPr>
              <w:pStyle w:val="TableParagraph"/>
              <w:numPr>
                <w:ilvl w:val="0"/>
                <w:numId w:val="25"/>
              </w:numPr>
              <w:tabs>
                <w:tab w:val="left" w:pos="468"/>
                <w:tab w:val="left" w:pos="469"/>
              </w:tabs>
              <w:spacing w:line="277" w:lineRule="exact"/>
              <w:ind w:hanging="361"/>
            </w:pPr>
            <w:r>
              <w:t>Flush well with sodium chloride 0.9% or glucose 5% to avoid vein</w:t>
            </w:r>
            <w:r>
              <w:rPr>
                <w:spacing w:val="-16"/>
              </w:rPr>
              <w:t xml:space="preserve"> </w:t>
            </w:r>
            <w:r>
              <w:t>irritation.</w:t>
            </w:r>
          </w:p>
          <w:p w:rsidR="008F03B5" w:rsidRDefault="00586B9B">
            <w:pPr>
              <w:pStyle w:val="TableParagraph"/>
              <w:numPr>
                <w:ilvl w:val="0"/>
                <w:numId w:val="25"/>
              </w:numPr>
              <w:tabs>
                <w:tab w:val="left" w:pos="468"/>
                <w:tab w:val="left" w:pos="469"/>
              </w:tabs>
              <w:spacing w:before="9" w:line="310" w:lineRule="atLeast"/>
              <w:ind w:right="966"/>
            </w:pPr>
            <w:r>
              <w:t>Incompatible with many solutions (including sodium bicarbonate and phosphate).</w:t>
            </w:r>
          </w:p>
        </w:tc>
      </w:tr>
      <w:tr w:rsidR="008F03B5">
        <w:trPr>
          <w:trHeight w:val="1901"/>
        </w:trPr>
        <w:tc>
          <w:tcPr>
            <w:tcW w:w="1872" w:type="dxa"/>
            <w:shd w:val="clear" w:color="auto" w:fill="F1F1F1"/>
          </w:tcPr>
          <w:p w:rsidR="008F03B5" w:rsidRDefault="00586B9B">
            <w:pPr>
              <w:pStyle w:val="TableParagraph"/>
              <w:spacing w:line="268" w:lineRule="exact"/>
              <w:ind w:left="107"/>
              <w:rPr>
                <w:b/>
              </w:rPr>
            </w:pPr>
            <w:r>
              <w:rPr>
                <w:b/>
              </w:rPr>
              <w:t>Administration</w:t>
            </w:r>
          </w:p>
        </w:tc>
        <w:tc>
          <w:tcPr>
            <w:tcW w:w="7628" w:type="dxa"/>
          </w:tcPr>
          <w:p w:rsidR="008F03B5" w:rsidRDefault="00586B9B">
            <w:pPr>
              <w:pStyle w:val="TableParagraph"/>
              <w:numPr>
                <w:ilvl w:val="0"/>
                <w:numId w:val="24"/>
              </w:numPr>
              <w:tabs>
                <w:tab w:val="left" w:pos="468"/>
                <w:tab w:val="left" w:pos="469"/>
              </w:tabs>
              <w:spacing w:line="273" w:lineRule="auto"/>
              <w:ind w:right="349"/>
            </w:pPr>
            <w:r>
              <w:t>The rate of administration should not exceed 2mL per minute (equivalent</w:t>
            </w:r>
            <w:r>
              <w:rPr>
                <w:spacing w:val="-24"/>
              </w:rPr>
              <w:t xml:space="preserve"> </w:t>
            </w:r>
            <w:r>
              <w:t>to 10mL of undiluted injection over 5</w:t>
            </w:r>
            <w:r>
              <w:rPr>
                <w:spacing w:val="-12"/>
              </w:rPr>
              <w:t xml:space="preserve"> </w:t>
            </w:r>
            <w:r>
              <w:t>minutes).</w:t>
            </w:r>
          </w:p>
          <w:p w:rsidR="008F03B5" w:rsidRDefault="00586B9B">
            <w:pPr>
              <w:pStyle w:val="TableParagraph"/>
              <w:numPr>
                <w:ilvl w:val="0"/>
                <w:numId w:val="24"/>
              </w:numPr>
              <w:tabs>
                <w:tab w:val="left" w:pos="468"/>
                <w:tab w:val="left" w:pos="469"/>
              </w:tabs>
              <w:spacing w:before="4" w:line="273" w:lineRule="auto"/>
              <w:ind w:right="577"/>
            </w:pPr>
            <w:r>
              <w:t>For peripheral administration, choose a large vein and monitor closely for phlebitis.</w:t>
            </w:r>
          </w:p>
          <w:p w:rsidR="008F03B5" w:rsidRDefault="00586B9B">
            <w:pPr>
              <w:pStyle w:val="TableParagraph"/>
              <w:numPr>
                <w:ilvl w:val="0"/>
                <w:numId w:val="24"/>
              </w:numPr>
              <w:tabs>
                <w:tab w:val="left" w:pos="468"/>
                <w:tab w:val="left" w:pos="469"/>
              </w:tabs>
              <w:spacing w:before="5"/>
              <w:ind w:hanging="361"/>
            </w:pPr>
            <w:r>
              <w:t>Ensure patient is supine and closely observed during</w:t>
            </w:r>
            <w:r>
              <w:rPr>
                <w:spacing w:val="-9"/>
              </w:rPr>
              <w:t xml:space="preserve"> </w:t>
            </w:r>
            <w:r>
              <w:t>injection.</w:t>
            </w:r>
          </w:p>
          <w:p w:rsidR="008F03B5" w:rsidRDefault="00586B9B">
            <w:pPr>
              <w:pStyle w:val="TableParagraph"/>
              <w:numPr>
                <w:ilvl w:val="0"/>
                <w:numId w:val="24"/>
              </w:numPr>
              <w:tabs>
                <w:tab w:val="left" w:pos="465"/>
                <w:tab w:val="left" w:pos="466"/>
              </w:tabs>
              <w:spacing w:before="41"/>
              <w:ind w:left="465" w:hanging="358"/>
            </w:pPr>
            <w:r>
              <w:t>Monitoring ECG and blood</w:t>
            </w:r>
            <w:r>
              <w:rPr>
                <w:spacing w:val="-7"/>
              </w:rPr>
              <w:t xml:space="preserve"> </w:t>
            </w:r>
            <w:r>
              <w:t>pressure.</w:t>
            </w:r>
          </w:p>
        </w:tc>
      </w:tr>
      <w:tr w:rsidR="008F03B5">
        <w:trPr>
          <w:trHeight w:val="926"/>
        </w:trPr>
        <w:tc>
          <w:tcPr>
            <w:tcW w:w="1872" w:type="dxa"/>
            <w:shd w:val="clear" w:color="auto" w:fill="F1F1F1"/>
          </w:tcPr>
          <w:p w:rsidR="008F03B5" w:rsidRDefault="00586B9B">
            <w:pPr>
              <w:pStyle w:val="TableParagraph"/>
              <w:spacing w:line="276" w:lineRule="auto"/>
              <w:ind w:left="107" w:right="875"/>
              <w:rPr>
                <w:b/>
              </w:rPr>
            </w:pPr>
            <w:r>
              <w:rPr>
                <w:b/>
              </w:rPr>
              <w:t>Specialist technical</w:t>
            </w:r>
          </w:p>
          <w:p w:rsidR="008F03B5" w:rsidRDefault="00586B9B">
            <w:pPr>
              <w:pStyle w:val="TableParagraph"/>
              <w:ind w:left="107"/>
              <w:rPr>
                <w:b/>
              </w:rPr>
            </w:pPr>
            <w:r>
              <w:rPr>
                <w:b/>
              </w:rPr>
              <w:t>information</w:t>
            </w:r>
          </w:p>
        </w:tc>
        <w:tc>
          <w:tcPr>
            <w:tcW w:w="7628" w:type="dxa"/>
          </w:tcPr>
          <w:p w:rsidR="008F03B5" w:rsidRDefault="00586B9B">
            <w:pPr>
              <w:pStyle w:val="TableParagraph"/>
              <w:numPr>
                <w:ilvl w:val="0"/>
                <w:numId w:val="23"/>
              </w:numPr>
              <w:tabs>
                <w:tab w:val="left" w:pos="468"/>
                <w:tab w:val="left" w:pos="469"/>
              </w:tabs>
              <w:spacing w:line="277" w:lineRule="exact"/>
              <w:ind w:hanging="361"/>
            </w:pPr>
            <w:r>
              <w:t>Extravasation can cause tissue damage because of the high</w:t>
            </w:r>
            <w:r>
              <w:rPr>
                <w:spacing w:val="-16"/>
              </w:rPr>
              <w:t xml:space="preserve"> </w:t>
            </w:r>
            <w:r>
              <w:t>osmolarity.</w:t>
            </w:r>
          </w:p>
        </w:tc>
      </w:tr>
      <w:tr w:rsidR="008F03B5">
        <w:trPr>
          <w:trHeight w:val="952"/>
        </w:trPr>
        <w:tc>
          <w:tcPr>
            <w:tcW w:w="1872" w:type="dxa"/>
            <w:shd w:val="clear" w:color="auto" w:fill="F1F1F1"/>
          </w:tcPr>
          <w:p w:rsidR="008F03B5" w:rsidRDefault="00586B9B">
            <w:pPr>
              <w:pStyle w:val="TableParagraph"/>
              <w:spacing w:line="276" w:lineRule="auto"/>
              <w:ind w:left="107" w:right="122"/>
              <w:rPr>
                <w:b/>
              </w:rPr>
            </w:pPr>
            <w:r>
              <w:rPr>
                <w:b/>
              </w:rPr>
              <w:t>Cautions and side effects</w:t>
            </w:r>
          </w:p>
        </w:tc>
        <w:tc>
          <w:tcPr>
            <w:tcW w:w="7628" w:type="dxa"/>
          </w:tcPr>
          <w:p w:rsidR="008F03B5" w:rsidRDefault="00586B9B">
            <w:pPr>
              <w:pStyle w:val="TableParagraph"/>
              <w:numPr>
                <w:ilvl w:val="0"/>
                <w:numId w:val="22"/>
              </w:numPr>
              <w:tabs>
                <w:tab w:val="left" w:pos="468"/>
                <w:tab w:val="left" w:pos="469"/>
              </w:tabs>
              <w:spacing w:line="280" w:lineRule="exact"/>
              <w:ind w:hanging="361"/>
            </w:pPr>
            <w:r>
              <w:rPr>
                <w:b/>
              </w:rPr>
              <w:t>Cautions</w:t>
            </w:r>
            <w:r>
              <w:t>: - Hypercalcaemia.</w:t>
            </w:r>
            <w:r>
              <w:rPr>
                <w:spacing w:val="-4"/>
              </w:rPr>
              <w:t xml:space="preserve"> </w:t>
            </w:r>
            <w:r>
              <w:t>Digoxin.</w:t>
            </w:r>
          </w:p>
          <w:p w:rsidR="008F03B5" w:rsidRDefault="00586B9B">
            <w:pPr>
              <w:pStyle w:val="TableParagraph"/>
              <w:numPr>
                <w:ilvl w:val="0"/>
                <w:numId w:val="22"/>
              </w:numPr>
              <w:tabs>
                <w:tab w:val="left" w:pos="468"/>
                <w:tab w:val="left" w:pos="469"/>
              </w:tabs>
              <w:spacing w:before="9" w:line="310" w:lineRule="atLeast"/>
              <w:ind w:right="299"/>
            </w:pPr>
            <w:r>
              <w:rPr>
                <w:b/>
              </w:rPr>
              <w:t xml:space="preserve">Side-Effects: - </w:t>
            </w:r>
            <w:r>
              <w:t>Administer slowly to minimise peripheral vasodilation, cardiac depression and circulatory</w:t>
            </w:r>
            <w:r>
              <w:rPr>
                <w:spacing w:val="-9"/>
              </w:rPr>
              <w:t xml:space="preserve"> </w:t>
            </w:r>
            <w:r>
              <w:t>collapse</w:t>
            </w:r>
          </w:p>
        </w:tc>
      </w:tr>
    </w:tbl>
    <w:p w:rsidR="008F03B5" w:rsidRDefault="008F03B5">
      <w:pPr>
        <w:spacing w:line="310" w:lineRule="atLeast"/>
        <w:sectPr w:rsidR="008F03B5">
          <w:pgSz w:w="11910" w:h="16840"/>
          <w:pgMar w:top="1540" w:right="780" w:bottom="1100" w:left="860" w:header="425" w:footer="912" w:gutter="0"/>
          <w:cols w:space="720"/>
        </w:sectPr>
      </w:pPr>
    </w:p>
    <w:p w:rsidR="008F03B5" w:rsidRDefault="00586B9B">
      <w:pPr>
        <w:spacing w:before="119"/>
        <w:ind w:left="217"/>
        <w:rPr>
          <w:b/>
          <w:sz w:val="24"/>
        </w:rPr>
      </w:pPr>
      <w:r>
        <w:rPr>
          <w:b/>
          <w:color w:val="44536A"/>
          <w:sz w:val="24"/>
        </w:rPr>
        <w:lastRenderedPageBreak/>
        <w:t>References</w:t>
      </w:r>
    </w:p>
    <w:p w:rsidR="008F03B5" w:rsidRDefault="00586B9B">
      <w:pPr>
        <w:pStyle w:val="a4"/>
        <w:numPr>
          <w:ilvl w:val="0"/>
          <w:numId w:val="21"/>
        </w:numPr>
        <w:tabs>
          <w:tab w:val="left" w:pos="1069"/>
          <w:tab w:val="left" w:pos="1071"/>
        </w:tabs>
        <w:spacing w:before="40" w:line="276" w:lineRule="auto"/>
        <w:ind w:right="1231"/>
      </w:pPr>
      <w:r>
        <w:t>Electronic Medicines Compendium (2018) ‘Summary of Product Characteristics – Calcium Gluconate Injection BP – Hameln Pharmaceuticals Ltd’. Available at</w:t>
      </w:r>
      <w:r>
        <w:rPr>
          <w:color w:val="0562C1"/>
        </w:rPr>
        <w:t xml:space="preserve"> </w:t>
      </w:r>
      <w:hyperlink r:id="rId21">
        <w:r>
          <w:rPr>
            <w:color w:val="0562C1"/>
            <w:u w:val="single" w:color="0562C1"/>
          </w:rPr>
          <w:t>https://www.medicines.org.uk/emc/product/6264/smpc</w:t>
        </w:r>
      </w:hyperlink>
      <w:r>
        <w:t>. Accessed on</w:t>
      </w:r>
      <w:r>
        <w:rPr>
          <w:spacing w:val="-10"/>
        </w:rPr>
        <w:t xml:space="preserve"> </w:t>
      </w:r>
      <w:r>
        <w:t>06.05.19.</w:t>
      </w:r>
    </w:p>
    <w:p w:rsidR="008F03B5" w:rsidRDefault="008F03B5">
      <w:pPr>
        <w:pStyle w:val="a3"/>
        <w:spacing w:before="7"/>
        <w:rPr>
          <w:sz w:val="8"/>
        </w:rPr>
      </w:pPr>
    </w:p>
    <w:p w:rsidR="008F03B5" w:rsidRDefault="00586B9B">
      <w:pPr>
        <w:pStyle w:val="a4"/>
        <w:numPr>
          <w:ilvl w:val="0"/>
          <w:numId w:val="21"/>
        </w:numPr>
        <w:tabs>
          <w:tab w:val="left" w:pos="1069"/>
          <w:tab w:val="left" w:pos="1071"/>
        </w:tabs>
        <w:spacing w:before="56" w:line="276" w:lineRule="auto"/>
        <w:ind w:right="461"/>
      </w:pPr>
      <w:r>
        <w:t>Injectable Medicines Guide. Monograph for Calcium gluconate. Version 6 05.02.2019. Available at</w:t>
      </w:r>
      <w:r>
        <w:rPr>
          <w:color w:val="0562C1"/>
        </w:rPr>
        <w:t xml:space="preserve"> </w:t>
      </w:r>
      <w:hyperlink r:id="rId22">
        <w:r>
          <w:rPr>
            <w:color w:val="0562C1"/>
            <w:u w:val="single" w:color="0562C1"/>
          </w:rPr>
          <w:t>http://www.injguide.nhs.uk/IVGuidePrint.asp?Drugno=3225&amp;format=3</w:t>
        </w:r>
      </w:hyperlink>
      <w:r>
        <w:t>. Accessed</w:t>
      </w:r>
      <w:r>
        <w:rPr>
          <w:spacing w:val="-6"/>
        </w:rPr>
        <w:t xml:space="preserve"> </w:t>
      </w:r>
      <w:r>
        <w:t>06.05.2019</w:t>
      </w:r>
    </w:p>
    <w:p w:rsidR="008F03B5" w:rsidRDefault="008F03B5">
      <w:pPr>
        <w:pStyle w:val="a3"/>
        <w:spacing w:before="6"/>
        <w:rPr>
          <w:sz w:val="8"/>
        </w:rPr>
      </w:pPr>
    </w:p>
    <w:p w:rsidR="008F03B5" w:rsidRDefault="00586B9B">
      <w:pPr>
        <w:pStyle w:val="a4"/>
        <w:numPr>
          <w:ilvl w:val="0"/>
          <w:numId w:val="21"/>
        </w:numPr>
        <w:tabs>
          <w:tab w:val="left" w:pos="1069"/>
          <w:tab w:val="left" w:pos="1071"/>
        </w:tabs>
        <w:spacing w:before="57" w:line="276" w:lineRule="auto"/>
        <w:ind w:right="1538"/>
      </w:pPr>
      <w:r>
        <w:t>Guidelines and Audit Implementation Network (2014) Guidelines for the treatment of hyperkalaemia in adults. Belfast,</w:t>
      </w:r>
      <w:r>
        <w:rPr>
          <w:spacing w:val="-4"/>
        </w:rPr>
        <w:t xml:space="preserve"> </w:t>
      </w:r>
      <w:r>
        <w:t>GAIN.</w:t>
      </w:r>
    </w:p>
    <w:p w:rsidR="008F03B5" w:rsidRDefault="00586B9B">
      <w:pPr>
        <w:pStyle w:val="a4"/>
        <w:numPr>
          <w:ilvl w:val="0"/>
          <w:numId w:val="21"/>
        </w:numPr>
        <w:tabs>
          <w:tab w:val="left" w:pos="1069"/>
          <w:tab w:val="left" w:pos="1071"/>
        </w:tabs>
        <w:spacing w:before="160" w:line="278" w:lineRule="auto"/>
        <w:ind w:right="557"/>
      </w:pPr>
      <w:r>
        <w:t>Injectable Medicines Guide. Monograph for Calcium chloride. Version 5 22.06.2016. Available at.</w:t>
      </w:r>
      <w:r>
        <w:rPr>
          <w:color w:val="0562C1"/>
        </w:rPr>
        <w:t xml:space="preserve"> </w:t>
      </w:r>
      <w:hyperlink r:id="rId23">
        <w:r>
          <w:rPr>
            <w:color w:val="0562C1"/>
            <w:u w:val="single" w:color="0562C1"/>
          </w:rPr>
          <w:t>http://www.injguide.nhs.uk/IVGuidePrint.asp?Drugno=2562&amp;format=3</w:t>
        </w:r>
        <w:r>
          <w:rPr>
            <w:color w:val="0562C1"/>
          </w:rPr>
          <w:t xml:space="preserve"> </w:t>
        </w:r>
      </w:hyperlink>
      <w:r>
        <w:t>Accessed</w:t>
      </w:r>
      <w:r>
        <w:rPr>
          <w:spacing w:val="-8"/>
        </w:rPr>
        <w:t xml:space="preserve"> </w:t>
      </w:r>
      <w:r>
        <w:t>06.05.2019</w:t>
      </w:r>
    </w:p>
    <w:p w:rsidR="008F03B5" w:rsidRDefault="00586B9B">
      <w:pPr>
        <w:pStyle w:val="a4"/>
        <w:numPr>
          <w:ilvl w:val="0"/>
          <w:numId w:val="21"/>
        </w:numPr>
        <w:tabs>
          <w:tab w:val="left" w:pos="1069"/>
          <w:tab w:val="left" w:pos="1071"/>
        </w:tabs>
        <w:spacing w:before="155" w:line="276" w:lineRule="auto"/>
        <w:ind w:right="429"/>
      </w:pPr>
      <w:r>
        <w:t>Electronic Medicines Compendium (2018) ‘Summary of Product Characteristics – Calcium Chloride Intravenous Infusion 10% w/v – Martindale Pharma’. Available at</w:t>
      </w:r>
      <w:r>
        <w:rPr>
          <w:color w:val="0562C1"/>
        </w:rPr>
        <w:t xml:space="preserve"> </w:t>
      </w:r>
      <w:hyperlink r:id="rId24">
        <w:r>
          <w:rPr>
            <w:color w:val="0562C1"/>
            <w:u w:val="single" w:color="0562C1"/>
          </w:rPr>
          <w:t>https://www.medicines.org.uk/emc/product/4126/smpc</w:t>
        </w:r>
        <w:r>
          <w:rPr>
            <w:color w:val="0562C1"/>
          </w:rPr>
          <w:t xml:space="preserve"> </w:t>
        </w:r>
      </w:hyperlink>
      <w:r>
        <w:t>Accessed</w:t>
      </w:r>
      <w:r>
        <w:rPr>
          <w:spacing w:val="-2"/>
        </w:rPr>
        <w:t xml:space="preserve"> </w:t>
      </w:r>
      <w:r>
        <w:t>06.05.2019</w:t>
      </w:r>
    </w:p>
    <w:p w:rsidR="008F03B5" w:rsidRDefault="00586B9B">
      <w:pPr>
        <w:pStyle w:val="a4"/>
        <w:numPr>
          <w:ilvl w:val="0"/>
          <w:numId w:val="21"/>
        </w:numPr>
        <w:tabs>
          <w:tab w:val="left" w:pos="1069"/>
          <w:tab w:val="left" w:pos="1071"/>
        </w:tabs>
        <w:spacing w:before="160" w:line="276" w:lineRule="auto"/>
        <w:ind w:right="637"/>
      </w:pPr>
      <w:r>
        <w:t>University College London Hospitals NHS Foundation Trust. Injectable Medicines Administration Guide. 3</w:t>
      </w:r>
      <w:r>
        <w:rPr>
          <w:vertAlign w:val="superscript"/>
        </w:rPr>
        <w:t>rd</w:t>
      </w:r>
      <w:r>
        <w:t xml:space="preserve"> edition. 2010. Wiley-Blackwell.</w:t>
      </w:r>
      <w:r>
        <w:rPr>
          <w:spacing w:val="-11"/>
        </w:rPr>
        <w:t xml:space="preserve"> </w:t>
      </w:r>
      <w:r>
        <w:t>Chichester.</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33" w:name="_bookmark51"/>
      <w:bookmarkEnd w:id="33"/>
      <w:r>
        <w:rPr>
          <w:color w:val="1F4E79"/>
        </w:rPr>
        <w:lastRenderedPageBreak/>
        <w:t>Appendix 3B: Drug administration and safety –Insulin-glucose infusion</w:t>
      </w:r>
    </w:p>
    <w:p w:rsidR="008F03B5" w:rsidRDefault="008F03B5">
      <w:pPr>
        <w:pStyle w:val="a3"/>
        <w:spacing w:before="11"/>
        <w:rPr>
          <w:b/>
          <w:sz w:val="2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6665"/>
      </w:tblGrid>
      <w:tr w:rsidR="008F03B5">
        <w:trPr>
          <w:trHeight w:val="508"/>
        </w:trPr>
        <w:tc>
          <w:tcPr>
            <w:tcW w:w="9500" w:type="dxa"/>
            <w:gridSpan w:val="2"/>
            <w:shd w:val="clear" w:color="auto" w:fill="DEEAF6"/>
          </w:tcPr>
          <w:p w:rsidR="008F03B5" w:rsidRDefault="00586B9B">
            <w:pPr>
              <w:pStyle w:val="TableParagraph"/>
              <w:spacing w:line="268" w:lineRule="exact"/>
              <w:ind w:left="107"/>
              <w:rPr>
                <w:b/>
              </w:rPr>
            </w:pPr>
            <w:r>
              <w:rPr>
                <w:b/>
              </w:rPr>
              <w:t>10 units of Soluble Insulin in 50mL Glucose 50% (25g)</w:t>
            </w:r>
          </w:p>
        </w:tc>
      </w:tr>
      <w:tr w:rsidR="008F03B5">
        <w:trPr>
          <w:trHeight w:val="618"/>
        </w:trPr>
        <w:tc>
          <w:tcPr>
            <w:tcW w:w="2835" w:type="dxa"/>
            <w:vMerge w:val="restart"/>
            <w:shd w:val="clear" w:color="auto" w:fill="F1F1F1"/>
          </w:tcPr>
          <w:p w:rsidR="008F03B5" w:rsidRDefault="00586B9B">
            <w:pPr>
              <w:pStyle w:val="TableParagraph"/>
              <w:spacing w:line="268" w:lineRule="exact"/>
              <w:ind w:left="107"/>
              <w:rPr>
                <w:b/>
              </w:rPr>
            </w:pPr>
            <w:r>
              <w:rPr>
                <w:b/>
              </w:rPr>
              <w:t>Available as</w:t>
            </w:r>
          </w:p>
        </w:tc>
        <w:tc>
          <w:tcPr>
            <w:tcW w:w="6665" w:type="dxa"/>
          </w:tcPr>
          <w:p w:rsidR="008F03B5" w:rsidRDefault="00586B9B">
            <w:pPr>
              <w:pStyle w:val="TableParagraph"/>
              <w:spacing w:line="265" w:lineRule="exact"/>
              <w:ind w:left="108"/>
            </w:pPr>
            <w:r>
              <w:t>Vials containing human soluble insulin 100 units per mL (Actrapid®)</w:t>
            </w:r>
          </w:p>
        </w:tc>
      </w:tr>
      <w:tr w:rsidR="008F03B5">
        <w:trPr>
          <w:trHeight w:val="510"/>
        </w:trPr>
        <w:tc>
          <w:tcPr>
            <w:tcW w:w="2835" w:type="dxa"/>
            <w:vMerge/>
            <w:tcBorders>
              <w:top w:val="nil"/>
            </w:tcBorders>
            <w:shd w:val="clear" w:color="auto" w:fill="F1F1F1"/>
          </w:tcPr>
          <w:p w:rsidR="008F03B5" w:rsidRDefault="008F03B5">
            <w:pPr>
              <w:rPr>
                <w:sz w:val="2"/>
                <w:szCs w:val="2"/>
              </w:rPr>
            </w:pPr>
          </w:p>
        </w:tc>
        <w:tc>
          <w:tcPr>
            <w:tcW w:w="6665" w:type="dxa"/>
          </w:tcPr>
          <w:p w:rsidR="008F03B5" w:rsidRDefault="00586B9B">
            <w:pPr>
              <w:pStyle w:val="TableParagraph"/>
              <w:spacing w:before="1"/>
              <w:ind w:left="108"/>
            </w:pPr>
            <w:r>
              <w:t>Vials containing 50mL glucose 50% (25g)</w:t>
            </w:r>
          </w:p>
        </w:tc>
      </w:tr>
      <w:tr w:rsidR="008F03B5">
        <w:trPr>
          <w:trHeight w:val="1886"/>
        </w:trPr>
        <w:tc>
          <w:tcPr>
            <w:tcW w:w="2835" w:type="dxa"/>
            <w:shd w:val="clear" w:color="auto" w:fill="F1F1F1"/>
          </w:tcPr>
          <w:p w:rsidR="008F03B5" w:rsidRDefault="00586B9B">
            <w:pPr>
              <w:pStyle w:val="TableParagraph"/>
              <w:spacing w:line="268" w:lineRule="exact"/>
              <w:ind w:left="107"/>
              <w:rPr>
                <w:b/>
              </w:rPr>
            </w:pPr>
            <w:r>
              <w:rPr>
                <w:b/>
              </w:rPr>
              <w:t>Preparation</w:t>
            </w:r>
          </w:p>
        </w:tc>
        <w:tc>
          <w:tcPr>
            <w:tcW w:w="6665" w:type="dxa"/>
          </w:tcPr>
          <w:p w:rsidR="008F03B5" w:rsidRDefault="00586B9B">
            <w:pPr>
              <w:pStyle w:val="TableParagraph"/>
              <w:numPr>
                <w:ilvl w:val="0"/>
                <w:numId w:val="20"/>
              </w:numPr>
              <w:tabs>
                <w:tab w:val="left" w:pos="468"/>
                <w:tab w:val="left" w:pos="469"/>
              </w:tabs>
              <w:spacing w:line="276" w:lineRule="auto"/>
              <w:ind w:right="368"/>
            </w:pPr>
            <w:r>
              <w:t xml:space="preserve">Withdraw 10 units of Actrapid® insulin. </w:t>
            </w:r>
            <w:r>
              <w:rPr>
                <w:b/>
              </w:rPr>
              <w:t>This should be done only using an insulin syringe which is graduated in units</w:t>
            </w:r>
            <w:r>
              <w:t>. Due to the potential for dosing errors, it is recommended that this is independently checked by another healthcare</w:t>
            </w:r>
            <w:r>
              <w:rPr>
                <w:spacing w:val="-2"/>
              </w:rPr>
              <w:t xml:space="preserve"> </w:t>
            </w:r>
            <w:r>
              <w:t>professional.</w:t>
            </w:r>
          </w:p>
          <w:p w:rsidR="008F03B5" w:rsidRDefault="00586B9B">
            <w:pPr>
              <w:pStyle w:val="TableParagraph"/>
              <w:numPr>
                <w:ilvl w:val="0"/>
                <w:numId w:val="20"/>
              </w:numPr>
              <w:tabs>
                <w:tab w:val="left" w:pos="468"/>
                <w:tab w:val="left" w:pos="469"/>
              </w:tabs>
              <w:spacing w:line="279" w:lineRule="exact"/>
              <w:ind w:hanging="361"/>
            </w:pPr>
            <w:r>
              <w:t>Inject the insulin into a 50mL glucose 50% vial and mix</w:t>
            </w:r>
            <w:r>
              <w:rPr>
                <w:spacing w:val="-14"/>
              </w:rPr>
              <w:t xml:space="preserve"> </w:t>
            </w:r>
            <w:r>
              <w:t>well.</w:t>
            </w:r>
          </w:p>
          <w:p w:rsidR="008F03B5" w:rsidRDefault="00586B9B">
            <w:pPr>
              <w:pStyle w:val="TableParagraph"/>
              <w:numPr>
                <w:ilvl w:val="0"/>
                <w:numId w:val="20"/>
              </w:numPr>
              <w:tabs>
                <w:tab w:val="left" w:pos="468"/>
                <w:tab w:val="left" w:pos="469"/>
              </w:tabs>
              <w:spacing w:before="38"/>
              <w:ind w:hanging="361"/>
            </w:pPr>
            <w:r>
              <w:t>Withdraw contents of vial into 50mL intravenous</w:t>
            </w:r>
            <w:r>
              <w:rPr>
                <w:spacing w:val="-12"/>
              </w:rPr>
              <w:t xml:space="preserve"> </w:t>
            </w:r>
            <w:r>
              <w:t>syringe.</w:t>
            </w:r>
          </w:p>
        </w:tc>
      </w:tr>
      <w:tr w:rsidR="008F03B5">
        <w:trPr>
          <w:trHeight w:val="817"/>
        </w:trPr>
        <w:tc>
          <w:tcPr>
            <w:tcW w:w="2835" w:type="dxa"/>
            <w:shd w:val="clear" w:color="auto" w:fill="F1F1F1"/>
          </w:tcPr>
          <w:p w:rsidR="008F03B5" w:rsidRDefault="00586B9B">
            <w:pPr>
              <w:pStyle w:val="TableParagraph"/>
              <w:spacing w:line="276" w:lineRule="auto"/>
              <w:ind w:left="107" w:right="702"/>
              <w:rPr>
                <w:b/>
              </w:rPr>
            </w:pPr>
            <w:r>
              <w:rPr>
                <w:b/>
              </w:rPr>
              <w:t>Concentration of final solution</w:t>
            </w:r>
          </w:p>
        </w:tc>
        <w:tc>
          <w:tcPr>
            <w:tcW w:w="6665" w:type="dxa"/>
          </w:tcPr>
          <w:p w:rsidR="008F03B5" w:rsidRDefault="00586B9B">
            <w:pPr>
              <w:pStyle w:val="TableParagraph"/>
              <w:spacing w:before="1"/>
              <w:ind w:left="108"/>
            </w:pPr>
            <w:r>
              <w:t>10 units soluble insulin in 50mL</w:t>
            </w:r>
          </w:p>
        </w:tc>
      </w:tr>
      <w:tr w:rsidR="008F03B5">
        <w:trPr>
          <w:trHeight w:val="546"/>
        </w:trPr>
        <w:tc>
          <w:tcPr>
            <w:tcW w:w="2835" w:type="dxa"/>
            <w:shd w:val="clear" w:color="auto" w:fill="F1F1F1"/>
          </w:tcPr>
          <w:p w:rsidR="008F03B5" w:rsidRDefault="00586B9B">
            <w:pPr>
              <w:pStyle w:val="TableParagraph"/>
              <w:spacing w:before="1"/>
              <w:ind w:left="107"/>
              <w:rPr>
                <w:b/>
              </w:rPr>
            </w:pPr>
            <w:r>
              <w:rPr>
                <w:b/>
              </w:rPr>
              <w:t>Dilution/flush solutions</w:t>
            </w:r>
          </w:p>
        </w:tc>
        <w:tc>
          <w:tcPr>
            <w:tcW w:w="6665" w:type="dxa"/>
          </w:tcPr>
          <w:p w:rsidR="008F03B5" w:rsidRDefault="00586B9B">
            <w:pPr>
              <w:pStyle w:val="TableParagraph"/>
              <w:spacing w:before="1"/>
              <w:ind w:left="108"/>
            </w:pPr>
            <w:r>
              <w:t>Sodium chloride 0.9% - flush well to reduce vein irritation</w:t>
            </w:r>
          </w:p>
        </w:tc>
      </w:tr>
      <w:tr w:rsidR="008F03B5">
        <w:trPr>
          <w:trHeight w:val="1327"/>
        </w:trPr>
        <w:tc>
          <w:tcPr>
            <w:tcW w:w="2835" w:type="dxa"/>
            <w:shd w:val="clear" w:color="auto" w:fill="F1F1F1"/>
          </w:tcPr>
          <w:p w:rsidR="008F03B5" w:rsidRDefault="00586B9B">
            <w:pPr>
              <w:pStyle w:val="TableParagraph"/>
              <w:spacing w:before="1"/>
              <w:ind w:left="107"/>
              <w:rPr>
                <w:b/>
              </w:rPr>
            </w:pPr>
            <w:r>
              <w:rPr>
                <w:b/>
              </w:rPr>
              <w:t>Administration</w:t>
            </w:r>
          </w:p>
        </w:tc>
        <w:tc>
          <w:tcPr>
            <w:tcW w:w="6665" w:type="dxa"/>
          </w:tcPr>
          <w:p w:rsidR="008F03B5" w:rsidRDefault="00586B9B">
            <w:pPr>
              <w:pStyle w:val="TableParagraph"/>
              <w:spacing w:line="276" w:lineRule="auto"/>
              <w:ind w:left="108" w:right="201"/>
            </w:pPr>
            <w:r>
              <w:t>IV Injection: Administered over 5-15 minutes intravenously into a large vein</w:t>
            </w:r>
          </w:p>
          <w:p w:rsidR="008F03B5" w:rsidRDefault="008F03B5">
            <w:pPr>
              <w:pStyle w:val="TableParagraph"/>
              <w:spacing w:before="4"/>
              <w:rPr>
                <w:b/>
                <w:sz w:val="16"/>
              </w:rPr>
            </w:pPr>
          </w:p>
          <w:p w:rsidR="008F03B5" w:rsidRDefault="00586B9B">
            <w:pPr>
              <w:pStyle w:val="TableParagraph"/>
              <w:spacing w:before="1"/>
              <w:ind w:left="108"/>
            </w:pPr>
            <w:r>
              <w:t>Monitor for phlebitis if 50% glucose is given peripherally.</w:t>
            </w:r>
          </w:p>
        </w:tc>
      </w:tr>
      <w:tr w:rsidR="008F03B5">
        <w:trPr>
          <w:trHeight w:val="1019"/>
        </w:trPr>
        <w:tc>
          <w:tcPr>
            <w:tcW w:w="2835" w:type="dxa"/>
            <w:shd w:val="clear" w:color="auto" w:fill="F1F1F1"/>
          </w:tcPr>
          <w:p w:rsidR="008F03B5" w:rsidRDefault="00586B9B">
            <w:pPr>
              <w:pStyle w:val="TableParagraph"/>
              <w:spacing w:line="268" w:lineRule="exact"/>
              <w:ind w:left="107"/>
              <w:rPr>
                <w:b/>
              </w:rPr>
            </w:pPr>
            <w:r>
              <w:rPr>
                <w:b/>
              </w:rPr>
              <w:t>Storage and handling</w:t>
            </w:r>
          </w:p>
        </w:tc>
        <w:tc>
          <w:tcPr>
            <w:tcW w:w="6665" w:type="dxa"/>
          </w:tcPr>
          <w:p w:rsidR="008F03B5" w:rsidRDefault="00586B9B">
            <w:pPr>
              <w:pStyle w:val="TableParagraph"/>
              <w:spacing w:line="268" w:lineRule="exact"/>
              <w:ind w:left="108"/>
            </w:pPr>
            <w:r>
              <w:t>Do not use unless solution is clear and without visible particles.</w:t>
            </w:r>
          </w:p>
        </w:tc>
      </w:tr>
      <w:tr w:rsidR="008F03B5">
        <w:trPr>
          <w:trHeight w:val="815"/>
        </w:trPr>
        <w:tc>
          <w:tcPr>
            <w:tcW w:w="2835" w:type="dxa"/>
            <w:shd w:val="clear" w:color="auto" w:fill="F1F1F1"/>
          </w:tcPr>
          <w:p w:rsidR="008F03B5" w:rsidRDefault="00586B9B">
            <w:pPr>
              <w:pStyle w:val="TableParagraph"/>
              <w:spacing w:line="276" w:lineRule="auto"/>
              <w:ind w:left="107" w:right="964"/>
              <w:rPr>
                <w:b/>
              </w:rPr>
            </w:pPr>
            <w:r>
              <w:rPr>
                <w:b/>
              </w:rPr>
              <w:t>Specialist technical information</w:t>
            </w:r>
          </w:p>
        </w:tc>
        <w:tc>
          <w:tcPr>
            <w:tcW w:w="6665" w:type="dxa"/>
          </w:tcPr>
          <w:p w:rsidR="008F03B5" w:rsidRDefault="00586B9B">
            <w:pPr>
              <w:pStyle w:val="TableParagraph"/>
              <w:spacing w:line="276" w:lineRule="auto"/>
              <w:ind w:left="108" w:right="158"/>
            </w:pPr>
            <w:r>
              <w:t>Glucose 50% has a high osmolarity and administration into a peripheral vein may result in vein irritation, vein damage and thrombosis.</w:t>
            </w:r>
          </w:p>
        </w:tc>
      </w:tr>
      <w:tr w:rsidR="008F03B5">
        <w:trPr>
          <w:trHeight w:val="2198"/>
        </w:trPr>
        <w:tc>
          <w:tcPr>
            <w:tcW w:w="2835" w:type="dxa"/>
            <w:shd w:val="clear" w:color="auto" w:fill="F1F1F1"/>
          </w:tcPr>
          <w:p w:rsidR="008F03B5" w:rsidRDefault="00586B9B">
            <w:pPr>
              <w:pStyle w:val="TableParagraph"/>
              <w:spacing w:before="1"/>
              <w:ind w:left="107"/>
              <w:rPr>
                <w:b/>
              </w:rPr>
            </w:pPr>
            <w:r>
              <w:rPr>
                <w:b/>
              </w:rPr>
              <w:t>Cautions and side effects</w:t>
            </w:r>
          </w:p>
        </w:tc>
        <w:tc>
          <w:tcPr>
            <w:tcW w:w="6665" w:type="dxa"/>
          </w:tcPr>
          <w:p w:rsidR="008F03B5" w:rsidRDefault="00586B9B">
            <w:pPr>
              <w:pStyle w:val="TableParagraph"/>
              <w:numPr>
                <w:ilvl w:val="0"/>
                <w:numId w:val="19"/>
              </w:numPr>
              <w:tabs>
                <w:tab w:val="left" w:pos="468"/>
                <w:tab w:val="left" w:pos="469"/>
              </w:tabs>
              <w:spacing w:line="273" w:lineRule="auto"/>
              <w:ind w:right="240"/>
            </w:pPr>
            <w:r>
              <w:t>Hypoglycaemia – follow monitoring recommendations in guideline and treat according to local</w:t>
            </w:r>
            <w:r>
              <w:rPr>
                <w:spacing w:val="-8"/>
              </w:rPr>
              <w:t xml:space="preserve"> </w:t>
            </w:r>
            <w:r>
              <w:t>guidelines.</w:t>
            </w:r>
          </w:p>
          <w:p w:rsidR="008F03B5" w:rsidRDefault="00586B9B">
            <w:pPr>
              <w:pStyle w:val="TableParagraph"/>
              <w:numPr>
                <w:ilvl w:val="0"/>
                <w:numId w:val="19"/>
              </w:numPr>
              <w:tabs>
                <w:tab w:val="left" w:pos="468"/>
                <w:tab w:val="left" w:pos="469"/>
              </w:tabs>
              <w:spacing w:before="4" w:line="273" w:lineRule="auto"/>
              <w:ind w:right="1182"/>
            </w:pPr>
            <w:r>
              <w:t>Infusion site reactions including phlebitis, erythema and thrombophlebitis.</w:t>
            </w:r>
          </w:p>
          <w:p w:rsidR="008F03B5" w:rsidRDefault="00586B9B">
            <w:pPr>
              <w:pStyle w:val="TableParagraph"/>
              <w:numPr>
                <w:ilvl w:val="0"/>
                <w:numId w:val="19"/>
              </w:numPr>
              <w:tabs>
                <w:tab w:val="left" w:pos="468"/>
                <w:tab w:val="left" w:pos="469"/>
              </w:tabs>
              <w:spacing w:before="5"/>
              <w:ind w:hanging="361"/>
            </w:pPr>
            <w:r>
              <w:t>Hypersensitivity/ anaphylactic reactions have been</w:t>
            </w:r>
            <w:r>
              <w:rPr>
                <w:spacing w:val="-5"/>
              </w:rPr>
              <w:t xml:space="preserve"> </w:t>
            </w:r>
            <w:r>
              <w:t>reported</w:t>
            </w:r>
          </w:p>
          <w:p w:rsidR="008F03B5" w:rsidRDefault="00586B9B">
            <w:pPr>
              <w:pStyle w:val="TableParagraph"/>
              <w:spacing w:before="10" w:line="300" w:lineRule="atLeast"/>
              <w:ind w:left="468" w:right="124"/>
            </w:pPr>
            <w:r>
              <w:t>thought to be due to corn allergy. Should be used with caution, if at all in patients with a known allergy to corn products.</w:t>
            </w:r>
          </w:p>
        </w:tc>
      </w:tr>
    </w:tbl>
    <w:p w:rsidR="008F03B5" w:rsidRDefault="008F03B5">
      <w:pPr>
        <w:spacing w:line="300" w:lineRule="atLeast"/>
        <w:sectPr w:rsidR="008F03B5">
          <w:pgSz w:w="11910" w:h="16840"/>
          <w:pgMar w:top="1540" w:right="780" w:bottom="1100" w:left="860" w:header="425" w:footer="912" w:gutter="0"/>
          <w:cols w:space="720"/>
        </w:sectPr>
      </w:pPr>
    </w:p>
    <w:p w:rsidR="008F03B5" w:rsidRDefault="00586B9B">
      <w:pPr>
        <w:pStyle w:val="3"/>
        <w:spacing w:before="116"/>
      </w:pPr>
      <w:r>
        <w:lastRenderedPageBreak/>
        <w:t>Alternative Glucose preparations</w:t>
      </w:r>
    </w:p>
    <w:p w:rsidR="008F03B5" w:rsidRDefault="008F03B5">
      <w:pPr>
        <w:pStyle w:val="a3"/>
        <w:rPr>
          <w:b/>
          <w:sz w:val="20"/>
        </w:rPr>
      </w:pPr>
    </w:p>
    <w:p w:rsidR="008F03B5" w:rsidRDefault="008F03B5">
      <w:pPr>
        <w:pStyle w:val="a3"/>
        <w:rPr>
          <w:b/>
          <w:sz w:val="20"/>
        </w:rPr>
      </w:pPr>
    </w:p>
    <w:p w:rsidR="008F03B5" w:rsidRDefault="008F03B5">
      <w:pPr>
        <w:pStyle w:val="a3"/>
        <w:spacing w:before="2"/>
        <w:rPr>
          <w:b/>
          <w:sz w:val="14"/>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6"/>
        <w:gridCol w:w="5785"/>
      </w:tblGrid>
      <w:tr w:rsidR="008F03B5">
        <w:trPr>
          <w:trHeight w:val="549"/>
        </w:trPr>
        <w:tc>
          <w:tcPr>
            <w:tcW w:w="9501" w:type="dxa"/>
            <w:gridSpan w:val="2"/>
            <w:shd w:val="clear" w:color="auto" w:fill="DEEAF6"/>
          </w:tcPr>
          <w:p w:rsidR="008F03B5" w:rsidRDefault="00586B9B">
            <w:pPr>
              <w:pStyle w:val="TableParagraph"/>
              <w:spacing w:before="116"/>
              <w:ind w:left="107"/>
              <w:rPr>
                <w:b/>
              </w:rPr>
            </w:pPr>
            <w:r>
              <w:rPr>
                <w:b/>
              </w:rPr>
              <w:t>20% Glucose</w:t>
            </w:r>
          </w:p>
        </w:tc>
      </w:tr>
      <w:tr w:rsidR="008F03B5">
        <w:trPr>
          <w:trHeight w:val="748"/>
        </w:trPr>
        <w:tc>
          <w:tcPr>
            <w:tcW w:w="3716" w:type="dxa"/>
            <w:shd w:val="clear" w:color="auto" w:fill="F1F1F1"/>
          </w:tcPr>
          <w:p w:rsidR="008F03B5" w:rsidRDefault="008F03B5">
            <w:pPr>
              <w:pStyle w:val="TableParagraph"/>
              <w:spacing w:before="7"/>
              <w:rPr>
                <w:b/>
                <w:sz w:val="19"/>
              </w:rPr>
            </w:pPr>
          </w:p>
          <w:p w:rsidR="008F03B5" w:rsidRDefault="00586B9B">
            <w:pPr>
              <w:pStyle w:val="TableParagraph"/>
              <w:ind w:left="107"/>
              <w:rPr>
                <w:b/>
              </w:rPr>
            </w:pPr>
            <w:r>
              <w:rPr>
                <w:b/>
              </w:rPr>
              <w:t>Available as</w:t>
            </w:r>
          </w:p>
        </w:tc>
        <w:tc>
          <w:tcPr>
            <w:tcW w:w="5785" w:type="dxa"/>
          </w:tcPr>
          <w:p w:rsidR="008F03B5" w:rsidRDefault="008F03B5">
            <w:pPr>
              <w:pStyle w:val="TableParagraph"/>
              <w:spacing w:before="4"/>
              <w:rPr>
                <w:b/>
                <w:sz w:val="19"/>
              </w:rPr>
            </w:pPr>
          </w:p>
          <w:p w:rsidR="008F03B5" w:rsidRDefault="00586B9B">
            <w:pPr>
              <w:pStyle w:val="TableParagraph"/>
              <w:ind w:left="108"/>
            </w:pPr>
            <w:r>
              <w:t>100 ml bottle</w:t>
            </w:r>
          </w:p>
        </w:tc>
      </w:tr>
      <w:tr w:rsidR="008F03B5">
        <w:trPr>
          <w:trHeight w:val="750"/>
        </w:trPr>
        <w:tc>
          <w:tcPr>
            <w:tcW w:w="3716" w:type="dxa"/>
            <w:shd w:val="clear" w:color="auto" w:fill="F1F1F1"/>
          </w:tcPr>
          <w:p w:rsidR="008F03B5" w:rsidRDefault="008F03B5">
            <w:pPr>
              <w:pStyle w:val="TableParagraph"/>
              <w:spacing w:before="7"/>
              <w:rPr>
                <w:b/>
                <w:sz w:val="19"/>
              </w:rPr>
            </w:pPr>
          </w:p>
          <w:p w:rsidR="008F03B5" w:rsidRDefault="00586B9B">
            <w:pPr>
              <w:pStyle w:val="TableParagraph"/>
              <w:ind w:left="107"/>
              <w:rPr>
                <w:b/>
              </w:rPr>
            </w:pPr>
            <w:r>
              <w:rPr>
                <w:b/>
              </w:rPr>
              <w:t>Volume required for 25g glucose</w:t>
            </w:r>
          </w:p>
        </w:tc>
        <w:tc>
          <w:tcPr>
            <w:tcW w:w="5785" w:type="dxa"/>
          </w:tcPr>
          <w:p w:rsidR="008F03B5" w:rsidRDefault="008F03B5">
            <w:pPr>
              <w:pStyle w:val="TableParagraph"/>
              <w:spacing w:before="7"/>
              <w:rPr>
                <w:b/>
                <w:sz w:val="19"/>
              </w:rPr>
            </w:pPr>
          </w:p>
          <w:p w:rsidR="008F03B5" w:rsidRDefault="00586B9B">
            <w:pPr>
              <w:pStyle w:val="TableParagraph"/>
              <w:ind w:left="108"/>
            </w:pPr>
            <w:r>
              <w:t>125 ml (two bottles required)</w:t>
            </w:r>
          </w:p>
        </w:tc>
      </w:tr>
    </w:tbl>
    <w:p w:rsidR="008F03B5" w:rsidRDefault="008F03B5">
      <w:pPr>
        <w:pStyle w:val="a3"/>
        <w:rPr>
          <w:b/>
          <w:sz w:val="20"/>
        </w:rPr>
      </w:pPr>
    </w:p>
    <w:p w:rsidR="008F03B5" w:rsidRDefault="008F03B5">
      <w:pPr>
        <w:pStyle w:val="a3"/>
        <w:rPr>
          <w:b/>
          <w:sz w:val="20"/>
        </w:rPr>
      </w:pPr>
    </w:p>
    <w:p w:rsidR="008F03B5" w:rsidRDefault="008F03B5">
      <w:pPr>
        <w:pStyle w:val="a3"/>
        <w:spacing w:before="7"/>
        <w:rPr>
          <w:b/>
          <w:sz w:val="10"/>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6"/>
        <w:gridCol w:w="5785"/>
      </w:tblGrid>
      <w:tr w:rsidR="008F03B5">
        <w:trPr>
          <w:trHeight w:val="549"/>
        </w:trPr>
        <w:tc>
          <w:tcPr>
            <w:tcW w:w="9501" w:type="dxa"/>
            <w:gridSpan w:val="2"/>
            <w:shd w:val="clear" w:color="auto" w:fill="DEEAF6"/>
          </w:tcPr>
          <w:p w:rsidR="008F03B5" w:rsidRDefault="00586B9B">
            <w:pPr>
              <w:pStyle w:val="TableParagraph"/>
              <w:spacing w:before="116"/>
              <w:ind w:left="107"/>
              <w:rPr>
                <w:b/>
              </w:rPr>
            </w:pPr>
            <w:r>
              <w:rPr>
                <w:b/>
              </w:rPr>
              <w:t>10% Glucose</w:t>
            </w:r>
          </w:p>
        </w:tc>
      </w:tr>
      <w:tr w:rsidR="008F03B5">
        <w:trPr>
          <w:trHeight w:val="748"/>
        </w:trPr>
        <w:tc>
          <w:tcPr>
            <w:tcW w:w="3716" w:type="dxa"/>
            <w:shd w:val="clear" w:color="auto" w:fill="F1F1F1"/>
          </w:tcPr>
          <w:p w:rsidR="008F03B5" w:rsidRDefault="008F03B5">
            <w:pPr>
              <w:pStyle w:val="TableParagraph"/>
              <w:spacing w:before="7"/>
              <w:rPr>
                <w:b/>
                <w:sz w:val="19"/>
              </w:rPr>
            </w:pPr>
          </w:p>
          <w:p w:rsidR="008F03B5" w:rsidRDefault="00586B9B">
            <w:pPr>
              <w:pStyle w:val="TableParagraph"/>
              <w:ind w:left="107"/>
              <w:rPr>
                <w:b/>
              </w:rPr>
            </w:pPr>
            <w:r>
              <w:rPr>
                <w:b/>
              </w:rPr>
              <w:t>Available as</w:t>
            </w:r>
          </w:p>
        </w:tc>
        <w:tc>
          <w:tcPr>
            <w:tcW w:w="5785" w:type="dxa"/>
          </w:tcPr>
          <w:p w:rsidR="008F03B5" w:rsidRDefault="008F03B5">
            <w:pPr>
              <w:pStyle w:val="TableParagraph"/>
              <w:spacing w:before="4"/>
              <w:rPr>
                <w:b/>
                <w:sz w:val="19"/>
              </w:rPr>
            </w:pPr>
          </w:p>
          <w:p w:rsidR="008F03B5" w:rsidRDefault="00586B9B">
            <w:pPr>
              <w:pStyle w:val="TableParagraph"/>
              <w:ind w:left="108"/>
            </w:pPr>
            <w:r>
              <w:t>500 ml bag</w:t>
            </w:r>
          </w:p>
        </w:tc>
      </w:tr>
      <w:tr w:rsidR="008F03B5">
        <w:trPr>
          <w:trHeight w:val="748"/>
        </w:trPr>
        <w:tc>
          <w:tcPr>
            <w:tcW w:w="3716" w:type="dxa"/>
            <w:shd w:val="clear" w:color="auto" w:fill="F1F1F1"/>
          </w:tcPr>
          <w:p w:rsidR="008F03B5" w:rsidRDefault="008F03B5">
            <w:pPr>
              <w:pStyle w:val="TableParagraph"/>
              <w:spacing w:before="7"/>
              <w:rPr>
                <w:b/>
                <w:sz w:val="19"/>
              </w:rPr>
            </w:pPr>
          </w:p>
          <w:p w:rsidR="008F03B5" w:rsidRDefault="00586B9B">
            <w:pPr>
              <w:pStyle w:val="TableParagraph"/>
              <w:ind w:left="107"/>
              <w:rPr>
                <w:b/>
              </w:rPr>
            </w:pPr>
            <w:r>
              <w:rPr>
                <w:b/>
              </w:rPr>
              <w:t>Volume required for 25g glucose</w:t>
            </w:r>
          </w:p>
        </w:tc>
        <w:tc>
          <w:tcPr>
            <w:tcW w:w="5785" w:type="dxa"/>
          </w:tcPr>
          <w:p w:rsidR="008F03B5" w:rsidRDefault="008F03B5">
            <w:pPr>
              <w:pStyle w:val="TableParagraph"/>
              <w:spacing w:before="7"/>
              <w:rPr>
                <w:b/>
                <w:sz w:val="19"/>
              </w:rPr>
            </w:pPr>
          </w:p>
          <w:p w:rsidR="008F03B5" w:rsidRDefault="00586B9B">
            <w:pPr>
              <w:pStyle w:val="TableParagraph"/>
              <w:ind w:left="108"/>
            </w:pPr>
            <w:r>
              <w:t>250 ml</w:t>
            </w:r>
          </w:p>
        </w:tc>
      </w:tr>
    </w:tbl>
    <w:p w:rsidR="008F03B5" w:rsidRDefault="008F03B5">
      <w:pPr>
        <w:pStyle w:val="a3"/>
        <w:rPr>
          <w:b/>
          <w:sz w:val="20"/>
        </w:rPr>
      </w:pPr>
    </w:p>
    <w:p w:rsidR="008F03B5" w:rsidRDefault="008F03B5">
      <w:pPr>
        <w:pStyle w:val="a3"/>
        <w:rPr>
          <w:b/>
          <w:sz w:val="20"/>
        </w:rPr>
      </w:pPr>
    </w:p>
    <w:p w:rsidR="008F03B5" w:rsidRDefault="008F03B5">
      <w:pPr>
        <w:pStyle w:val="a3"/>
        <w:spacing w:before="1"/>
        <w:rPr>
          <w:b/>
          <w:sz w:val="26"/>
        </w:rPr>
      </w:pPr>
    </w:p>
    <w:p w:rsidR="008F03B5" w:rsidRDefault="00586B9B">
      <w:pPr>
        <w:spacing w:before="52"/>
        <w:ind w:left="217"/>
        <w:rPr>
          <w:b/>
          <w:sz w:val="24"/>
        </w:rPr>
      </w:pPr>
      <w:r>
        <w:rPr>
          <w:b/>
          <w:color w:val="44536A"/>
          <w:sz w:val="24"/>
        </w:rPr>
        <w:t>References</w:t>
      </w:r>
    </w:p>
    <w:p w:rsidR="008F03B5" w:rsidRDefault="00586B9B">
      <w:pPr>
        <w:pStyle w:val="a4"/>
        <w:numPr>
          <w:ilvl w:val="0"/>
          <w:numId w:val="18"/>
        </w:numPr>
        <w:tabs>
          <w:tab w:val="left" w:pos="1069"/>
          <w:tab w:val="left" w:pos="1071"/>
        </w:tabs>
        <w:spacing w:before="41" w:line="276" w:lineRule="auto"/>
        <w:ind w:right="408"/>
      </w:pPr>
      <w:r>
        <w:t>Electronic Medicines Compendium (2017) ‘Summary of Product Characteristics – Glucose 50% w/v Concentrate for solution for infusion – Baxter Healthcare Ltd’ Available at</w:t>
      </w:r>
      <w:r>
        <w:rPr>
          <w:color w:val="0562C1"/>
        </w:rPr>
        <w:t xml:space="preserve"> </w:t>
      </w:r>
      <w:hyperlink r:id="rId25">
        <w:r>
          <w:rPr>
            <w:color w:val="0562C1"/>
            <w:u w:val="single" w:color="0562C1"/>
          </w:rPr>
          <w:t>https://www.medicines.org.uk/emc/product/1826/smpc</w:t>
        </w:r>
      </w:hyperlink>
      <w:r>
        <w:t>. Accessed</w:t>
      </w:r>
      <w:r>
        <w:rPr>
          <w:spacing w:val="-7"/>
        </w:rPr>
        <w:t xml:space="preserve"> </w:t>
      </w:r>
      <w:r>
        <w:t>29.04.2019</w:t>
      </w:r>
    </w:p>
    <w:p w:rsidR="008F03B5" w:rsidRDefault="008F03B5">
      <w:pPr>
        <w:pStyle w:val="a3"/>
        <w:spacing w:before="6"/>
        <w:rPr>
          <w:sz w:val="8"/>
        </w:rPr>
      </w:pPr>
    </w:p>
    <w:p w:rsidR="008F03B5" w:rsidRDefault="00586B9B">
      <w:pPr>
        <w:pStyle w:val="a4"/>
        <w:numPr>
          <w:ilvl w:val="0"/>
          <w:numId w:val="18"/>
        </w:numPr>
        <w:tabs>
          <w:tab w:val="left" w:pos="1069"/>
          <w:tab w:val="left" w:pos="1071"/>
        </w:tabs>
        <w:spacing w:before="57" w:line="276" w:lineRule="auto"/>
        <w:ind w:right="1227"/>
      </w:pPr>
      <w:r>
        <w:t>Electronic Medicines Compendium (2018) ‘Summary of Product Characteristics – Glucose intravenous infusion BP 50% w/v – Hameln Pharmaceutical Ltd’. Available at</w:t>
      </w:r>
      <w:r>
        <w:rPr>
          <w:color w:val="0562C1"/>
        </w:rPr>
        <w:t xml:space="preserve"> </w:t>
      </w:r>
      <w:hyperlink r:id="rId26">
        <w:r>
          <w:rPr>
            <w:color w:val="0562C1"/>
            <w:u w:val="single" w:color="0562C1"/>
          </w:rPr>
          <w:t>https://www.medicines.org.uk/emc/product/6266/smpc</w:t>
        </w:r>
      </w:hyperlink>
      <w:r>
        <w:t>. Accessed</w:t>
      </w:r>
      <w:r>
        <w:rPr>
          <w:spacing w:val="-8"/>
        </w:rPr>
        <w:t xml:space="preserve"> </w:t>
      </w:r>
      <w:r>
        <w:t>29.04.2019</w:t>
      </w:r>
    </w:p>
    <w:p w:rsidR="008F03B5" w:rsidRDefault="008F03B5">
      <w:pPr>
        <w:pStyle w:val="a3"/>
        <w:spacing w:before="4"/>
        <w:rPr>
          <w:sz w:val="8"/>
        </w:rPr>
      </w:pPr>
    </w:p>
    <w:p w:rsidR="008F03B5" w:rsidRDefault="00586B9B">
      <w:pPr>
        <w:pStyle w:val="a4"/>
        <w:numPr>
          <w:ilvl w:val="0"/>
          <w:numId w:val="18"/>
        </w:numPr>
        <w:tabs>
          <w:tab w:val="left" w:pos="1069"/>
          <w:tab w:val="left" w:pos="1071"/>
        </w:tabs>
        <w:spacing w:before="56" w:line="276" w:lineRule="auto"/>
        <w:ind w:right="1538"/>
      </w:pPr>
      <w:r>
        <w:t>Guidelines and Audit Implementation Network (2014) Guidelines for the treatment of hyperkalaemia in adults. Belfast,</w:t>
      </w:r>
      <w:r>
        <w:rPr>
          <w:spacing w:val="-4"/>
        </w:rPr>
        <w:t xml:space="preserve"> </w:t>
      </w:r>
      <w:r>
        <w:t>GAIN.</w:t>
      </w:r>
    </w:p>
    <w:p w:rsidR="008F03B5" w:rsidRDefault="00586B9B">
      <w:pPr>
        <w:pStyle w:val="a4"/>
        <w:numPr>
          <w:ilvl w:val="0"/>
          <w:numId w:val="18"/>
        </w:numPr>
        <w:tabs>
          <w:tab w:val="left" w:pos="1069"/>
          <w:tab w:val="left" w:pos="1071"/>
        </w:tabs>
        <w:spacing w:before="161" w:line="276" w:lineRule="auto"/>
        <w:ind w:right="786"/>
      </w:pPr>
      <w:r>
        <w:t>Injectable Medicines Guide. Monograph for Insulin (soluble) Human. Version 5 22.01.2019. Available at</w:t>
      </w:r>
      <w:r>
        <w:rPr>
          <w:color w:val="0562C1"/>
        </w:rPr>
        <w:t xml:space="preserve"> </w:t>
      </w:r>
      <w:hyperlink r:id="rId27">
        <w:r>
          <w:rPr>
            <w:color w:val="0562C1"/>
            <w:u w:val="single" w:color="0562C1"/>
          </w:rPr>
          <w:t>http://www.injguide.nhs.uk/IVGuidePrint.asp?Drugno=2612&amp;format=3</w:t>
        </w:r>
      </w:hyperlink>
      <w:r>
        <w:t>. Accessed 29.04.2019</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34" w:name="_bookmark52"/>
      <w:bookmarkEnd w:id="34"/>
      <w:r>
        <w:rPr>
          <w:color w:val="1F4E79"/>
        </w:rPr>
        <w:lastRenderedPageBreak/>
        <w:t>Appendix 3C: Drug administration and safety - Salbutamol</w:t>
      </w:r>
    </w:p>
    <w:p w:rsidR="008F03B5" w:rsidRDefault="008F03B5">
      <w:pPr>
        <w:pStyle w:val="a3"/>
        <w:rPr>
          <w:b/>
          <w:sz w:val="20"/>
        </w:rPr>
      </w:pPr>
    </w:p>
    <w:p w:rsidR="008F03B5" w:rsidRDefault="008F03B5">
      <w:pPr>
        <w:pStyle w:val="a3"/>
        <w:rPr>
          <w:b/>
          <w:sz w:val="20"/>
        </w:rPr>
      </w:pPr>
    </w:p>
    <w:p w:rsidR="008F03B5" w:rsidRDefault="008F03B5">
      <w:pPr>
        <w:pStyle w:val="a3"/>
        <w:rPr>
          <w:b/>
          <w:sz w:val="20"/>
        </w:rPr>
      </w:pPr>
    </w:p>
    <w:p w:rsidR="008F03B5" w:rsidRDefault="008F03B5">
      <w:pPr>
        <w:pStyle w:val="a3"/>
        <w:spacing w:before="8"/>
        <w:rPr>
          <w:b/>
          <w:sz w:val="19"/>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80"/>
        <w:gridCol w:w="6920"/>
      </w:tblGrid>
      <w:tr w:rsidR="008F03B5">
        <w:trPr>
          <w:trHeight w:val="508"/>
        </w:trPr>
        <w:tc>
          <w:tcPr>
            <w:tcW w:w="9500" w:type="dxa"/>
            <w:gridSpan w:val="2"/>
            <w:shd w:val="clear" w:color="auto" w:fill="DEEAF6"/>
          </w:tcPr>
          <w:p w:rsidR="008F03B5" w:rsidRDefault="00586B9B">
            <w:pPr>
              <w:pStyle w:val="TableParagraph"/>
              <w:spacing w:line="268" w:lineRule="exact"/>
              <w:ind w:left="107"/>
              <w:rPr>
                <w:b/>
              </w:rPr>
            </w:pPr>
            <w:r>
              <w:rPr>
                <w:b/>
              </w:rPr>
              <w:t>Salbutamol Nebulised Solution</w:t>
            </w:r>
          </w:p>
        </w:tc>
      </w:tr>
      <w:tr w:rsidR="008F03B5">
        <w:trPr>
          <w:trHeight w:val="640"/>
        </w:trPr>
        <w:tc>
          <w:tcPr>
            <w:tcW w:w="2580" w:type="dxa"/>
            <w:shd w:val="clear" w:color="auto" w:fill="F1F1F1"/>
          </w:tcPr>
          <w:p w:rsidR="008F03B5" w:rsidRDefault="00586B9B">
            <w:pPr>
              <w:pStyle w:val="TableParagraph"/>
              <w:spacing w:line="268" w:lineRule="exact"/>
              <w:ind w:left="107"/>
              <w:rPr>
                <w:b/>
              </w:rPr>
            </w:pPr>
            <w:r>
              <w:rPr>
                <w:b/>
              </w:rPr>
              <w:t>Available as</w:t>
            </w:r>
          </w:p>
        </w:tc>
        <w:tc>
          <w:tcPr>
            <w:tcW w:w="6920" w:type="dxa"/>
          </w:tcPr>
          <w:p w:rsidR="008F03B5" w:rsidRDefault="00586B9B">
            <w:pPr>
              <w:pStyle w:val="TableParagraph"/>
              <w:numPr>
                <w:ilvl w:val="0"/>
                <w:numId w:val="17"/>
              </w:numPr>
              <w:tabs>
                <w:tab w:val="left" w:pos="468"/>
                <w:tab w:val="left" w:pos="469"/>
              </w:tabs>
              <w:spacing w:line="277" w:lineRule="exact"/>
            </w:pPr>
            <w:r>
              <w:t>2.5mg/2.5mL nebuliser</w:t>
            </w:r>
            <w:r>
              <w:rPr>
                <w:spacing w:val="-3"/>
              </w:rPr>
              <w:t xml:space="preserve"> </w:t>
            </w:r>
            <w:r>
              <w:t>solution</w:t>
            </w:r>
          </w:p>
          <w:p w:rsidR="008F03B5" w:rsidRDefault="00586B9B">
            <w:pPr>
              <w:pStyle w:val="TableParagraph"/>
              <w:numPr>
                <w:ilvl w:val="0"/>
                <w:numId w:val="17"/>
              </w:numPr>
              <w:tabs>
                <w:tab w:val="left" w:pos="468"/>
                <w:tab w:val="left" w:pos="469"/>
              </w:tabs>
              <w:spacing w:before="39"/>
            </w:pPr>
            <w:r>
              <w:t>5mg/2.5mL nebuliser</w:t>
            </w:r>
            <w:r>
              <w:rPr>
                <w:spacing w:val="-1"/>
              </w:rPr>
              <w:t xml:space="preserve"> </w:t>
            </w:r>
            <w:r>
              <w:t>solution</w:t>
            </w:r>
          </w:p>
        </w:tc>
      </w:tr>
      <w:tr w:rsidR="008F03B5">
        <w:trPr>
          <w:trHeight w:val="2129"/>
        </w:trPr>
        <w:tc>
          <w:tcPr>
            <w:tcW w:w="2580" w:type="dxa"/>
            <w:shd w:val="clear" w:color="auto" w:fill="F1F1F1"/>
          </w:tcPr>
          <w:p w:rsidR="008F03B5" w:rsidRDefault="00586B9B">
            <w:pPr>
              <w:pStyle w:val="TableParagraph"/>
              <w:spacing w:line="268" w:lineRule="exact"/>
              <w:ind w:left="107"/>
              <w:rPr>
                <w:b/>
              </w:rPr>
            </w:pPr>
            <w:r>
              <w:rPr>
                <w:b/>
              </w:rPr>
              <w:t>Administration</w:t>
            </w:r>
          </w:p>
        </w:tc>
        <w:tc>
          <w:tcPr>
            <w:tcW w:w="6920" w:type="dxa"/>
          </w:tcPr>
          <w:p w:rsidR="008F03B5" w:rsidRDefault="00586B9B">
            <w:pPr>
              <w:pStyle w:val="TableParagraph"/>
              <w:numPr>
                <w:ilvl w:val="0"/>
                <w:numId w:val="16"/>
              </w:numPr>
              <w:tabs>
                <w:tab w:val="left" w:pos="468"/>
                <w:tab w:val="left" w:pos="469"/>
              </w:tabs>
              <w:spacing w:line="277" w:lineRule="exact"/>
            </w:pPr>
            <w:r>
              <w:t>10mg</w:t>
            </w:r>
            <w:r>
              <w:rPr>
                <w:spacing w:val="-3"/>
              </w:rPr>
              <w:t xml:space="preserve"> </w:t>
            </w:r>
            <w:r>
              <w:t>DOSE</w:t>
            </w:r>
          </w:p>
          <w:p w:rsidR="008F03B5" w:rsidRDefault="00586B9B">
            <w:pPr>
              <w:pStyle w:val="TableParagraph"/>
              <w:spacing w:before="41"/>
              <w:ind w:left="828"/>
            </w:pPr>
            <w:r>
              <w:t>= 10ml of 2.5mg/2.5mL nebuliser solution.</w:t>
            </w:r>
          </w:p>
          <w:p w:rsidR="008F03B5" w:rsidRDefault="00586B9B">
            <w:pPr>
              <w:pStyle w:val="TableParagraph"/>
              <w:spacing w:before="39"/>
              <w:ind w:left="828"/>
            </w:pPr>
            <w:r>
              <w:t>= 5ml of 5mg/2.5mL nebuliser solution.</w:t>
            </w:r>
          </w:p>
          <w:p w:rsidR="008F03B5" w:rsidRDefault="00586B9B">
            <w:pPr>
              <w:pStyle w:val="TableParagraph"/>
              <w:numPr>
                <w:ilvl w:val="0"/>
                <w:numId w:val="16"/>
              </w:numPr>
              <w:tabs>
                <w:tab w:val="left" w:pos="466"/>
                <w:tab w:val="left" w:pos="467"/>
              </w:tabs>
              <w:spacing w:before="161"/>
              <w:ind w:left="466" w:hanging="359"/>
            </w:pPr>
            <w:r>
              <w:t>20mg</w:t>
            </w:r>
            <w:r>
              <w:rPr>
                <w:spacing w:val="-3"/>
              </w:rPr>
              <w:t xml:space="preserve"> </w:t>
            </w:r>
            <w:r>
              <w:t>DOSE</w:t>
            </w:r>
          </w:p>
          <w:p w:rsidR="008F03B5" w:rsidRDefault="00586B9B">
            <w:pPr>
              <w:pStyle w:val="TableParagraph"/>
              <w:spacing w:before="41"/>
              <w:ind w:left="828"/>
            </w:pPr>
            <w:r>
              <w:t>= 10ml of 5mg/2.5mL nebuliser solution.</w:t>
            </w:r>
          </w:p>
          <w:p w:rsidR="008F03B5" w:rsidRDefault="00586B9B">
            <w:pPr>
              <w:pStyle w:val="TableParagraph"/>
              <w:numPr>
                <w:ilvl w:val="0"/>
                <w:numId w:val="16"/>
              </w:numPr>
              <w:tabs>
                <w:tab w:val="left" w:pos="466"/>
                <w:tab w:val="left" w:pos="467"/>
              </w:tabs>
              <w:spacing w:before="159"/>
              <w:ind w:left="466" w:hanging="359"/>
            </w:pPr>
            <w:r>
              <w:t>Use a face mask or</w:t>
            </w:r>
            <w:r>
              <w:rPr>
                <w:spacing w:val="-4"/>
              </w:rPr>
              <w:t xml:space="preserve"> </w:t>
            </w:r>
            <w:r>
              <w:t>T-piece.</w:t>
            </w:r>
          </w:p>
        </w:tc>
      </w:tr>
      <w:tr w:rsidR="008F03B5">
        <w:trPr>
          <w:trHeight w:val="2803"/>
        </w:trPr>
        <w:tc>
          <w:tcPr>
            <w:tcW w:w="2580" w:type="dxa"/>
            <w:shd w:val="clear" w:color="auto" w:fill="F1F1F1"/>
          </w:tcPr>
          <w:p w:rsidR="008F03B5" w:rsidRDefault="00586B9B">
            <w:pPr>
              <w:pStyle w:val="TableParagraph"/>
              <w:spacing w:line="268" w:lineRule="exact"/>
              <w:ind w:left="107"/>
              <w:rPr>
                <w:b/>
              </w:rPr>
            </w:pPr>
            <w:r>
              <w:rPr>
                <w:b/>
              </w:rPr>
              <w:t>Cautions and side effects</w:t>
            </w:r>
          </w:p>
        </w:tc>
        <w:tc>
          <w:tcPr>
            <w:tcW w:w="6920" w:type="dxa"/>
          </w:tcPr>
          <w:p w:rsidR="008F03B5" w:rsidRDefault="00586B9B">
            <w:pPr>
              <w:pStyle w:val="TableParagraph"/>
              <w:numPr>
                <w:ilvl w:val="0"/>
                <w:numId w:val="15"/>
              </w:numPr>
              <w:tabs>
                <w:tab w:val="left" w:pos="468"/>
                <w:tab w:val="left" w:pos="469"/>
              </w:tabs>
              <w:spacing w:line="277" w:lineRule="exact"/>
              <w:rPr>
                <w:b/>
              </w:rPr>
            </w:pPr>
            <w:r>
              <w:rPr>
                <w:b/>
              </w:rPr>
              <w:t>Cautions:</w:t>
            </w:r>
          </w:p>
          <w:p w:rsidR="008F03B5" w:rsidRDefault="00586B9B">
            <w:pPr>
              <w:pStyle w:val="TableParagraph"/>
              <w:numPr>
                <w:ilvl w:val="1"/>
                <w:numId w:val="15"/>
              </w:numPr>
              <w:tabs>
                <w:tab w:val="left" w:pos="1189"/>
              </w:tabs>
              <w:spacing w:before="41" w:line="266" w:lineRule="auto"/>
              <w:ind w:right="474"/>
            </w:pPr>
            <w:r>
              <w:t>Consider only giving 10mg in patients with ischaemic heart disease.</w:t>
            </w:r>
          </w:p>
          <w:p w:rsidR="008F03B5" w:rsidRDefault="00586B9B">
            <w:pPr>
              <w:pStyle w:val="TableParagraph"/>
              <w:numPr>
                <w:ilvl w:val="1"/>
                <w:numId w:val="15"/>
              </w:numPr>
              <w:tabs>
                <w:tab w:val="left" w:pos="1189"/>
              </w:tabs>
              <w:spacing w:before="13"/>
              <w:ind w:hanging="361"/>
            </w:pPr>
            <w:r>
              <w:t>Tachyarrhythmia</w:t>
            </w:r>
          </w:p>
          <w:p w:rsidR="008F03B5" w:rsidRDefault="00586B9B">
            <w:pPr>
              <w:pStyle w:val="TableParagraph"/>
              <w:numPr>
                <w:ilvl w:val="1"/>
                <w:numId w:val="15"/>
              </w:numPr>
              <w:tabs>
                <w:tab w:val="left" w:pos="1189"/>
              </w:tabs>
              <w:spacing w:before="34"/>
              <w:ind w:hanging="361"/>
            </w:pPr>
            <w:r>
              <w:t>Open angle</w:t>
            </w:r>
            <w:r>
              <w:rPr>
                <w:spacing w:val="-2"/>
              </w:rPr>
              <w:t xml:space="preserve"> </w:t>
            </w:r>
            <w:r>
              <w:t>glaucoma</w:t>
            </w:r>
          </w:p>
          <w:p w:rsidR="008F03B5" w:rsidRDefault="00586B9B">
            <w:pPr>
              <w:pStyle w:val="TableParagraph"/>
              <w:numPr>
                <w:ilvl w:val="0"/>
                <w:numId w:val="15"/>
              </w:numPr>
              <w:tabs>
                <w:tab w:val="left" w:pos="468"/>
                <w:tab w:val="left" w:pos="469"/>
              </w:tabs>
              <w:spacing w:before="32"/>
              <w:rPr>
                <w:b/>
              </w:rPr>
            </w:pPr>
            <w:r>
              <w:rPr>
                <w:b/>
              </w:rPr>
              <w:t>Side-Effects:</w:t>
            </w:r>
          </w:p>
          <w:p w:rsidR="008F03B5" w:rsidRDefault="00586B9B">
            <w:pPr>
              <w:pStyle w:val="TableParagraph"/>
              <w:numPr>
                <w:ilvl w:val="1"/>
                <w:numId w:val="15"/>
              </w:numPr>
              <w:tabs>
                <w:tab w:val="left" w:pos="1189"/>
              </w:tabs>
              <w:spacing w:before="42"/>
              <w:ind w:hanging="361"/>
            </w:pPr>
            <w:r>
              <w:t>Tremor</w:t>
            </w:r>
          </w:p>
          <w:p w:rsidR="008F03B5" w:rsidRDefault="00586B9B">
            <w:pPr>
              <w:pStyle w:val="TableParagraph"/>
              <w:numPr>
                <w:ilvl w:val="1"/>
                <w:numId w:val="15"/>
              </w:numPr>
              <w:tabs>
                <w:tab w:val="left" w:pos="1189"/>
              </w:tabs>
              <w:spacing w:before="34"/>
              <w:ind w:hanging="361"/>
            </w:pPr>
            <w:r>
              <w:t>Tachycardia</w:t>
            </w:r>
          </w:p>
          <w:p w:rsidR="008F03B5" w:rsidRDefault="00586B9B">
            <w:pPr>
              <w:pStyle w:val="TableParagraph"/>
              <w:numPr>
                <w:ilvl w:val="1"/>
                <w:numId w:val="15"/>
              </w:numPr>
              <w:tabs>
                <w:tab w:val="left" w:pos="1189"/>
              </w:tabs>
              <w:spacing w:before="32"/>
              <w:ind w:hanging="361"/>
            </w:pPr>
            <w:r>
              <w:t>Headache</w:t>
            </w:r>
          </w:p>
        </w:tc>
      </w:tr>
    </w:tbl>
    <w:p w:rsidR="008F03B5" w:rsidRDefault="008F03B5">
      <w:pPr>
        <w:pStyle w:val="a3"/>
        <w:rPr>
          <w:b/>
          <w:sz w:val="20"/>
        </w:rPr>
      </w:pPr>
    </w:p>
    <w:p w:rsidR="008F03B5" w:rsidRDefault="008F03B5">
      <w:pPr>
        <w:pStyle w:val="a3"/>
        <w:rPr>
          <w:b/>
          <w:sz w:val="20"/>
        </w:rPr>
      </w:pPr>
    </w:p>
    <w:p w:rsidR="008F03B5" w:rsidRDefault="008F03B5">
      <w:pPr>
        <w:pStyle w:val="a3"/>
        <w:rPr>
          <w:b/>
          <w:sz w:val="20"/>
        </w:rPr>
      </w:pPr>
    </w:p>
    <w:p w:rsidR="008F03B5" w:rsidRDefault="008F03B5">
      <w:pPr>
        <w:pStyle w:val="a3"/>
        <w:rPr>
          <w:b/>
          <w:sz w:val="20"/>
        </w:rPr>
      </w:pPr>
    </w:p>
    <w:p w:rsidR="008F03B5" w:rsidRDefault="00586B9B">
      <w:pPr>
        <w:spacing w:before="189"/>
        <w:ind w:left="217"/>
        <w:rPr>
          <w:b/>
          <w:sz w:val="24"/>
        </w:rPr>
      </w:pPr>
      <w:r>
        <w:rPr>
          <w:b/>
          <w:color w:val="44536A"/>
          <w:sz w:val="24"/>
        </w:rPr>
        <w:t>References</w:t>
      </w:r>
    </w:p>
    <w:p w:rsidR="008F03B5" w:rsidRDefault="00586B9B">
      <w:pPr>
        <w:pStyle w:val="a4"/>
        <w:numPr>
          <w:ilvl w:val="0"/>
          <w:numId w:val="14"/>
        </w:numPr>
        <w:tabs>
          <w:tab w:val="left" w:pos="579"/>
        </w:tabs>
        <w:spacing w:before="43" w:line="273" w:lineRule="auto"/>
        <w:ind w:right="445"/>
      </w:pPr>
      <w:r>
        <w:t>Guidelines and Audit Implementation Network (2014) Guidelines for the treatment of hyperkalaemia in adults. Belfast,</w:t>
      </w:r>
      <w:r>
        <w:rPr>
          <w:spacing w:val="-2"/>
        </w:rPr>
        <w:t xml:space="preserve"> </w:t>
      </w:r>
      <w:r>
        <w:t>GAIN.</w:t>
      </w:r>
    </w:p>
    <w:p w:rsidR="008F03B5" w:rsidRDefault="00586B9B">
      <w:pPr>
        <w:pStyle w:val="a4"/>
        <w:numPr>
          <w:ilvl w:val="0"/>
          <w:numId w:val="14"/>
        </w:numPr>
        <w:tabs>
          <w:tab w:val="left" w:pos="579"/>
        </w:tabs>
        <w:spacing w:before="166" w:line="276" w:lineRule="auto"/>
        <w:ind w:right="701"/>
        <w:jc w:val="both"/>
      </w:pPr>
      <w:r>
        <w:t>Electronic Medicines Compendium (2016) ‘Summary of Product Characteristics – Ventolin Nebules – GlaxoSmithKline UK. Available at</w:t>
      </w:r>
      <w:r>
        <w:rPr>
          <w:color w:val="0562C1"/>
        </w:rPr>
        <w:t xml:space="preserve"> </w:t>
      </w:r>
      <w:hyperlink r:id="rId28">
        <w:r>
          <w:rPr>
            <w:color w:val="0562C1"/>
            <w:u w:val="single" w:color="0562C1"/>
          </w:rPr>
          <w:t>https://www.medicines.org.uk/emc/product/8256/smpc</w:t>
        </w:r>
      </w:hyperlink>
      <w:r>
        <w:t>. Accessed 06.05.2019</w:t>
      </w:r>
    </w:p>
    <w:p w:rsidR="008F03B5" w:rsidRDefault="008F03B5">
      <w:pPr>
        <w:spacing w:line="276" w:lineRule="auto"/>
        <w:jc w:val="both"/>
        <w:sectPr w:rsidR="008F03B5">
          <w:pgSz w:w="11910" w:h="16840"/>
          <w:pgMar w:top="1540" w:right="780" w:bottom="1100" w:left="860" w:header="425" w:footer="912" w:gutter="0"/>
          <w:cols w:space="720"/>
        </w:sectPr>
      </w:pPr>
    </w:p>
    <w:p w:rsidR="008F03B5" w:rsidRDefault="00586B9B">
      <w:pPr>
        <w:pStyle w:val="2"/>
        <w:spacing w:before="119"/>
      </w:pPr>
      <w:bookmarkStart w:id="35" w:name="_bookmark53"/>
      <w:bookmarkEnd w:id="35"/>
      <w:r>
        <w:rPr>
          <w:color w:val="1F4E79"/>
        </w:rPr>
        <w:lastRenderedPageBreak/>
        <w:t>Appendix 3D: Drug administration and safety – Patiromer</w:t>
      </w:r>
    </w:p>
    <w:p w:rsidR="008F03B5" w:rsidRDefault="008F03B5">
      <w:pPr>
        <w:pStyle w:val="a3"/>
        <w:spacing w:before="11"/>
        <w:rPr>
          <w:b/>
          <w:sz w:val="28"/>
        </w:rPr>
      </w:pPr>
    </w:p>
    <w:tbl>
      <w:tblPr>
        <w:tblStyle w:val="TableNormal"/>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9"/>
        <w:gridCol w:w="6921"/>
      </w:tblGrid>
      <w:tr w:rsidR="008F03B5">
        <w:trPr>
          <w:trHeight w:val="587"/>
        </w:trPr>
        <w:tc>
          <w:tcPr>
            <w:tcW w:w="9360" w:type="dxa"/>
            <w:gridSpan w:val="2"/>
            <w:shd w:val="clear" w:color="auto" w:fill="DEEAF6"/>
          </w:tcPr>
          <w:p w:rsidR="008F03B5" w:rsidRDefault="00586B9B">
            <w:pPr>
              <w:pStyle w:val="TableParagraph"/>
              <w:spacing w:before="75"/>
              <w:ind w:left="151"/>
              <w:rPr>
                <w:b/>
              </w:rPr>
            </w:pPr>
            <w:r>
              <w:rPr>
                <w:noProof/>
                <w:position w:val="-15"/>
              </w:rPr>
              <w:drawing>
                <wp:inline distT="0" distB="0" distL="0" distR="0">
                  <wp:extent cx="241300" cy="259079"/>
                  <wp:effectExtent l="0" t="0" r="0" b="0"/>
                  <wp:docPr id="39" name="image25.pn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29" cstate="print"/>
                          <a:stretch>
                            <a:fillRect/>
                          </a:stretch>
                        </pic:blipFill>
                        <pic:spPr>
                          <a:xfrm>
                            <a:off x="0" y="0"/>
                            <a:ext cx="241300" cy="259079"/>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b/>
              </w:rPr>
              <w:t>Patiromer</w:t>
            </w:r>
          </w:p>
        </w:tc>
      </w:tr>
      <w:tr w:rsidR="008F03B5">
        <w:trPr>
          <w:trHeight w:val="508"/>
        </w:trPr>
        <w:tc>
          <w:tcPr>
            <w:tcW w:w="2439" w:type="dxa"/>
            <w:shd w:val="clear" w:color="auto" w:fill="F1F1F1"/>
          </w:tcPr>
          <w:p w:rsidR="008F03B5" w:rsidRDefault="00586B9B">
            <w:pPr>
              <w:pStyle w:val="TableParagraph"/>
              <w:spacing w:line="268" w:lineRule="exact"/>
              <w:ind w:left="108"/>
              <w:rPr>
                <w:b/>
              </w:rPr>
            </w:pPr>
            <w:r>
              <w:rPr>
                <w:b/>
              </w:rPr>
              <w:t>Available as</w:t>
            </w:r>
          </w:p>
        </w:tc>
        <w:tc>
          <w:tcPr>
            <w:tcW w:w="6921" w:type="dxa"/>
          </w:tcPr>
          <w:p w:rsidR="008F03B5" w:rsidRDefault="00586B9B">
            <w:pPr>
              <w:pStyle w:val="TableParagraph"/>
              <w:spacing w:line="268" w:lineRule="exact"/>
              <w:ind w:left="107"/>
            </w:pPr>
            <w:r>
              <w:t>8.4g, 16.8g and 25.2g sachets</w:t>
            </w:r>
          </w:p>
        </w:tc>
      </w:tr>
      <w:tr w:rsidR="008F03B5">
        <w:trPr>
          <w:trHeight w:val="1646"/>
        </w:trPr>
        <w:tc>
          <w:tcPr>
            <w:tcW w:w="2439" w:type="dxa"/>
            <w:shd w:val="clear" w:color="auto" w:fill="F1F1F1"/>
          </w:tcPr>
          <w:p w:rsidR="008F03B5" w:rsidRDefault="00586B9B">
            <w:pPr>
              <w:pStyle w:val="TableParagraph"/>
              <w:spacing w:line="268" w:lineRule="exact"/>
              <w:ind w:left="108"/>
              <w:rPr>
                <w:b/>
              </w:rPr>
            </w:pPr>
            <w:r>
              <w:rPr>
                <w:b/>
              </w:rPr>
              <w:t>Preparation</w:t>
            </w:r>
          </w:p>
        </w:tc>
        <w:tc>
          <w:tcPr>
            <w:tcW w:w="6921" w:type="dxa"/>
          </w:tcPr>
          <w:p w:rsidR="008F03B5" w:rsidRDefault="00586B9B">
            <w:pPr>
              <w:pStyle w:val="TableParagraph"/>
              <w:numPr>
                <w:ilvl w:val="0"/>
                <w:numId w:val="13"/>
              </w:numPr>
              <w:tabs>
                <w:tab w:val="left" w:pos="468"/>
                <w:tab w:val="left" w:pos="469"/>
              </w:tabs>
              <w:spacing w:line="276" w:lineRule="auto"/>
              <w:ind w:right="640"/>
            </w:pPr>
            <w:r>
              <w:t>The dose should be poured into a glass containing</w:t>
            </w:r>
            <w:r>
              <w:rPr>
                <w:spacing w:val="-17"/>
              </w:rPr>
              <w:t xml:space="preserve"> </w:t>
            </w:r>
            <w:r>
              <w:t>approximately 40mL of water and then</w:t>
            </w:r>
            <w:r>
              <w:rPr>
                <w:spacing w:val="-7"/>
              </w:rPr>
              <w:t xml:space="preserve"> </w:t>
            </w:r>
            <w:r>
              <w:t>stirred.</w:t>
            </w:r>
          </w:p>
          <w:p w:rsidR="008F03B5" w:rsidRDefault="00586B9B">
            <w:pPr>
              <w:pStyle w:val="TableParagraph"/>
              <w:numPr>
                <w:ilvl w:val="0"/>
                <w:numId w:val="13"/>
              </w:numPr>
              <w:tabs>
                <w:tab w:val="left" w:pos="468"/>
                <w:tab w:val="left" w:pos="469"/>
              </w:tabs>
              <w:spacing w:line="276" w:lineRule="auto"/>
              <w:ind w:right="528"/>
            </w:pPr>
            <w:r>
              <w:t>Another approximately 40mL of water should be added, and the suspension stirred again thoroughly. The powder will not</w:t>
            </w:r>
            <w:r>
              <w:rPr>
                <w:spacing w:val="-17"/>
              </w:rPr>
              <w:t xml:space="preserve"> </w:t>
            </w:r>
            <w:r>
              <w:t>dissolve.</w:t>
            </w:r>
          </w:p>
          <w:p w:rsidR="008F03B5" w:rsidRDefault="00586B9B">
            <w:pPr>
              <w:pStyle w:val="TableParagraph"/>
              <w:numPr>
                <w:ilvl w:val="0"/>
                <w:numId w:val="13"/>
              </w:numPr>
              <w:tabs>
                <w:tab w:val="left" w:pos="468"/>
                <w:tab w:val="left" w:pos="469"/>
              </w:tabs>
              <w:ind w:hanging="362"/>
            </w:pPr>
            <w:r>
              <w:t>More water may be added to the mixture as</w:t>
            </w:r>
            <w:r>
              <w:rPr>
                <w:spacing w:val="-10"/>
              </w:rPr>
              <w:t xml:space="preserve"> </w:t>
            </w:r>
            <w:r>
              <w:t>needed.</w:t>
            </w:r>
          </w:p>
        </w:tc>
      </w:tr>
      <w:tr w:rsidR="008F03B5">
        <w:trPr>
          <w:trHeight w:val="1914"/>
        </w:trPr>
        <w:tc>
          <w:tcPr>
            <w:tcW w:w="2439" w:type="dxa"/>
            <w:shd w:val="clear" w:color="auto" w:fill="F1F1F1"/>
          </w:tcPr>
          <w:p w:rsidR="008F03B5" w:rsidRDefault="00586B9B">
            <w:pPr>
              <w:pStyle w:val="TableParagraph"/>
              <w:spacing w:line="268" w:lineRule="exact"/>
              <w:ind w:left="108"/>
              <w:rPr>
                <w:b/>
              </w:rPr>
            </w:pPr>
            <w:r>
              <w:rPr>
                <w:b/>
              </w:rPr>
              <w:t>Administration</w:t>
            </w:r>
          </w:p>
        </w:tc>
        <w:tc>
          <w:tcPr>
            <w:tcW w:w="6921" w:type="dxa"/>
          </w:tcPr>
          <w:p w:rsidR="008F03B5" w:rsidRDefault="00586B9B">
            <w:pPr>
              <w:pStyle w:val="TableParagraph"/>
              <w:numPr>
                <w:ilvl w:val="0"/>
                <w:numId w:val="12"/>
              </w:numPr>
              <w:tabs>
                <w:tab w:val="left" w:pos="468"/>
                <w:tab w:val="left" w:pos="469"/>
              </w:tabs>
              <w:spacing w:line="276" w:lineRule="auto"/>
              <w:ind w:right="190"/>
            </w:pPr>
            <w:r>
              <w:t>Apple juice or cranberry juice can be used instead of water to prepare the mixture (be aware of potential interactions with cranberry juice). Other liquids should be avoided due to potential potassium</w:t>
            </w:r>
            <w:r>
              <w:rPr>
                <w:spacing w:val="-13"/>
              </w:rPr>
              <w:t xml:space="preserve"> </w:t>
            </w:r>
            <w:r>
              <w:t>content.</w:t>
            </w:r>
          </w:p>
          <w:p w:rsidR="008F03B5" w:rsidRDefault="00586B9B">
            <w:pPr>
              <w:pStyle w:val="TableParagraph"/>
              <w:numPr>
                <w:ilvl w:val="0"/>
                <w:numId w:val="12"/>
              </w:numPr>
              <w:tabs>
                <w:tab w:val="left" w:pos="468"/>
                <w:tab w:val="left" w:pos="469"/>
              </w:tabs>
              <w:ind w:hanging="362"/>
            </w:pPr>
            <w:r>
              <w:t>Should be taken with</w:t>
            </w:r>
            <w:r>
              <w:rPr>
                <w:spacing w:val="-2"/>
              </w:rPr>
              <w:t xml:space="preserve"> </w:t>
            </w:r>
            <w:r>
              <w:t>food.</w:t>
            </w:r>
          </w:p>
          <w:p w:rsidR="008F03B5" w:rsidRDefault="00586B9B">
            <w:pPr>
              <w:pStyle w:val="TableParagraph"/>
              <w:numPr>
                <w:ilvl w:val="0"/>
                <w:numId w:val="12"/>
              </w:numPr>
              <w:tabs>
                <w:tab w:val="left" w:pos="468"/>
                <w:tab w:val="left" w:pos="469"/>
              </w:tabs>
              <w:spacing w:before="38" w:line="273" w:lineRule="auto"/>
              <w:ind w:right="1107"/>
            </w:pPr>
            <w:r>
              <w:rPr>
                <w:b/>
              </w:rPr>
              <w:t>Administration should be separated by 3 hours from other medicines</w:t>
            </w:r>
            <w:r>
              <w:t>.</w:t>
            </w:r>
          </w:p>
        </w:tc>
      </w:tr>
      <w:tr w:rsidR="008F03B5">
        <w:trPr>
          <w:trHeight w:val="1260"/>
        </w:trPr>
        <w:tc>
          <w:tcPr>
            <w:tcW w:w="2439" w:type="dxa"/>
            <w:shd w:val="clear" w:color="auto" w:fill="F1F1F1"/>
          </w:tcPr>
          <w:p w:rsidR="008F03B5" w:rsidRDefault="00586B9B">
            <w:pPr>
              <w:pStyle w:val="TableParagraph"/>
              <w:spacing w:line="265" w:lineRule="exact"/>
              <w:ind w:left="108"/>
              <w:rPr>
                <w:b/>
              </w:rPr>
            </w:pPr>
            <w:r>
              <w:rPr>
                <w:b/>
              </w:rPr>
              <w:t>Storage and handling</w:t>
            </w:r>
          </w:p>
        </w:tc>
        <w:tc>
          <w:tcPr>
            <w:tcW w:w="6921" w:type="dxa"/>
          </w:tcPr>
          <w:p w:rsidR="008F03B5" w:rsidRDefault="00586B9B">
            <w:pPr>
              <w:pStyle w:val="TableParagraph"/>
              <w:numPr>
                <w:ilvl w:val="0"/>
                <w:numId w:val="11"/>
              </w:numPr>
              <w:tabs>
                <w:tab w:val="left" w:pos="468"/>
                <w:tab w:val="left" w:pos="469"/>
              </w:tabs>
              <w:spacing w:line="276" w:lineRule="auto"/>
              <w:ind w:right="598"/>
            </w:pPr>
            <w:r>
              <w:t>The reconstituted mixture should be taken within 1 hour of initial suspension.</w:t>
            </w:r>
          </w:p>
          <w:p w:rsidR="008F03B5" w:rsidRDefault="00586B9B">
            <w:pPr>
              <w:pStyle w:val="TableParagraph"/>
              <w:numPr>
                <w:ilvl w:val="0"/>
                <w:numId w:val="11"/>
              </w:numPr>
              <w:tabs>
                <w:tab w:val="left" w:pos="465"/>
                <w:tab w:val="left" w:pos="466"/>
              </w:tabs>
              <w:ind w:left="465" w:hanging="359"/>
            </w:pPr>
            <w:r>
              <w:t>Unopened storage and transportation should be refrigerated</w:t>
            </w:r>
            <w:r>
              <w:rPr>
                <w:spacing w:val="-7"/>
              </w:rPr>
              <w:t xml:space="preserve"> </w:t>
            </w:r>
            <w:r>
              <w:t>(2</w:t>
            </w:r>
            <w:r>
              <w:rPr>
                <w:vertAlign w:val="superscript"/>
              </w:rPr>
              <w:t>o</w:t>
            </w:r>
            <w:r>
              <w:t>C-</w:t>
            </w:r>
          </w:p>
          <w:p w:rsidR="008F03B5" w:rsidRDefault="00586B9B">
            <w:pPr>
              <w:pStyle w:val="TableParagraph"/>
              <w:spacing w:before="37"/>
              <w:ind w:left="465"/>
            </w:pPr>
            <w:r>
              <w:t>8</w:t>
            </w:r>
            <w:r>
              <w:rPr>
                <w:vertAlign w:val="superscript"/>
              </w:rPr>
              <w:t>o</w:t>
            </w:r>
            <w:r>
              <w:t>C). Patients may store below 25</w:t>
            </w:r>
            <w:r>
              <w:rPr>
                <w:vertAlign w:val="superscript"/>
              </w:rPr>
              <w:t>o</w:t>
            </w:r>
            <w:r>
              <w:t>C for up to 6 months.</w:t>
            </w:r>
          </w:p>
        </w:tc>
      </w:tr>
      <w:tr w:rsidR="008F03B5">
        <w:trPr>
          <w:trHeight w:val="1259"/>
        </w:trPr>
        <w:tc>
          <w:tcPr>
            <w:tcW w:w="2439" w:type="dxa"/>
            <w:shd w:val="clear" w:color="auto" w:fill="F1F1F1"/>
          </w:tcPr>
          <w:p w:rsidR="008F03B5" w:rsidRDefault="00586B9B">
            <w:pPr>
              <w:pStyle w:val="TableParagraph"/>
              <w:spacing w:line="278" w:lineRule="auto"/>
              <w:ind w:left="108" w:right="688"/>
              <w:rPr>
                <w:b/>
              </w:rPr>
            </w:pPr>
            <w:r>
              <w:rPr>
                <w:b/>
              </w:rPr>
              <w:t>Cautions and side effects</w:t>
            </w:r>
          </w:p>
        </w:tc>
        <w:tc>
          <w:tcPr>
            <w:tcW w:w="6921" w:type="dxa"/>
          </w:tcPr>
          <w:p w:rsidR="008F03B5" w:rsidRDefault="00586B9B">
            <w:pPr>
              <w:pStyle w:val="TableParagraph"/>
              <w:numPr>
                <w:ilvl w:val="0"/>
                <w:numId w:val="10"/>
              </w:numPr>
              <w:tabs>
                <w:tab w:val="left" w:pos="468"/>
                <w:tab w:val="left" w:pos="469"/>
              </w:tabs>
              <w:spacing w:line="276" w:lineRule="auto"/>
              <w:ind w:right="169"/>
            </w:pPr>
            <w:r>
              <w:rPr>
                <w:b/>
              </w:rPr>
              <w:t xml:space="preserve">Cautions </w:t>
            </w:r>
            <w:r>
              <w:t>– Hypercalcaemia, hypomagnesaemia, GI disorders, contains sorbitol.</w:t>
            </w:r>
          </w:p>
          <w:p w:rsidR="008F03B5" w:rsidRDefault="00586B9B">
            <w:pPr>
              <w:pStyle w:val="TableParagraph"/>
              <w:numPr>
                <w:ilvl w:val="0"/>
                <w:numId w:val="10"/>
              </w:numPr>
              <w:tabs>
                <w:tab w:val="left" w:pos="468"/>
                <w:tab w:val="left" w:pos="469"/>
              </w:tabs>
              <w:spacing w:line="280" w:lineRule="exact"/>
              <w:ind w:hanging="362"/>
            </w:pPr>
            <w:r>
              <w:rPr>
                <w:b/>
              </w:rPr>
              <w:t xml:space="preserve">Side-effects </w:t>
            </w:r>
            <w:r>
              <w:t>–Hypomagnesaemia, constipation, diarrhoea,</w:t>
            </w:r>
            <w:r>
              <w:rPr>
                <w:spacing w:val="-12"/>
              </w:rPr>
              <w:t xml:space="preserve"> </w:t>
            </w:r>
            <w:r>
              <w:t>abdominal</w:t>
            </w:r>
          </w:p>
          <w:p w:rsidR="008F03B5" w:rsidRDefault="00586B9B">
            <w:pPr>
              <w:pStyle w:val="TableParagraph"/>
              <w:spacing w:before="38"/>
              <w:ind w:left="468"/>
            </w:pPr>
            <w:r>
              <w:t>pain and flatulence</w:t>
            </w:r>
          </w:p>
        </w:tc>
      </w:tr>
    </w:tbl>
    <w:p w:rsidR="008F03B5" w:rsidRDefault="008F03B5">
      <w:pPr>
        <w:pStyle w:val="a3"/>
        <w:rPr>
          <w:b/>
          <w:sz w:val="24"/>
        </w:rPr>
      </w:pPr>
    </w:p>
    <w:p w:rsidR="008F03B5" w:rsidRDefault="00586B9B">
      <w:pPr>
        <w:spacing w:before="191" w:line="276" w:lineRule="auto"/>
        <w:ind w:left="217" w:right="1107" w:firstLine="439"/>
        <w:rPr>
          <w:i/>
        </w:rPr>
      </w:pPr>
      <w:r>
        <w:rPr>
          <w:noProof/>
        </w:rPr>
        <w:drawing>
          <wp:anchor distT="0" distB="0" distL="0" distR="0" simplePos="0" relativeHeight="482131968" behindDoc="1" locked="0" layoutInCell="1" allowOverlap="1">
            <wp:simplePos x="0" y="0"/>
            <wp:positionH relativeFrom="page">
              <wp:posOffset>683894</wp:posOffset>
            </wp:positionH>
            <wp:positionV relativeFrom="paragraph">
              <wp:posOffset>75120</wp:posOffset>
            </wp:positionV>
            <wp:extent cx="232979" cy="166413"/>
            <wp:effectExtent l="0" t="0" r="0" b="0"/>
            <wp:wrapNone/>
            <wp:docPr id="41" name="image26.pn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30" cstate="print"/>
                    <a:stretch>
                      <a:fillRect/>
                    </a:stretch>
                  </pic:blipFill>
                  <pic:spPr>
                    <a:xfrm>
                      <a:off x="0" y="0"/>
                      <a:ext cx="232979" cy="166413"/>
                    </a:xfrm>
                    <a:prstGeom prst="rect">
                      <a:avLst/>
                    </a:prstGeom>
                  </pic:spPr>
                </pic:pic>
              </a:graphicData>
            </a:graphic>
          </wp:anchor>
        </w:drawing>
      </w:r>
      <w:r>
        <w:rPr>
          <w:i/>
        </w:rPr>
        <w:t>Black label medicine subject to additional monitoring to allow quick identification of new safety information. Report all suspected adverse reactions.</w:t>
      </w:r>
    </w:p>
    <w:p w:rsidR="008F03B5" w:rsidRDefault="008F03B5">
      <w:pPr>
        <w:pStyle w:val="a3"/>
        <w:rPr>
          <w:i/>
        </w:rPr>
      </w:pPr>
    </w:p>
    <w:p w:rsidR="008F03B5" w:rsidRDefault="008F03B5">
      <w:pPr>
        <w:pStyle w:val="a3"/>
        <w:rPr>
          <w:i/>
        </w:rPr>
      </w:pPr>
    </w:p>
    <w:p w:rsidR="008F03B5" w:rsidRDefault="008F03B5">
      <w:pPr>
        <w:pStyle w:val="a3"/>
        <w:rPr>
          <w:i/>
        </w:rPr>
      </w:pPr>
    </w:p>
    <w:p w:rsidR="008F03B5" w:rsidRDefault="008F03B5">
      <w:pPr>
        <w:pStyle w:val="a3"/>
        <w:spacing w:before="11"/>
        <w:rPr>
          <w:i/>
          <w:sz w:val="29"/>
        </w:rPr>
      </w:pPr>
    </w:p>
    <w:p w:rsidR="008F03B5" w:rsidRDefault="00586B9B">
      <w:pPr>
        <w:ind w:left="217"/>
        <w:rPr>
          <w:b/>
          <w:sz w:val="24"/>
        </w:rPr>
      </w:pPr>
      <w:r>
        <w:rPr>
          <w:b/>
          <w:color w:val="44536A"/>
          <w:sz w:val="24"/>
        </w:rPr>
        <w:t>References</w:t>
      </w:r>
    </w:p>
    <w:p w:rsidR="008F03B5" w:rsidRDefault="00586B9B">
      <w:pPr>
        <w:pStyle w:val="a4"/>
        <w:numPr>
          <w:ilvl w:val="1"/>
          <w:numId w:val="14"/>
        </w:numPr>
        <w:tabs>
          <w:tab w:val="left" w:pos="1069"/>
          <w:tab w:val="left" w:pos="1071"/>
        </w:tabs>
        <w:spacing w:before="41" w:line="276" w:lineRule="auto"/>
        <w:ind w:right="1197"/>
      </w:pPr>
      <w:r>
        <w:t>Electronic Medicines Compendium (2017) ‘Summary of Product Characteristics – Veltassa (Patiromer) – Vifor Fresenius Medical Care Renal Pharma UK Ltd’. Available at</w:t>
      </w:r>
      <w:r>
        <w:rPr>
          <w:color w:val="0462C1"/>
        </w:rPr>
        <w:t xml:space="preserve"> </w:t>
      </w:r>
      <w:hyperlink r:id="rId31">
        <w:r>
          <w:rPr>
            <w:color w:val="0462C1"/>
            <w:u w:val="single" w:color="0462C1"/>
          </w:rPr>
          <w:t>https://www.medicines.org.uk/emc/product/779</w:t>
        </w:r>
        <w:r>
          <w:rPr>
            <w:color w:val="0462C1"/>
          </w:rPr>
          <w:t xml:space="preserve"> </w:t>
        </w:r>
      </w:hyperlink>
      <w:r>
        <w:t>accessed</w:t>
      </w:r>
      <w:r>
        <w:rPr>
          <w:spacing w:val="-3"/>
        </w:rPr>
        <w:t xml:space="preserve"> </w:t>
      </w:r>
      <w:r>
        <w:t>03.05.2019.</w:t>
      </w:r>
    </w:p>
    <w:p w:rsidR="008F03B5" w:rsidRDefault="008F03B5">
      <w:pPr>
        <w:pStyle w:val="a3"/>
        <w:spacing w:before="6"/>
        <w:rPr>
          <w:sz w:val="8"/>
        </w:rPr>
      </w:pPr>
    </w:p>
    <w:p w:rsidR="008F03B5" w:rsidRDefault="00586B9B">
      <w:pPr>
        <w:pStyle w:val="a4"/>
        <w:numPr>
          <w:ilvl w:val="1"/>
          <w:numId w:val="14"/>
        </w:numPr>
        <w:tabs>
          <w:tab w:val="left" w:pos="1069"/>
          <w:tab w:val="left" w:pos="1071"/>
        </w:tabs>
        <w:spacing w:before="57" w:line="276" w:lineRule="auto"/>
        <w:ind w:right="865"/>
      </w:pPr>
      <w:r>
        <w:t xml:space="preserve">Joint Formulary Committee. </w:t>
      </w:r>
      <w:r>
        <w:rPr>
          <w:i/>
        </w:rPr>
        <w:t xml:space="preserve">British National Formulary </w:t>
      </w:r>
      <w:r>
        <w:t xml:space="preserve">(online) London: BMJ Group and Pharmaceutical Press. Available at </w:t>
      </w:r>
      <w:hyperlink r:id="rId32">
        <w:r>
          <w:t xml:space="preserve">http://www.medicinescomplete.com </w:t>
        </w:r>
      </w:hyperlink>
      <w:r>
        <w:t>accessed</w:t>
      </w:r>
      <w:r>
        <w:rPr>
          <w:spacing w:val="-24"/>
        </w:rPr>
        <w:t xml:space="preserve"> </w:t>
      </w:r>
      <w:r>
        <w:t>03.05.2019</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36" w:name="_bookmark54"/>
      <w:bookmarkEnd w:id="36"/>
      <w:r>
        <w:rPr>
          <w:color w:val="1F4E79"/>
        </w:rPr>
        <w:lastRenderedPageBreak/>
        <w:t>Appendix 3E: Drug administration and safety – Sodium zirconium cyclosilicate</w:t>
      </w:r>
    </w:p>
    <w:p w:rsidR="008F03B5" w:rsidRDefault="008F03B5">
      <w:pPr>
        <w:pStyle w:val="a3"/>
        <w:rPr>
          <w:b/>
          <w:sz w:val="20"/>
        </w:rPr>
      </w:pPr>
    </w:p>
    <w:p w:rsidR="008F03B5" w:rsidRDefault="008F03B5">
      <w:pPr>
        <w:pStyle w:val="a3"/>
        <w:spacing w:before="3"/>
        <w:rPr>
          <w:b/>
          <w:sz w:val="25"/>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80"/>
        <w:gridCol w:w="6920"/>
      </w:tblGrid>
      <w:tr w:rsidR="008F03B5">
        <w:trPr>
          <w:trHeight w:val="549"/>
        </w:trPr>
        <w:tc>
          <w:tcPr>
            <w:tcW w:w="9500" w:type="dxa"/>
            <w:gridSpan w:val="2"/>
            <w:shd w:val="clear" w:color="auto" w:fill="DEEAF6"/>
          </w:tcPr>
          <w:p w:rsidR="008F03B5" w:rsidRDefault="00586B9B">
            <w:pPr>
              <w:pStyle w:val="TableParagraph"/>
              <w:spacing w:before="51"/>
              <w:ind w:left="97"/>
              <w:rPr>
                <w:b/>
              </w:rPr>
            </w:pPr>
            <w:r>
              <w:rPr>
                <w:noProof/>
                <w:position w:val="-12"/>
              </w:rPr>
              <w:drawing>
                <wp:inline distT="0" distB="0" distL="0" distR="0">
                  <wp:extent cx="241300" cy="259079"/>
                  <wp:effectExtent l="0" t="0" r="0" b="0"/>
                  <wp:docPr id="43" name="image25.pn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29" cstate="print"/>
                          <a:stretch>
                            <a:fillRect/>
                          </a:stretch>
                        </pic:blipFill>
                        <pic:spPr>
                          <a:xfrm>
                            <a:off x="0" y="0"/>
                            <a:ext cx="241300" cy="259079"/>
                          </a:xfrm>
                          <a:prstGeom prst="rect">
                            <a:avLst/>
                          </a:prstGeom>
                        </pic:spPr>
                      </pic:pic>
                    </a:graphicData>
                  </a:graphic>
                </wp:inline>
              </w:drawing>
            </w:r>
            <w:r>
              <w:rPr>
                <w:rFonts w:ascii="Times New Roman"/>
                <w:sz w:val="20"/>
              </w:rPr>
              <w:t xml:space="preserve">    </w:t>
            </w:r>
            <w:r>
              <w:rPr>
                <w:rFonts w:ascii="Times New Roman"/>
                <w:spacing w:val="-19"/>
                <w:sz w:val="20"/>
              </w:rPr>
              <w:t xml:space="preserve"> </w:t>
            </w:r>
            <w:r>
              <w:rPr>
                <w:b/>
              </w:rPr>
              <w:t>Sodium Zirconium</w:t>
            </w:r>
            <w:r>
              <w:rPr>
                <w:b/>
                <w:spacing w:val="-5"/>
              </w:rPr>
              <w:t xml:space="preserve"> </w:t>
            </w:r>
            <w:r>
              <w:rPr>
                <w:b/>
              </w:rPr>
              <w:t>Cyclosilicate</w:t>
            </w:r>
          </w:p>
        </w:tc>
      </w:tr>
      <w:tr w:rsidR="008F03B5">
        <w:trPr>
          <w:trHeight w:val="510"/>
        </w:trPr>
        <w:tc>
          <w:tcPr>
            <w:tcW w:w="2580" w:type="dxa"/>
            <w:shd w:val="clear" w:color="auto" w:fill="F1F1F1"/>
          </w:tcPr>
          <w:p w:rsidR="008F03B5" w:rsidRDefault="00586B9B">
            <w:pPr>
              <w:pStyle w:val="TableParagraph"/>
              <w:spacing w:line="268" w:lineRule="exact"/>
              <w:ind w:left="107"/>
              <w:rPr>
                <w:b/>
              </w:rPr>
            </w:pPr>
            <w:r>
              <w:rPr>
                <w:b/>
              </w:rPr>
              <w:t>Available as</w:t>
            </w:r>
          </w:p>
        </w:tc>
        <w:tc>
          <w:tcPr>
            <w:tcW w:w="6920" w:type="dxa"/>
          </w:tcPr>
          <w:p w:rsidR="008F03B5" w:rsidRDefault="00586B9B">
            <w:pPr>
              <w:pStyle w:val="TableParagraph"/>
              <w:spacing w:line="268" w:lineRule="exact"/>
              <w:ind w:left="108"/>
            </w:pPr>
            <w:r>
              <w:t>5g, 10g sachets (powder oral suspension)</w:t>
            </w:r>
          </w:p>
        </w:tc>
      </w:tr>
      <w:tr w:rsidR="008F03B5">
        <w:trPr>
          <w:trHeight w:val="1579"/>
        </w:trPr>
        <w:tc>
          <w:tcPr>
            <w:tcW w:w="2580" w:type="dxa"/>
            <w:shd w:val="clear" w:color="auto" w:fill="F1F1F1"/>
          </w:tcPr>
          <w:p w:rsidR="008F03B5" w:rsidRDefault="00586B9B">
            <w:pPr>
              <w:pStyle w:val="TableParagraph"/>
              <w:spacing w:line="268" w:lineRule="exact"/>
              <w:ind w:left="107"/>
              <w:rPr>
                <w:b/>
              </w:rPr>
            </w:pPr>
            <w:r>
              <w:rPr>
                <w:b/>
              </w:rPr>
              <w:t>Preparation</w:t>
            </w:r>
          </w:p>
        </w:tc>
        <w:tc>
          <w:tcPr>
            <w:tcW w:w="6920" w:type="dxa"/>
          </w:tcPr>
          <w:p w:rsidR="008F03B5" w:rsidRDefault="00586B9B">
            <w:pPr>
              <w:pStyle w:val="TableParagraph"/>
              <w:numPr>
                <w:ilvl w:val="0"/>
                <w:numId w:val="9"/>
              </w:numPr>
              <w:tabs>
                <w:tab w:val="left" w:pos="468"/>
                <w:tab w:val="left" w:pos="469"/>
              </w:tabs>
              <w:spacing w:line="276" w:lineRule="auto"/>
              <w:ind w:right="306"/>
            </w:pPr>
            <w:r>
              <w:t>The contents of the sachet should be emptied into a glass</w:t>
            </w:r>
            <w:r>
              <w:rPr>
                <w:spacing w:val="-25"/>
              </w:rPr>
              <w:t xml:space="preserve"> </w:t>
            </w:r>
            <w:r>
              <w:t>containing approximately 45mL of water and stirred well. The powder will not dissolve.</w:t>
            </w:r>
          </w:p>
          <w:p w:rsidR="008F03B5" w:rsidRDefault="00586B9B">
            <w:pPr>
              <w:pStyle w:val="TableParagraph"/>
              <w:numPr>
                <w:ilvl w:val="0"/>
                <w:numId w:val="9"/>
              </w:numPr>
              <w:tabs>
                <w:tab w:val="left" w:pos="468"/>
                <w:tab w:val="left" w:pos="469"/>
              </w:tabs>
            </w:pPr>
            <w:r>
              <w:t>Advise patient to drink the tasteless liquid while still</w:t>
            </w:r>
            <w:r>
              <w:rPr>
                <w:spacing w:val="-10"/>
              </w:rPr>
              <w:t xml:space="preserve"> </w:t>
            </w:r>
            <w:r>
              <w:t>cloudy.</w:t>
            </w:r>
          </w:p>
          <w:p w:rsidR="008F03B5" w:rsidRDefault="00586B9B">
            <w:pPr>
              <w:pStyle w:val="TableParagraph"/>
              <w:numPr>
                <w:ilvl w:val="0"/>
                <w:numId w:val="9"/>
              </w:numPr>
              <w:tabs>
                <w:tab w:val="left" w:pos="468"/>
                <w:tab w:val="left" w:pos="469"/>
              </w:tabs>
              <w:spacing w:before="36"/>
            </w:pPr>
            <w:r>
              <w:t>If the suspension settles - it should be stirred</w:t>
            </w:r>
            <w:r>
              <w:rPr>
                <w:spacing w:val="-8"/>
              </w:rPr>
              <w:t xml:space="preserve"> </w:t>
            </w:r>
            <w:r>
              <w:t>again.</w:t>
            </w:r>
          </w:p>
        </w:tc>
      </w:tr>
      <w:tr w:rsidR="008F03B5">
        <w:trPr>
          <w:trHeight w:val="1127"/>
        </w:trPr>
        <w:tc>
          <w:tcPr>
            <w:tcW w:w="2580" w:type="dxa"/>
            <w:shd w:val="clear" w:color="auto" w:fill="F1F1F1"/>
          </w:tcPr>
          <w:p w:rsidR="008F03B5" w:rsidRDefault="00586B9B">
            <w:pPr>
              <w:pStyle w:val="TableParagraph"/>
              <w:spacing w:line="268" w:lineRule="exact"/>
              <w:ind w:left="107"/>
              <w:rPr>
                <w:b/>
              </w:rPr>
            </w:pPr>
            <w:r>
              <w:rPr>
                <w:b/>
              </w:rPr>
              <w:t>Administration</w:t>
            </w:r>
          </w:p>
        </w:tc>
        <w:tc>
          <w:tcPr>
            <w:tcW w:w="6920" w:type="dxa"/>
          </w:tcPr>
          <w:p w:rsidR="008F03B5" w:rsidRDefault="00586B9B">
            <w:pPr>
              <w:pStyle w:val="TableParagraph"/>
              <w:numPr>
                <w:ilvl w:val="0"/>
                <w:numId w:val="8"/>
              </w:numPr>
              <w:tabs>
                <w:tab w:val="left" w:pos="468"/>
                <w:tab w:val="left" w:pos="469"/>
              </w:tabs>
              <w:spacing w:line="277" w:lineRule="exact"/>
            </w:pPr>
            <w:r>
              <w:t>The suspension can be taken with or without</w:t>
            </w:r>
            <w:r>
              <w:rPr>
                <w:spacing w:val="-9"/>
              </w:rPr>
              <w:t xml:space="preserve"> </w:t>
            </w:r>
            <w:r>
              <w:t>food.</w:t>
            </w:r>
          </w:p>
          <w:p w:rsidR="008F03B5" w:rsidRDefault="00586B9B">
            <w:pPr>
              <w:pStyle w:val="TableParagraph"/>
              <w:numPr>
                <w:ilvl w:val="0"/>
                <w:numId w:val="8"/>
              </w:numPr>
              <w:tabs>
                <w:tab w:val="left" w:pos="468"/>
                <w:tab w:val="left" w:pos="469"/>
              </w:tabs>
              <w:spacing w:before="39" w:line="276" w:lineRule="auto"/>
              <w:ind w:right="400"/>
            </w:pPr>
            <w:r>
              <w:t>Administer at least 2 hours before or 2 hours after oral medications with clinically meaningful gastric pH dependent</w:t>
            </w:r>
            <w:r>
              <w:rPr>
                <w:spacing w:val="-9"/>
              </w:rPr>
              <w:t xml:space="preserve"> </w:t>
            </w:r>
            <w:r>
              <w:t>bioavailability.</w:t>
            </w:r>
          </w:p>
        </w:tc>
      </w:tr>
      <w:tr w:rsidR="008F03B5">
        <w:trPr>
          <w:trHeight w:val="1269"/>
        </w:trPr>
        <w:tc>
          <w:tcPr>
            <w:tcW w:w="2580" w:type="dxa"/>
            <w:shd w:val="clear" w:color="auto" w:fill="F1F1F1"/>
          </w:tcPr>
          <w:p w:rsidR="008F03B5" w:rsidRDefault="00586B9B">
            <w:pPr>
              <w:pStyle w:val="TableParagraph"/>
              <w:spacing w:line="278" w:lineRule="auto"/>
              <w:ind w:left="107" w:right="405"/>
              <w:rPr>
                <w:b/>
              </w:rPr>
            </w:pPr>
            <w:r>
              <w:rPr>
                <w:b/>
              </w:rPr>
              <w:t>Treatment: Correction Phase</w:t>
            </w:r>
          </w:p>
        </w:tc>
        <w:tc>
          <w:tcPr>
            <w:tcW w:w="6920" w:type="dxa"/>
          </w:tcPr>
          <w:p w:rsidR="008F03B5" w:rsidRDefault="00586B9B">
            <w:pPr>
              <w:pStyle w:val="TableParagraph"/>
              <w:numPr>
                <w:ilvl w:val="0"/>
                <w:numId w:val="7"/>
              </w:numPr>
              <w:tabs>
                <w:tab w:val="left" w:pos="468"/>
                <w:tab w:val="left" w:pos="469"/>
              </w:tabs>
              <w:spacing w:line="276" w:lineRule="auto"/>
              <w:ind w:right="552"/>
            </w:pPr>
            <w:r>
              <w:t>SZC 10g three times daily until normokalaemia (serum K</w:t>
            </w:r>
            <w:r>
              <w:rPr>
                <w:vertAlign w:val="superscript"/>
              </w:rPr>
              <w:t>+</w:t>
            </w:r>
            <w:r>
              <w:t xml:space="preserve"> 4.0 – 5.0 mmol/l)</w:t>
            </w:r>
            <w:r>
              <w:rPr>
                <w:spacing w:val="-1"/>
              </w:rPr>
              <w:t xml:space="preserve"> </w:t>
            </w:r>
            <w:r>
              <w:t>achieved.</w:t>
            </w:r>
          </w:p>
          <w:p w:rsidR="008F03B5" w:rsidRDefault="00586B9B">
            <w:pPr>
              <w:pStyle w:val="TableParagraph"/>
              <w:numPr>
                <w:ilvl w:val="0"/>
                <w:numId w:val="7"/>
              </w:numPr>
              <w:tabs>
                <w:tab w:val="left" w:pos="468"/>
                <w:tab w:val="left" w:pos="469"/>
              </w:tabs>
              <w:spacing w:line="280" w:lineRule="exact"/>
            </w:pPr>
            <w:r>
              <w:t>Usually duration is 24 – 48 hours, maximum duration 72</w:t>
            </w:r>
            <w:r>
              <w:rPr>
                <w:spacing w:val="-15"/>
              </w:rPr>
              <w:t xml:space="preserve"> </w:t>
            </w:r>
            <w:r>
              <w:t>hours.</w:t>
            </w:r>
          </w:p>
          <w:p w:rsidR="008F03B5" w:rsidRDefault="00586B9B">
            <w:pPr>
              <w:pStyle w:val="TableParagraph"/>
              <w:numPr>
                <w:ilvl w:val="0"/>
                <w:numId w:val="7"/>
              </w:numPr>
              <w:tabs>
                <w:tab w:val="left" w:pos="468"/>
                <w:tab w:val="left" w:pos="469"/>
              </w:tabs>
              <w:spacing w:before="38"/>
            </w:pPr>
            <w:r>
              <w:t>Discontinue after 72 hours if normokalaemia not</w:t>
            </w:r>
            <w:r>
              <w:rPr>
                <w:spacing w:val="-6"/>
              </w:rPr>
              <w:t xml:space="preserve"> </w:t>
            </w:r>
            <w:r>
              <w:t>achieved.</w:t>
            </w:r>
          </w:p>
        </w:tc>
      </w:tr>
      <w:tr w:rsidR="008F03B5">
        <w:trPr>
          <w:trHeight w:val="1593"/>
        </w:trPr>
        <w:tc>
          <w:tcPr>
            <w:tcW w:w="2580" w:type="dxa"/>
            <w:shd w:val="clear" w:color="auto" w:fill="F1F1F1"/>
          </w:tcPr>
          <w:p w:rsidR="008F03B5" w:rsidRDefault="00586B9B">
            <w:pPr>
              <w:pStyle w:val="TableParagraph"/>
              <w:spacing w:line="276" w:lineRule="auto"/>
              <w:ind w:left="107" w:right="158"/>
              <w:rPr>
                <w:b/>
              </w:rPr>
            </w:pPr>
            <w:r>
              <w:rPr>
                <w:b/>
              </w:rPr>
              <w:t>Treatment: Maintenance Phase</w:t>
            </w:r>
          </w:p>
        </w:tc>
        <w:tc>
          <w:tcPr>
            <w:tcW w:w="6920" w:type="dxa"/>
          </w:tcPr>
          <w:p w:rsidR="008F03B5" w:rsidRDefault="00586B9B">
            <w:pPr>
              <w:pStyle w:val="TableParagraph"/>
              <w:numPr>
                <w:ilvl w:val="0"/>
                <w:numId w:val="6"/>
              </w:numPr>
              <w:tabs>
                <w:tab w:val="left" w:pos="468"/>
                <w:tab w:val="left" w:pos="469"/>
              </w:tabs>
              <w:spacing w:line="280" w:lineRule="exact"/>
            </w:pPr>
            <w:r>
              <w:t>SZC 5g daily starting dose (after normokalaemia</w:t>
            </w:r>
            <w:r>
              <w:rPr>
                <w:spacing w:val="-7"/>
              </w:rPr>
              <w:t xml:space="preserve"> </w:t>
            </w:r>
            <w:r>
              <w:t>achieved)</w:t>
            </w:r>
          </w:p>
          <w:p w:rsidR="008F03B5" w:rsidRDefault="00586B9B">
            <w:pPr>
              <w:pStyle w:val="TableParagraph"/>
              <w:numPr>
                <w:ilvl w:val="0"/>
                <w:numId w:val="6"/>
              </w:numPr>
              <w:tabs>
                <w:tab w:val="left" w:pos="468"/>
                <w:tab w:val="left" w:pos="469"/>
              </w:tabs>
              <w:spacing w:before="39" w:line="276" w:lineRule="auto"/>
              <w:ind w:right="438"/>
            </w:pPr>
            <w:r>
              <w:t>Titrate up to 10g once daily or down to 5g alternate days guided by serum K</w:t>
            </w:r>
            <w:r>
              <w:rPr>
                <w:vertAlign w:val="superscript"/>
              </w:rPr>
              <w:t>+</w:t>
            </w:r>
            <w:r>
              <w:rPr>
                <w:spacing w:val="-3"/>
              </w:rPr>
              <w:t xml:space="preserve"> </w:t>
            </w:r>
            <w:r>
              <w:t>levels.</w:t>
            </w:r>
          </w:p>
          <w:p w:rsidR="008F03B5" w:rsidRDefault="00586B9B">
            <w:pPr>
              <w:pStyle w:val="TableParagraph"/>
              <w:numPr>
                <w:ilvl w:val="0"/>
                <w:numId w:val="6"/>
              </w:numPr>
              <w:tabs>
                <w:tab w:val="left" w:pos="468"/>
                <w:tab w:val="left" w:pos="469"/>
              </w:tabs>
              <w:spacing w:line="280" w:lineRule="exact"/>
            </w:pPr>
            <w:r>
              <w:t>Monitor serum K level regularly.</w:t>
            </w:r>
          </w:p>
          <w:p w:rsidR="008F03B5" w:rsidRDefault="00586B9B">
            <w:pPr>
              <w:pStyle w:val="TableParagraph"/>
              <w:numPr>
                <w:ilvl w:val="0"/>
                <w:numId w:val="6"/>
              </w:numPr>
              <w:tabs>
                <w:tab w:val="left" w:pos="468"/>
                <w:tab w:val="left" w:pos="469"/>
              </w:tabs>
              <w:spacing w:before="41"/>
            </w:pPr>
            <w:r>
              <w:t>Discontinue of hypokalaemia develops (serum K</w:t>
            </w:r>
            <w:r>
              <w:rPr>
                <w:vertAlign w:val="superscript"/>
              </w:rPr>
              <w:t>+</w:t>
            </w:r>
            <w:r>
              <w:t xml:space="preserve"> &lt; 4.0</w:t>
            </w:r>
            <w:r>
              <w:rPr>
                <w:spacing w:val="-11"/>
              </w:rPr>
              <w:t xml:space="preserve"> </w:t>
            </w:r>
            <w:r>
              <w:t>mmol/l)</w:t>
            </w:r>
          </w:p>
        </w:tc>
      </w:tr>
      <w:tr w:rsidR="008F03B5">
        <w:trPr>
          <w:trHeight w:val="1554"/>
        </w:trPr>
        <w:tc>
          <w:tcPr>
            <w:tcW w:w="2580" w:type="dxa"/>
            <w:shd w:val="clear" w:color="auto" w:fill="F1F1F1"/>
          </w:tcPr>
          <w:p w:rsidR="008F03B5" w:rsidRDefault="00586B9B">
            <w:pPr>
              <w:pStyle w:val="TableParagraph"/>
              <w:spacing w:line="268" w:lineRule="exact"/>
              <w:ind w:left="107"/>
              <w:rPr>
                <w:b/>
              </w:rPr>
            </w:pPr>
            <w:r>
              <w:rPr>
                <w:b/>
              </w:rPr>
              <w:t>Cautions and side effects</w:t>
            </w:r>
          </w:p>
        </w:tc>
        <w:tc>
          <w:tcPr>
            <w:tcW w:w="6920" w:type="dxa"/>
          </w:tcPr>
          <w:p w:rsidR="008F03B5" w:rsidRDefault="00586B9B">
            <w:pPr>
              <w:pStyle w:val="TableParagraph"/>
              <w:numPr>
                <w:ilvl w:val="0"/>
                <w:numId w:val="5"/>
              </w:numPr>
              <w:tabs>
                <w:tab w:val="left" w:pos="468"/>
                <w:tab w:val="left" w:pos="469"/>
              </w:tabs>
              <w:spacing w:line="276" w:lineRule="auto"/>
              <w:ind w:right="146"/>
            </w:pPr>
            <w:r>
              <w:rPr>
                <w:b/>
              </w:rPr>
              <w:t xml:space="preserve">Cautions </w:t>
            </w:r>
            <w:r>
              <w:t>– can cause QT interval lengthening as a result of a reduction in serum potassium. May be opaque to X-rays – consider if having abdominal</w:t>
            </w:r>
            <w:r>
              <w:rPr>
                <w:spacing w:val="-3"/>
              </w:rPr>
              <w:t xml:space="preserve"> </w:t>
            </w:r>
            <w:r>
              <w:t>X-rays.</w:t>
            </w:r>
          </w:p>
          <w:p w:rsidR="008F03B5" w:rsidRDefault="00586B9B">
            <w:pPr>
              <w:pStyle w:val="TableParagraph"/>
              <w:numPr>
                <w:ilvl w:val="0"/>
                <w:numId w:val="5"/>
              </w:numPr>
              <w:tabs>
                <w:tab w:val="left" w:pos="468"/>
                <w:tab w:val="left" w:pos="469"/>
              </w:tabs>
            </w:pPr>
            <w:r>
              <w:rPr>
                <w:b/>
              </w:rPr>
              <w:t xml:space="preserve">Side effects </w:t>
            </w:r>
            <w:r>
              <w:t>– Hypokalaemia, oedema, gastrointestinal</w:t>
            </w:r>
            <w:r>
              <w:rPr>
                <w:spacing w:val="-8"/>
              </w:rPr>
              <w:t xml:space="preserve"> </w:t>
            </w:r>
            <w:r>
              <w:t>disorders.</w:t>
            </w:r>
          </w:p>
        </w:tc>
      </w:tr>
    </w:tbl>
    <w:p w:rsidR="008F03B5" w:rsidRDefault="008F03B5">
      <w:pPr>
        <w:pStyle w:val="a3"/>
        <w:rPr>
          <w:b/>
          <w:sz w:val="20"/>
        </w:rPr>
      </w:pPr>
    </w:p>
    <w:p w:rsidR="008F03B5" w:rsidRDefault="008F03B5">
      <w:pPr>
        <w:pStyle w:val="a3"/>
        <w:rPr>
          <w:b/>
          <w:sz w:val="20"/>
        </w:rPr>
      </w:pPr>
    </w:p>
    <w:p w:rsidR="008F03B5" w:rsidRDefault="008F03B5">
      <w:pPr>
        <w:pStyle w:val="a3"/>
        <w:spacing w:before="2"/>
        <w:rPr>
          <w:b/>
          <w:sz w:val="16"/>
        </w:rPr>
      </w:pPr>
    </w:p>
    <w:p w:rsidR="008F03B5" w:rsidRDefault="00586B9B">
      <w:pPr>
        <w:spacing w:line="276" w:lineRule="auto"/>
        <w:ind w:left="217" w:right="1107" w:firstLine="439"/>
        <w:rPr>
          <w:i/>
        </w:rPr>
      </w:pPr>
      <w:r>
        <w:rPr>
          <w:noProof/>
        </w:rPr>
        <w:drawing>
          <wp:anchor distT="0" distB="0" distL="0" distR="0" simplePos="0" relativeHeight="482132480" behindDoc="1" locked="0" layoutInCell="1" allowOverlap="1">
            <wp:simplePos x="0" y="0"/>
            <wp:positionH relativeFrom="page">
              <wp:posOffset>683894</wp:posOffset>
            </wp:positionH>
            <wp:positionV relativeFrom="paragraph">
              <wp:posOffset>-47158</wp:posOffset>
            </wp:positionV>
            <wp:extent cx="232979" cy="166151"/>
            <wp:effectExtent l="0" t="0" r="0" b="0"/>
            <wp:wrapNone/>
            <wp:docPr id="45" name="image26.pn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0" cstate="print"/>
                    <a:stretch>
                      <a:fillRect/>
                    </a:stretch>
                  </pic:blipFill>
                  <pic:spPr>
                    <a:xfrm>
                      <a:off x="0" y="0"/>
                      <a:ext cx="232979" cy="166151"/>
                    </a:xfrm>
                    <a:prstGeom prst="rect">
                      <a:avLst/>
                    </a:prstGeom>
                  </pic:spPr>
                </pic:pic>
              </a:graphicData>
            </a:graphic>
          </wp:anchor>
        </w:drawing>
      </w:r>
      <w:r>
        <w:rPr>
          <w:i/>
        </w:rPr>
        <w:t>Black label medicine subject to additional monitoring to allow quick identification of new safety information. Report all suspected adverse reactions.</w:t>
      </w:r>
    </w:p>
    <w:p w:rsidR="008F03B5" w:rsidRDefault="008F03B5">
      <w:pPr>
        <w:pStyle w:val="a3"/>
        <w:rPr>
          <w:i/>
        </w:rPr>
      </w:pPr>
    </w:p>
    <w:p w:rsidR="008F03B5" w:rsidRDefault="008F03B5">
      <w:pPr>
        <w:pStyle w:val="a3"/>
        <w:spacing w:before="2"/>
        <w:rPr>
          <w:i/>
          <w:sz w:val="23"/>
        </w:rPr>
      </w:pPr>
    </w:p>
    <w:p w:rsidR="008F03B5" w:rsidRDefault="00586B9B">
      <w:pPr>
        <w:ind w:left="217"/>
        <w:rPr>
          <w:b/>
          <w:sz w:val="24"/>
        </w:rPr>
      </w:pPr>
      <w:r>
        <w:rPr>
          <w:b/>
          <w:color w:val="44536A"/>
          <w:sz w:val="24"/>
        </w:rPr>
        <w:t>References</w:t>
      </w:r>
    </w:p>
    <w:p w:rsidR="008F03B5" w:rsidRDefault="00586B9B">
      <w:pPr>
        <w:pStyle w:val="a3"/>
        <w:tabs>
          <w:tab w:val="left" w:pos="1069"/>
        </w:tabs>
        <w:spacing w:before="41" w:line="276" w:lineRule="auto"/>
        <w:ind w:left="1070" w:right="812" w:hanging="425"/>
      </w:pPr>
      <w:r>
        <w:t>1.</w:t>
      </w:r>
      <w:r>
        <w:tab/>
        <w:t>Electronic Medicines Compendium (2019) ‘Summary of Product Characteristics – Lokelma 10g powder for oral suspension – AstraZeneca UK Limited’. Available at</w:t>
      </w:r>
      <w:r>
        <w:rPr>
          <w:color w:val="0462C1"/>
        </w:rPr>
        <w:t xml:space="preserve"> </w:t>
      </w:r>
      <w:hyperlink r:id="rId33">
        <w:r>
          <w:rPr>
            <w:color w:val="0462C1"/>
            <w:u w:val="single" w:color="0462C1"/>
          </w:rPr>
          <w:t>https://www.medicines.org.uk/emc/product/10074/smpc</w:t>
        </w:r>
      </w:hyperlink>
      <w:r>
        <w:t>. Accessed</w:t>
      </w:r>
      <w:r>
        <w:rPr>
          <w:spacing w:val="-7"/>
        </w:rPr>
        <w:t xml:space="preserve"> </w:t>
      </w:r>
      <w:r>
        <w:t>03.05.2019.</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37" w:name="_bookmark55"/>
      <w:bookmarkEnd w:id="37"/>
      <w:r>
        <w:rPr>
          <w:color w:val="1F4E79"/>
        </w:rPr>
        <w:lastRenderedPageBreak/>
        <w:t>Appendix 3F: Drug administration and safety – Calcium resonium</w:t>
      </w:r>
    </w:p>
    <w:p w:rsidR="008F03B5" w:rsidRDefault="008F03B5">
      <w:pPr>
        <w:pStyle w:val="a3"/>
        <w:rPr>
          <w:b/>
          <w:sz w:val="20"/>
        </w:rPr>
      </w:pPr>
    </w:p>
    <w:p w:rsidR="008F03B5" w:rsidRDefault="008F03B5">
      <w:pPr>
        <w:pStyle w:val="a3"/>
        <w:spacing w:before="3"/>
        <w:rPr>
          <w:b/>
          <w:sz w:val="25"/>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8"/>
        <w:gridCol w:w="6493"/>
      </w:tblGrid>
      <w:tr w:rsidR="008F03B5">
        <w:trPr>
          <w:trHeight w:val="510"/>
        </w:trPr>
        <w:tc>
          <w:tcPr>
            <w:tcW w:w="9501" w:type="dxa"/>
            <w:gridSpan w:val="2"/>
            <w:shd w:val="clear" w:color="auto" w:fill="DEEAF6"/>
          </w:tcPr>
          <w:p w:rsidR="008F03B5" w:rsidRDefault="00586B9B">
            <w:pPr>
              <w:pStyle w:val="TableParagraph"/>
              <w:spacing w:before="1"/>
              <w:ind w:left="107"/>
              <w:rPr>
                <w:b/>
              </w:rPr>
            </w:pPr>
            <w:r>
              <w:rPr>
                <w:b/>
              </w:rPr>
              <w:t>Calcium Resonium</w:t>
            </w:r>
          </w:p>
        </w:tc>
      </w:tr>
      <w:tr w:rsidR="008F03B5">
        <w:trPr>
          <w:trHeight w:val="508"/>
        </w:trPr>
        <w:tc>
          <w:tcPr>
            <w:tcW w:w="3008" w:type="dxa"/>
            <w:shd w:val="clear" w:color="auto" w:fill="F1F1F1"/>
          </w:tcPr>
          <w:p w:rsidR="008F03B5" w:rsidRDefault="00586B9B">
            <w:pPr>
              <w:pStyle w:val="TableParagraph"/>
              <w:spacing w:line="268" w:lineRule="exact"/>
              <w:ind w:left="107"/>
              <w:rPr>
                <w:b/>
              </w:rPr>
            </w:pPr>
            <w:r>
              <w:rPr>
                <w:b/>
              </w:rPr>
              <w:t>Available as</w:t>
            </w:r>
          </w:p>
        </w:tc>
        <w:tc>
          <w:tcPr>
            <w:tcW w:w="6493" w:type="dxa"/>
          </w:tcPr>
          <w:p w:rsidR="008F03B5" w:rsidRDefault="00586B9B">
            <w:pPr>
              <w:pStyle w:val="TableParagraph"/>
              <w:spacing w:line="268" w:lineRule="exact"/>
              <w:ind w:left="105"/>
            </w:pPr>
            <w:r>
              <w:t>Calcium Resonium Powder (99.934%)</w:t>
            </w:r>
          </w:p>
        </w:tc>
      </w:tr>
      <w:tr w:rsidR="008F03B5">
        <w:trPr>
          <w:trHeight w:val="2186"/>
        </w:trPr>
        <w:tc>
          <w:tcPr>
            <w:tcW w:w="3008" w:type="dxa"/>
            <w:shd w:val="clear" w:color="auto" w:fill="F1F1F1"/>
          </w:tcPr>
          <w:p w:rsidR="008F03B5" w:rsidRDefault="00586B9B">
            <w:pPr>
              <w:pStyle w:val="TableParagraph"/>
              <w:spacing w:line="268" w:lineRule="exact"/>
              <w:ind w:left="107"/>
              <w:rPr>
                <w:b/>
              </w:rPr>
            </w:pPr>
            <w:r>
              <w:rPr>
                <w:b/>
              </w:rPr>
              <w:t>Preparation</w:t>
            </w:r>
          </w:p>
        </w:tc>
        <w:tc>
          <w:tcPr>
            <w:tcW w:w="6493" w:type="dxa"/>
          </w:tcPr>
          <w:p w:rsidR="008F03B5" w:rsidRDefault="00586B9B">
            <w:pPr>
              <w:pStyle w:val="TableParagraph"/>
              <w:numPr>
                <w:ilvl w:val="0"/>
                <w:numId w:val="4"/>
              </w:numPr>
              <w:tabs>
                <w:tab w:val="left" w:pos="465"/>
                <w:tab w:val="left" w:pos="466"/>
              </w:tabs>
              <w:spacing w:line="277" w:lineRule="exact"/>
              <w:ind w:hanging="361"/>
            </w:pPr>
            <w:r>
              <w:t>Oral</w:t>
            </w:r>
            <w:r>
              <w:rPr>
                <w:spacing w:val="-1"/>
              </w:rPr>
              <w:t xml:space="preserve"> </w:t>
            </w:r>
            <w:r>
              <w:t>administration:-</w:t>
            </w:r>
          </w:p>
          <w:p w:rsidR="008F03B5" w:rsidRDefault="00586B9B">
            <w:pPr>
              <w:pStyle w:val="TableParagraph"/>
              <w:numPr>
                <w:ilvl w:val="1"/>
                <w:numId w:val="4"/>
              </w:numPr>
              <w:tabs>
                <w:tab w:val="left" w:pos="1186"/>
              </w:tabs>
              <w:spacing w:before="41" w:line="271" w:lineRule="auto"/>
              <w:ind w:right="165"/>
            </w:pPr>
            <w:r>
              <w:t>Each 1g of resin should be mixed with 3 to 4mL of water or syrup (not fruit juices). This corresponds to 45 to 60mL of liquid for a 15g</w:t>
            </w:r>
            <w:r>
              <w:rPr>
                <w:spacing w:val="-7"/>
              </w:rPr>
              <w:t xml:space="preserve"> </w:t>
            </w:r>
            <w:r>
              <w:t>dose.</w:t>
            </w:r>
          </w:p>
          <w:p w:rsidR="008F03B5" w:rsidRDefault="00586B9B">
            <w:pPr>
              <w:pStyle w:val="TableParagraph"/>
              <w:numPr>
                <w:ilvl w:val="0"/>
                <w:numId w:val="4"/>
              </w:numPr>
              <w:tabs>
                <w:tab w:val="left" w:pos="465"/>
                <w:tab w:val="left" w:pos="466"/>
              </w:tabs>
              <w:spacing w:before="10"/>
              <w:ind w:hanging="361"/>
            </w:pPr>
            <w:r>
              <w:t>Rectal</w:t>
            </w:r>
            <w:r>
              <w:rPr>
                <w:spacing w:val="-2"/>
              </w:rPr>
              <w:t xml:space="preserve"> </w:t>
            </w:r>
            <w:r>
              <w:t>administration</w:t>
            </w:r>
          </w:p>
          <w:p w:rsidR="008F03B5" w:rsidRDefault="00586B9B">
            <w:pPr>
              <w:pStyle w:val="TableParagraph"/>
              <w:numPr>
                <w:ilvl w:val="1"/>
                <w:numId w:val="4"/>
              </w:numPr>
              <w:tabs>
                <w:tab w:val="left" w:pos="1186"/>
              </w:tabs>
              <w:spacing w:before="14" w:line="300" w:lineRule="atLeast"/>
              <w:ind w:right="577"/>
            </w:pPr>
            <w:r>
              <w:t>30g of resin should be mixed with 150mL of water or glucose 10% as a daily retention</w:t>
            </w:r>
            <w:r>
              <w:rPr>
                <w:spacing w:val="-8"/>
              </w:rPr>
              <w:t xml:space="preserve"> </w:t>
            </w:r>
            <w:r>
              <w:t>enema.</w:t>
            </w:r>
          </w:p>
        </w:tc>
      </w:tr>
      <w:tr w:rsidR="008F03B5">
        <w:trPr>
          <w:trHeight w:val="1876"/>
        </w:trPr>
        <w:tc>
          <w:tcPr>
            <w:tcW w:w="3008" w:type="dxa"/>
            <w:shd w:val="clear" w:color="auto" w:fill="F1F1F1"/>
          </w:tcPr>
          <w:p w:rsidR="008F03B5" w:rsidRDefault="00586B9B">
            <w:pPr>
              <w:pStyle w:val="TableParagraph"/>
              <w:spacing w:line="268" w:lineRule="exact"/>
              <w:ind w:left="107"/>
              <w:rPr>
                <w:b/>
              </w:rPr>
            </w:pPr>
            <w:r>
              <w:rPr>
                <w:b/>
              </w:rPr>
              <w:t>Administration</w:t>
            </w:r>
          </w:p>
        </w:tc>
        <w:tc>
          <w:tcPr>
            <w:tcW w:w="6493" w:type="dxa"/>
          </w:tcPr>
          <w:p w:rsidR="008F03B5" w:rsidRDefault="00586B9B">
            <w:pPr>
              <w:pStyle w:val="TableParagraph"/>
              <w:numPr>
                <w:ilvl w:val="0"/>
                <w:numId w:val="3"/>
              </w:numPr>
              <w:tabs>
                <w:tab w:val="left" w:pos="465"/>
                <w:tab w:val="left" w:pos="466"/>
              </w:tabs>
              <w:spacing w:line="276" w:lineRule="auto"/>
              <w:ind w:right="369"/>
            </w:pPr>
            <w:r>
              <w:t>For oral administration, administer at least 3 hours before, or 3 hours after other medication. In patients with gastroparesis consider a 6-hour</w:t>
            </w:r>
            <w:r>
              <w:rPr>
                <w:spacing w:val="-4"/>
              </w:rPr>
              <w:t xml:space="preserve"> </w:t>
            </w:r>
            <w:r>
              <w:t>separation.</w:t>
            </w:r>
          </w:p>
          <w:p w:rsidR="008F03B5" w:rsidRDefault="00586B9B">
            <w:pPr>
              <w:pStyle w:val="TableParagraph"/>
              <w:numPr>
                <w:ilvl w:val="0"/>
                <w:numId w:val="3"/>
              </w:numPr>
              <w:tabs>
                <w:tab w:val="left" w:pos="465"/>
                <w:tab w:val="left" w:pos="466"/>
              </w:tabs>
              <w:spacing w:line="273" w:lineRule="auto"/>
              <w:ind w:right="455"/>
            </w:pPr>
            <w:r>
              <w:t>For rectal administration, the enema should be retained for at least 9 hours then the colon should be irrigated to remove</w:t>
            </w:r>
            <w:r>
              <w:rPr>
                <w:spacing w:val="-20"/>
              </w:rPr>
              <w:t xml:space="preserve"> </w:t>
            </w:r>
            <w:r>
              <w:t>the</w:t>
            </w:r>
          </w:p>
          <w:p w:rsidR="008F03B5" w:rsidRDefault="00586B9B">
            <w:pPr>
              <w:pStyle w:val="TableParagraph"/>
              <w:spacing w:before="1"/>
              <w:ind w:left="465"/>
            </w:pPr>
            <w:r>
              <w:t>resin.</w:t>
            </w:r>
          </w:p>
        </w:tc>
      </w:tr>
      <w:tr w:rsidR="008F03B5">
        <w:trPr>
          <w:trHeight w:val="1257"/>
        </w:trPr>
        <w:tc>
          <w:tcPr>
            <w:tcW w:w="3008" w:type="dxa"/>
            <w:shd w:val="clear" w:color="auto" w:fill="F1F1F1"/>
          </w:tcPr>
          <w:p w:rsidR="008F03B5" w:rsidRDefault="00586B9B">
            <w:pPr>
              <w:pStyle w:val="TableParagraph"/>
              <w:spacing w:line="268" w:lineRule="exact"/>
              <w:ind w:left="107"/>
              <w:rPr>
                <w:b/>
              </w:rPr>
            </w:pPr>
            <w:r>
              <w:rPr>
                <w:b/>
              </w:rPr>
              <w:t>Cautions and side effects</w:t>
            </w:r>
          </w:p>
        </w:tc>
        <w:tc>
          <w:tcPr>
            <w:tcW w:w="6493" w:type="dxa"/>
          </w:tcPr>
          <w:p w:rsidR="008F03B5" w:rsidRDefault="00586B9B">
            <w:pPr>
              <w:pStyle w:val="TableParagraph"/>
              <w:numPr>
                <w:ilvl w:val="0"/>
                <w:numId w:val="2"/>
              </w:numPr>
              <w:tabs>
                <w:tab w:val="left" w:pos="465"/>
                <w:tab w:val="left" w:pos="466"/>
              </w:tabs>
              <w:spacing w:line="273" w:lineRule="auto"/>
              <w:ind w:right="723"/>
            </w:pPr>
            <w:r>
              <w:t>Contra-indicated in hypercalcaemia or in obstructive bowel disease.</w:t>
            </w:r>
          </w:p>
          <w:p w:rsidR="008F03B5" w:rsidRDefault="00586B9B">
            <w:pPr>
              <w:pStyle w:val="TableParagraph"/>
              <w:numPr>
                <w:ilvl w:val="0"/>
                <w:numId w:val="2"/>
              </w:numPr>
              <w:tabs>
                <w:tab w:val="left" w:pos="465"/>
                <w:tab w:val="left" w:pos="466"/>
              </w:tabs>
              <w:spacing w:before="2"/>
              <w:ind w:hanging="361"/>
            </w:pPr>
            <w:r>
              <w:t>Concomitant use with sorbitol is not recommended due to</w:t>
            </w:r>
            <w:r>
              <w:rPr>
                <w:spacing w:val="-17"/>
              </w:rPr>
              <w:t xml:space="preserve"> </w:t>
            </w:r>
            <w:r>
              <w:t>gastro-</w:t>
            </w:r>
          </w:p>
          <w:p w:rsidR="008F03B5" w:rsidRDefault="00586B9B">
            <w:pPr>
              <w:pStyle w:val="TableParagraph"/>
              <w:spacing w:before="41"/>
              <w:ind w:left="465"/>
            </w:pPr>
            <w:r>
              <w:t>intestinal stenosis and intestinal ischaemia.</w:t>
            </w:r>
          </w:p>
        </w:tc>
      </w:tr>
    </w:tbl>
    <w:p w:rsidR="008F03B5" w:rsidRDefault="008F03B5">
      <w:pPr>
        <w:pStyle w:val="a3"/>
        <w:rPr>
          <w:b/>
          <w:sz w:val="20"/>
        </w:rPr>
      </w:pPr>
    </w:p>
    <w:p w:rsidR="008F03B5" w:rsidRDefault="008F03B5">
      <w:pPr>
        <w:pStyle w:val="a3"/>
        <w:rPr>
          <w:b/>
          <w:sz w:val="20"/>
        </w:rPr>
      </w:pPr>
    </w:p>
    <w:p w:rsidR="008F03B5" w:rsidRDefault="008F03B5">
      <w:pPr>
        <w:pStyle w:val="a3"/>
        <w:rPr>
          <w:b/>
          <w:sz w:val="20"/>
        </w:rPr>
      </w:pPr>
    </w:p>
    <w:p w:rsidR="008F03B5" w:rsidRDefault="008F03B5">
      <w:pPr>
        <w:pStyle w:val="a3"/>
        <w:spacing w:before="5"/>
        <w:rPr>
          <w:b/>
        </w:rPr>
      </w:pPr>
    </w:p>
    <w:p w:rsidR="008F03B5" w:rsidRDefault="00586B9B">
      <w:pPr>
        <w:spacing w:before="52"/>
        <w:ind w:left="217"/>
        <w:rPr>
          <w:b/>
          <w:sz w:val="24"/>
        </w:rPr>
      </w:pPr>
      <w:r>
        <w:rPr>
          <w:b/>
          <w:color w:val="44536A"/>
          <w:sz w:val="24"/>
        </w:rPr>
        <w:t>References</w:t>
      </w:r>
    </w:p>
    <w:p w:rsidR="008F03B5" w:rsidRDefault="00586B9B">
      <w:pPr>
        <w:pStyle w:val="a3"/>
        <w:tabs>
          <w:tab w:val="left" w:pos="1069"/>
        </w:tabs>
        <w:spacing w:before="40" w:line="276" w:lineRule="auto"/>
        <w:ind w:left="1070" w:right="292" w:hanging="425"/>
      </w:pPr>
      <w:r>
        <w:t>1.</w:t>
      </w:r>
      <w:r>
        <w:tab/>
        <w:t>Electronic Medicines Compendium (2018) ‘Summary of Product Characteristics – Calcium Resonium 99.934% w/w powder for oral/rectal suspension – Sanofi’. Available at</w:t>
      </w:r>
      <w:r>
        <w:rPr>
          <w:color w:val="0462C1"/>
        </w:rPr>
        <w:t xml:space="preserve"> </w:t>
      </w:r>
      <w:hyperlink r:id="rId34">
        <w:r>
          <w:rPr>
            <w:color w:val="0462C1"/>
            <w:u w:val="single" w:color="0462C1"/>
          </w:rPr>
          <w:t>https://www.medicines.org.uk/emc/product/1439</w:t>
        </w:r>
      </w:hyperlink>
      <w:r>
        <w:t>. Accessed</w:t>
      </w:r>
      <w:r>
        <w:rPr>
          <w:spacing w:val="-2"/>
        </w:rPr>
        <w:t xml:space="preserve"> </w:t>
      </w:r>
      <w:r>
        <w:t>06.05.2019</w:t>
      </w:r>
    </w:p>
    <w:p w:rsidR="008F03B5" w:rsidRDefault="008F03B5">
      <w:pPr>
        <w:spacing w:line="276" w:lineRule="auto"/>
        <w:sectPr w:rsidR="008F03B5">
          <w:pgSz w:w="11910" w:h="16840"/>
          <w:pgMar w:top="1540" w:right="780" w:bottom="1100" w:left="860" w:header="425" w:footer="912" w:gutter="0"/>
          <w:cols w:space="720"/>
        </w:sectPr>
      </w:pPr>
    </w:p>
    <w:p w:rsidR="008F03B5" w:rsidRDefault="00586B9B">
      <w:pPr>
        <w:pStyle w:val="2"/>
        <w:spacing w:before="119"/>
      </w:pPr>
      <w:bookmarkStart w:id="38" w:name="_bookmark56"/>
      <w:bookmarkEnd w:id="38"/>
      <w:r>
        <w:rPr>
          <w:color w:val="1F4E79"/>
        </w:rPr>
        <w:lastRenderedPageBreak/>
        <w:t>Appendix 4 – Sine wave ECG</w:t>
      </w:r>
    </w:p>
    <w:p w:rsidR="008F03B5" w:rsidRDefault="008F03B5">
      <w:pPr>
        <w:pStyle w:val="a3"/>
        <w:rPr>
          <w:b/>
          <w:sz w:val="20"/>
        </w:rPr>
      </w:pPr>
    </w:p>
    <w:p w:rsidR="008F03B5" w:rsidRDefault="00586B9B">
      <w:pPr>
        <w:pStyle w:val="a3"/>
        <w:spacing w:before="1"/>
        <w:rPr>
          <w:b/>
          <w:sz w:val="19"/>
        </w:rPr>
      </w:pPr>
      <w:r>
        <w:rPr>
          <w:noProof/>
        </w:rPr>
        <w:drawing>
          <wp:anchor distT="0" distB="0" distL="0" distR="0" simplePos="0" relativeHeight="41" behindDoc="0" locked="0" layoutInCell="1" allowOverlap="1">
            <wp:simplePos x="0" y="0"/>
            <wp:positionH relativeFrom="page">
              <wp:posOffset>685160</wp:posOffset>
            </wp:positionH>
            <wp:positionV relativeFrom="paragraph">
              <wp:posOffset>172938</wp:posOffset>
            </wp:positionV>
            <wp:extent cx="5638865" cy="3750468"/>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5" cstate="print"/>
                    <a:stretch>
                      <a:fillRect/>
                    </a:stretch>
                  </pic:blipFill>
                  <pic:spPr>
                    <a:xfrm>
                      <a:off x="0" y="0"/>
                      <a:ext cx="5638865" cy="3750468"/>
                    </a:xfrm>
                    <a:prstGeom prst="rect">
                      <a:avLst/>
                    </a:prstGeom>
                  </pic:spPr>
                </pic:pic>
              </a:graphicData>
            </a:graphic>
          </wp:anchor>
        </w:drawing>
      </w:r>
    </w:p>
    <w:p w:rsidR="008F03B5" w:rsidRDefault="008F03B5">
      <w:pPr>
        <w:rPr>
          <w:sz w:val="19"/>
        </w:rPr>
        <w:sectPr w:rsidR="008F03B5">
          <w:pgSz w:w="11910" w:h="16840"/>
          <w:pgMar w:top="1540" w:right="780" w:bottom="1100" w:left="860" w:header="425" w:footer="912" w:gutter="0"/>
          <w:cols w:space="720"/>
        </w:sectPr>
      </w:pPr>
    </w:p>
    <w:p w:rsidR="008F03B5" w:rsidRDefault="00586B9B">
      <w:pPr>
        <w:pStyle w:val="2"/>
        <w:spacing w:before="119"/>
      </w:pPr>
      <w:bookmarkStart w:id="39" w:name="_bookmark57"/>
      <w:bookmarkEnd w:id="39"/>
      <w:r>
        <w:rPr>
          <w:color w:val="1F4E79"/>
        </w:rPr>
        <w:lastRenderedPageBreak/>
        <w:t>Appendix 5 – Hyperkalaemia Algorithm - Community</w:t>
      </w:r>
    </w:p>
    <w:p w:rsidR="008F03B5" w:rsidRDefault="008F03B5">
      <w:pPr>
        <w:pStyle w:val="a3"/>
        <w:rPr>
          <w:b/>
          <w:sz w:val="20"/>
        </w:rPr>
      </w:pPr>
    </w:p>
    <w:p w:rsidR="008F03B5" w:rsidRDefault="00586B9B">
      <w:pPr>
        <w:pStyle w:val="a3"/>
        <w:spacing w:before="1"/>
        <w:rPr>
          <w:b/>
          <w:sz w:val="18"/>
        </w:rPr>
      </w:pPr>
      <w:r>
        <w:rPr>
          <w:noProof/>
        </w:rPr>
        <w:drawing>
          <wp:anchor distT="0" distB="0" distL="0" distR="0" simplePos="0" relativeHeight="42" behindDoc="0" locked="0" layoutInCell="1" allowOverlap="1">
            <wp:simplePos x="0" y="0"/>
            <wp:positionH relativeFrom="page">
              <wp:posOffset>1121608</wp:posOffset>
            </wp:positionH>
            <wp:positionV relativeFrom="paragraph">
              <wp:posOffset>165462</wp:posOffset>
            </wp:positionV>
            <wp:extent cx="5202985" cy="7392924"/>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36" cstate="print"/>
                    <a:stretch>
                      <a:fillRect/>
                    </a:stretch>
                  </pic:blipFill>
                  <pic:spPr>
                    <a:xfrm>
                      <a:off x="0" y="0"/>
                      <a:ext cx="5202985" cy="7392924"/>
                    </a:xfrm>
                    <a:prstGeom prst="rect">
                      <a:avLst/>
                    </a:prstGeom>
                  </pic:spPr>
                </pic:pic>
              </a:graphicData>
            </a:graphic>
          </wp:anchor>
        </w:drawing>
      </w:r>
    </w:p>
    <w:p w:rsidR="008F03B5" w:rsidRDefault="008F03B5">
      <w:pPr>
        <w:rPr>
          <w:sz w:val="18"/>
        </w:rPr>
        <w:sectPr w:rsidR="008F03B5">
          <w:pgSz w:w="11910" w:h="16840"/>
          <w:pgMar w:top="1540" w:right="780" w:bottom="1100" w:left="860" w:header="425" w:footer="912" w:gutter="0"/>
          <w:cols w:space="720"/>
        </w:sectPr>
      </w:pPr>
    </w:p>
    <w:p w:rsidR="008F03B5" w:rsidRDefault="00586B9B">
      <w:pPr>
        <w:pStyle w:val="2"/>
        <w:spacing w:before="119"/>
      </w:pPr>
      <w:bookmarkStart w:id="40" w:name="_bookmark58"/>
      <w:bookmarkEnd w:id="40"/>
      <w:r>
        <w:rPr>
          <w:color w:val="1F4E79"/>
        </w:rPr>
        <w:lastRenderedPageBreak/>
        <w:t>Appendix 6 – Hyperkalaemia Algorithm – Hospital</w:t>
      </w:r>
    </w:p>
    <w:p w:rsidR="008F03B5" w:rsidRDefault="00586B9B">
      <w:pPr>
        <w:pStyle w:val="a3"/>
        <w:spacing w:before="2"/>
        <w:rPr>
          <w:b/>
          <w:sz w:val="29"/>
        </w:rPr>
      </w:pPr>
      <w:r>
        <w:rPr>
          <w:noProof/>
        </w:rPr>
        <w:drawing>
          <wp:anchor distT="0" distB="0" distL="0" distR="0" simplePos="0" relativeHeight="43" behindDoc="0" locked="0" layoutInCell="1" allowOverlap="1">
            <wp:simplePos x="0" y="0"/>
            <wp:positionH relativeFrom="page">
              <wp:posOffset>1064743</wp:posOffset>
            </wp:positionH>
            <wp:positionV relativeFrom="paragraph">
              <wp:posOffset>251342</wp:posOffset>
            </wp:positionV>
            <wp:extent cx="5381394" cy="7696295"/>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37" cstate="print"/>
                    <a:stretch>
                      <a:fillRect/>
                    </a:stretch>
                  </pic:blipFill>
                  <pic:spPr>
                    <a:xfrm>
                      <a:off x="0" y="0"/>
                      <a:ext cx="5381394" cy="7696295"/>
                    </a:xfrm>
                    <a:prstGeom prst="rect">
                      <a:avLst/>
                    </a:prstGeom>
                  </pic:spPr>
                </pic:pic>
              </a:graphicData>
            </a:graphic>
          </wp:anchor>
        </w:drawing>
      </w:r>
    </w:p>
    <w:p w:rsidR="008F03B5" w:rsidRDefault="008F03B5">
      <w:pPr>
        <w:rPr>
          <w:sz w:val="29"/>
        </w:rPr>
        <w:sectPr w:rsidR="008F03B5">
          <w:pgSz w:w="11910" w:h="16840"/>
          <w:pgMar w:top="1540" w:right="780" w:bottom="1100" w:left="860" w:header="425" w:footer="912" w:gutter="0"/>
          <w:cols w:space="720"/>
        </w:sectPr>
      </w:pPr>
    </w:p>
    <w:p w:rsidR="008F03B5" w:rsidRDefault="00586B9B">
      <w:pPr>
        <w:pStyle w:val="2"/>
        <w:spacing w:before="119"/>
      </w:pPr>
      <w:bookmarkStart w:id="41" w:name="_bookmark59"/>
      <w:bookmarkEnd w:id="41"/>
      <w:r>
        <w:rPr>
          <w:color w:val="1F4E79"/>
        </w:rPr>
        <w:lastRenderedPageBreak/>
        <w:t>Appendix 7 – Hyperkalaemia Algorithm – Resuscitation</w:t>
      </w:r>
    </w:p>
    <w:p w:rsidR="008F03B5" w:rsidRDefault="00586B9B">
      <w:pPr>
        <w:pStyle w:val="a3"/>
        <w:spacing w:before="3"/>
        <w:rPr>
          <w:b/>
          <w:sz w:val="29"/>
        </w:rPr>
      </w:pPr>
      <w:r>
        <w:rPr>
          <w:noProof/>
        </w:rPr>
        <w:drawing>
          <wp:anchor distT="0" distB="0" distL="0" distR="0" simplePos="0" relativeHeight="44" behindDoc="0" locked="0" layoutInCell="1" allowOverlap="1">
            <wp:simplePos x="0" y="0"/>
            <wp:positionH relativeFrom="page">
              <wp:posOffset>989667</wp:posOffset>
            </wp:positionH>
            <wp:positionV relativeFrom="paragraph">
              <wp:posOffset>251638</wp:posOffset>
            </wp:positionV>
            <wp:extent cx="5409385" cy="7621619"/>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38" cstate="print"/>
                    <a:stretch>
                      <a:fillRect/>
                    </a:stretch>
                  </pic:blipFill>
                  <pic:spPr>
                    <a:xfrm>
                      <a:off x="0" y="0"/>
                      <a:ext cx="5409385" cy="7621619"/>
                    </a:xfrm>
                    <a:prstGeom prst="rect">
                      <a:avLst/>
                    </a:prstGeom>
                  </pic:spPr>
                </pic:pic>
              </a:graphicData>
            </a:graphic>
          </wp:anchor>
        </w:drawing>
      </w:r>
    </w:p>
    <w:p w:rsidR="008F03B5" w:rsidRDefault="008F03B5">
      <w:pPr>
        <w:rPr>
          <w:sz w:val="29"/>
        </w:rPr>
        <w:sectPr w:rsidR="008F03B5">
          <w:pgSz w:w="11910" w:h="16840"/>
          <w:pgMar w:top="1540" w:right="780" w:bottom="1100" w:left="860" w:header="425" w:footer="912" w:gutter="0"/>
          <w:cols w:space="720"/>
        </w:sectPr>
      </w:pPr>
    </w:p>
    <w:p w:rsidR="008F03B5" w:rsidRDefault="00586B9B">
      <w:pPr>
        <w:pStyle w:val="1"/>
        <w:spacing w:before="119"/>
      </w:pPr>
      <w:bookmarkStart w:id="42" w:name="_bookmark60"/>
      <w:bookmarkEnd w:id="42"/>
      <w:r>
        <w:rPr>
          <w:color w:val="44536A"/>
        </w:rPr>
        <w:lastRenderedPageBreak/>
        <w:t>Abbreviations</w:t>
      </w:r>
    </w:p>
    <w:p w:rsidR="008F03B5" w:rsidRDefault="008F03B5">
      <w:pPr>
        <w:pStyle w:val="a3"/>
        <w:spacing w:before="8"/>
        <w:rPr>
          <w:b/>
          <w:sz w:val="23"/>
        </w:rPr>
      </w:pPr>
    </w:p>
    <w:p w:rsidR="008F03B5" w:rsidRDefault="00586B9B">
      <w:pPr>
        <w:pStyle w:val="a3"/>
        <w:tabs>
          <w:tab w:val="left" w:pos="1657"/>
        </w:tabs>
        <w:spacing w:line="384" w:lineRule="auto"/>
        <w:ind w:left="217" w:right="2693"/>
      </w:pPr>
      <w:r>
        <w:t>AAGBIG</w:t>
      </w:r>
      <w:r>
        <w:tab/>
        <w:t>Association of Anaesthetists of Great Britain and Ireland Guideline ABCDE</w:t>
      </w:r>
      <w:r>
        <w:tab/>
        <w:t>Airway – Breathing – Circulation – Disability –</w:t>
      </w:r>
      <w:r>
        <w:rPr>
          <w:spacing w:val="-5"/>
        </w:rPr>
        <w:t xml:space="preserve"> </w:t>
      </w:r>
      <w:r>
        <w:t>Exposure</w:t>
      </w:r>
    </w:p>
    <w:p w:rsidR="008F03B5" w:rsidRDefault="00586B9B">
      <w:pPr>
        <w:pStyle w:val="a3"/>
        <w:tabs>
          <w:tab w:val="left" w:pos="1657"/>
        </w:tabs>
        <w:spacing w:line="266" w:lineRule="exact"/>
        <w:ind w:left="217"/>
      </w:pPr>
      <w:r>
        <w:t>ACC</w:t>
      </w:r>
      <w:r>
        <w:tab/>
        <w:t>American College of</w:t>
      </w:r>
      <w:r>
        <w:rPr>
          <w:spacing w:val="-7"/>
        </w:rPr>
        <w:t xml:space="preserve"> </w:t>
      </w:r>
      <w:r>
        <w:t>Cardiology</w:t>
      </w:r>
    </w:p>
    <w:p w:rsidR="008F03B5" w:rsidRDefault="00586B9B">
      <w:pPr>
        <w:pStyle w:val="a3"/>
        <w:tabs>
          <w:tab w:val="left" w:pos="1657"/>
        </w:tabs>
        <w:spacing w:before="161" w:line="384" w:lineRule="auto"/>
        <w:ind w:left="217" w:right="4975"/>
      </w:pPr>
      <w:r>
        <w:t>ACE-i</w:t>
      </w:r>
      <w:r>
        <w:tab/>
        <w:t>Angiotensin converting enzyme inhibitor AED</w:t>
      </w:r>
      <w:r>
        <w:tab/>
        <w:t>Automated External</w:t>
      </w:r>
      <w:r>
        <w:rPr>
          <w:spacing w:val="-4"/>
        </w:rPr>
        <w:t xml:space="preserve"> </w:t>
      </w:r>
      <w:r>
        <w:t>Defibrillator</w:t>
      </w:r>
    </w:p>
    <w:p w:rsidR="008F03B5" w:rsidRDefault="00586B9B">
      <w:pPr>
        <w:pStyle w:val="a3"/>
        <w:tabs>
          <w:tab w:val="left" w:pos="1657"/>
        </w:tabs>
        <w:spacing w:line="266" w:lineRule="exact"/>
        <w:ind w:left="217"/>
      </w:pPr>
      <w:r>
        <w:t>AHA</w:t>
      </w:r>
      <w:r>
        <w:tab/>
        <w:t>American Heart</w:t>
      </w:r>
      <w:r>
        <w:rPr>
          <w:spacing w:val="-8"/>
        </w:rPr>
        <w:t xml:space="preserve"> </w:t>
      </w:r>
      <w:r>
        <w:t>Association</w:t>
      </w:r>
    </w:p>
    <w:p w:rsidR="008F03B5" w:rsidRDefault="00586B9B">
      <w:pPr>
        <w:pStyle w:val="a3"/>
        <w:tabs>
          <w:tab w:val="left" w:pos="1657"/>
        </w:tabs>
        <w:spacing w:before="162"/>
        <w:ind w:left="217"/>
      </w:pPr>
      <w:r>
        <w:t>AKI</w:t>
      </w:r>
      <w:r>
        <w:tab/>
        <w:t>Acute Kidney</w:t>
      </w:r>
      <w:r>
        <w:rPr>
          <w:spacing w:val="-1"/>
        </w:rPr>
        <w:t xml:space="preserve"> </w:t>
      </w:r>
      <w:r>
        <w:t>Injury</w:t>
      </w:r>
    </w:p>
    <w:p w:rsidR="008F03B5" w:rsidRDefault="00586B9B">
      <w:pPr>
        <w:pStyle w:val="a3"/>
        <w:tabs>
          <w:tab w:val="left" w:pos="1657"/>
        </w:tabs>
        <w:spacing w:before="161"/>
        <w:ind w:left="217"/>
      </w:pPr>
      <w:r>
        <w:t>ALS</w:t>
      </w:r>
      <w:r>
        <w:tab/>
        <w:t>Advanced Life</w:t>
      </w:r>
      <w:r>
        <w:rPr>
          <w:spacing w:val="-3"/>
        </w:rPr>
        <w:t xml:space="preserve"> </w:t>
      </w:r>
      <w:r>
        <w:t>Support</w:t>
      </w:r>
    </w:p>
    <w:p w:rsidR="008F03B5" w:rsidRDefault="00586B9B">
      <w:pPr>
        <w:pStyle w:val="a3"/>
        <w:tabs>
          <w:tab w:val="left" w:pos="1657"/>
        </w:tabs>
        <w:spacing w:before="159"/>
        <w:ind w:left="217"/>
      </w:pPr>
      <w:r>
        <w:t>ARB</w:t>
      </w:r>
      <w:r>
        <w:tab/>
        <w:t>Angiotensin II receptor</w:t>
      </w:r>
      <w:r>
        <w:rPr>
          <w:spacing w:val="-2"/>
        </w:rPr>
        <w:t xml:space="preserve"> </w:t>
      </w:r>
      <w:r>
        <w:t>blocker</w:t>
      </w:r>
    </w:p>
    <w:p w:rsidR="008F03B5" w:rsidRDefault="00586B9B">
      <w:pPr>
        <w:pStyle w:val="a3"/>
        <w:tabs>
          <w:tab w:val="left" w:pos="1657"/>
        </w:tabs>
        <w:spacing w:before="161"/>
        <w:ind w:left="217"/>
      </w:pPr>
      <w:r>
        <w:t>ARDS</w:t>
      </w:r>
      <w:r>
        <w:tab/>
        <w:t>Adult respiratory distress</w:t>
      </w:r>
      <w:r>
        <w:rPr>
          <w:spacing w:val="-3"/>
        </w:rPr>
        <w:t xml:space="preserve"> </w:t>
      </w:r>
      <w:r>
        <w:t>syndrome</w:t>
      </w:r>
    </w:p>
    <w:p w:rsidR="008F03B5" w:rsidRDefault="00586B9B">
      <w:pPr>
        <w:pStyle w:val="a3"/>
        <w:tabs>
          <w:tab w:val="left" w:pos="1657"/>
        </w:tabs>
        <w:spacing w:before="161"/>
        <w:ind w:left="217"/>
      </w:pPr>
      <w:r>
        <w:t>AUC</w:t>
      </w:r>
      <w:r>
        <w:tab/>
        <w:t>Area under the</w:t>
      </w:r>
      <w:r>
        <w:rPr>
          <w:spacing w:val="-3"/>
        </w:rPr>
        <w:t xml:space="preserve"> </w:t>
      </w:r>
      <w:r>
        <w:t>curve</w:t>
      </w:r>
    </w:p>
    <w:p w:rsidR="008F03B5" w:rsidRDefault="00586B9B">
      <w:pPr>
        <w:pStyle w:val="a3"/>
        <w:tabs>
          <w:tab w:val="left" w:pos="1657"/>
        </w:tabs>
        <w:spacing w:before="158"/>
        <w:ind w:left="217"/>
      </w:pPr>
      <w:r>
        <w:t>AV</w:t>
      </w:r>
      <w:r>
        <w:tab/>
        <w:t>Artero-venous</w:t>
      </w:r>
    </w:p>
    <w:p w:rsidR="008F03B5" w:rsidRDefault="00586B9B">
      <w:pPr>
        <w:pStyle w:val="a3"/>
        <w:tabs>
          <w:tab w:val="left" w:pos="1657"/>
        </w:tabs>
        <w:spacing w:before="162"/>
        <w:ind w:left="217"/>
      </w:pPr>
      <w:r>
        <w:t>AVPU</w:t>
      </w:r>
      <w:r>
        <w:tab/>
        <w:t>Alert – Verbal – Pain -</w:t>
      </w:r>
      <w:r>
        <w:rPr>
          <w:spacing w:val="-6"/>
        </w:rPr>
        <w:t xml:space="preserve"> </w:t>
      </w:r>
      <w:r>
        <w:t>Unresponsive</w:t>
      </w:r>
    </w:p>
    <w:p w:rsidR="008F03B5" w:rsidRDefault="00586B9B">
      <w:pPr>
        <w:pStyle w:val="a3"/>
        <w:tabs>
          <w:tab w:val="left" w:pos="1657"/>
        </w:tabs>
        <w:spacing w:before="161"/>
        <w:ind w:left="217"/>
      </w:pPr>
      <w:r>
        <w:t>BGA</w:t>
      </w:r>
      <w:r>
        <w:tab/>
        <w:t>Blood gas</w:t>
      </w:r>
      <w:r>
        <w:rPr>
          <w:spacing w:val="-4"/>
        </w:rPr>
        <w:t xml:space="preserve"> </w:t>
      </w:r>
      <w:r>
        <w:t>analyser</w:t>
      </w:r>
    </w:p>
    <w:p w:rsidR="008F03B5" w:rsidRDefault="00586B9B">
      <w:pPr>
        <w:pStyle w:val="a3"/>
        <w:tabs>
          <w:tab w:val="left" w:pos="1657"/>
        </w:tabs>
        <w:spacing w:before="159"/>
        <w:ind w:left="217"/>
      </w:pPr>
      <w:r>
        <w:t>BM</w:t>
      </w:r>
      <w:r>
        <w:tab/>
        <w:t>Blood</w:t>
      </w:r>
      <w:r>
        <w:rPr>
          <w:spacing w:val="-4"/>
        </w:rPr>
        <w:t xml:space="preserve"> </w:t>
      </w:r>
      <w:r>
        <w:t>glucose</w:t>
      </w:r>
    </w:p>
    <w:p w:rsidR="008F03B5" w:rsidRDefault="00586B9B">
      <w:pPr>
        <w:pStyle w:val="a3"/>
        <w:tabs>
          <w:tab w:val="left" w:pos="1657"/>
        </w:tabs>
        <w:spacing w:before="161"/>
        <w:ind w:left="217"/>
      </w:pPr>
      <w:r>
        <w:t>BP</w:t>
      </w:r>
      <w:r>
        <w:tab/>
        <w:t>Blood</w:t>
      </w:r>
      <w:r>
        <w:rPr>
          <w:spacing w:val="-4"/>
        </w:rPr>
        <w:t xml:space="preserve"> </w:t>
      </w:r>
      <w:r>
        <w:t>pressure</w:t>
      </w:r>
    </w:p>
    <w:p w:rsidR="008F03B5" w:rsidRDefault="00586B9B">
      <w:pPr>
        <w:pStyle w:val="a3"/>
        <w:tabs>
          <w:tab w:val="left" w:pos="1657"/>
        </w:tabs>
        <w:spacing w:before="161"/>
        <w:ind w:left="217"/>
      </w:pPr>
      <w:r>
        <w:t>Ca</w:t>
      </w:r>
      <w:r>
        <w:rPr>
          <w:vertAlign w:val="superscript"/>
        </w:rPr>
        <w:t>2+</w:t>
      </w:r>
      <w:r>
        <w:tab/>
        <w:t>Calcium ion</w:t>
      </w:r>
    </w:p>
    <w:p w:rsidR="008F03B5" w:rsidRDefault="00586B9B">
      <w:pPr>
        <w:pStyle w:val="a3"/>
        <w:tabs>
          <w:tab w:val="left" w:pos="1657"/>
        </w:tabs>
        <w:spacing w:before="158"/>
        <w:ind w:left="217"/>
      </w:pPr>
      <w:r>
        <w:t>CKD</w:t>
      </w:r>
      <w:r>
        <w:tab/>
        <w:t>Chronic kidney</w:t>
      </w:r>
      <w:r>
        <w:rPr>
          <w:spacing w:val="-1"/>
        </w:rPr>
        <w:t xml:space="preserve"> </w:t>
      </w:r>
      <w:r>
        <w:t>disease</w:t>
      </w:r>
    </w:p>
    <w:p w:rsidR="008F03B5" w:rsidRDefault="00586B9B">
      <w:pPr>
        <w:pStyle w:val="a3"/>
        <w:tabs>
          <w:tab w:val="left" w:pos="1657"/>
        </w:tabs>
        <w:spacing w:before="161"/>
        <w:ind w:left="217"/>
      </w:pPr>
      <w:r>
        <w:t>CPR</w:t>
      </w:r>
      <w:r>
        <w:tab/>
        <w:t>Cardiopulmonary</w:t>
      </w:r>
      <w:r>
        <w:rPr>
          <w:spacing w:val="-3"/>
        </w:rPr>
        <w:t xml:space="preserve"> </w:t>
      </w:r>
      <w:r>
        <w:t>resuscitation</w:t>
      </w:r>
    </w:p>
    <w:p w:rsidR="008F03B5" w:rsidRDefault="00586B9B">
      <w:pPr>
        <w:pStyle w:val="a3"/>
        <w:tabs>
          <w:tab w:val="left" w:pos="1657"/>
        </w:tabs>
        <w:spacing w:before="161"/>
        <w:ind w:left="217"/>
      </w:pPr>
      <w:r>
        <w:t>CPS</w:t>
      </w:r>
      <w:r>
        <w:tab/>
        <w:t>Calcium polystyrene sulphonate</w:t>
      </w:r>
    </w:p>
    <w:p w:rsidR="008F03B5" w:rsidRDefault="00586B9B">
      <w:pPr>
        <w:pStyle w:val="a3"/>
        <w:tabs>
          <w:tab w:val="left" w:pos="1657"/>
        </w:tabs>
        <w:spacing w:before="161"/>
        <w:ind w:left="217"/>
      </w:pPr>
      <w:r>
        <w:t>CV</w:t>
      </w:r>
      <w:r>
        <w:tab/>
        <w:t>Cardiovascular</w:t>
      </w:r>
    </w:p>
    <w:p w:rsidR="008F03B5" w:rsidRDefault="00586B9B">
      <w:pPr>
        <w:pStyle w:val="a3"/>
        <w:tabs>
          <w:tab w:val="left" w:pos="1657"/>
        </w:tabs>
        <w:spacing w:before="160" w:line="384" w:lineRule="auto"/>
        <w:ind w:left="217" w:right="4657"/>
      </w:pPr>
      <w:r>
        <w:t>CVVH</w:t>
      </w:r>
      <w:r>
        <w:tab/>
        <w:t>Continuous veno-venous haemofiltration CVVHDF</w:t>
      </w:r>
      <w:r>
        <w:tab/>
        <w:t>Continuous veno-venous haemodiafiltration DM</w:t>
      </w:r>
      <w:r>
        <w:tab/>
        <w:t>Diabetes</w:t>
      </w:r>
      <w:r>
        <w:rPr>
          <w:spacing w:val="-1"/>
        </w:rPr>
        <w:t xml:space="preserve"> </w:t>
      </w:r>
      <w:r>
        <w:t>Mellitus</w:t>
      </w:r>
    </w:p>
    <w:p w:rsidR="008F03B5" w:rsidRDefault="00586B9B">
      <w:pPr>
        <w:pStyle w:val="a3"/>
        <w:tabs>
          <w:tab w:val="left" w:pos="1657"/>
        </w:tabs>
        <w:spacing w:line="384" w:lineRule="auto"/>
        <w:ind w:left="217" w:right="4324"/>
      </w:pPr>
      <w:r>
        <w:t>DNACPR</w:t>
      </w:r>
      <w:r>
        <w:tab/>
        <w:t>Do Not Attempt Cardiopulmonary Resuscitation DOPPS</w:t>
      </w:r>
      <w:r>
        <w:tab/>
        <w:t>Dialysis Outcomes and Practice Patterns Study ECG</w:t>
      </w:r>
      <w:r>
        <w:tab/>
        <w:t>Electrocardiogram</w:t>
      </w:r>
    </w:p>
    <w:p w:rsidR="008F03B5" w:rsidRDefault="00586B9B">
      <w:pPr>
        <w:pStyle w:val="a3"/>
        <w:tabs>
          <w:tab w:val="left" w:pos="1657"/>
        </w:tabs>
        <w:spacing w:line="384" w:lineRule="auto"/>
        <w:ind w:left="217" w:right="5034"/>
      </w:pPr>
      <w:r>
        <w:t>ECMO</w:t>
      </w:r>
      <w:r>
        <w:tab/>
        <w:t>Extra-corporeal membrane oxygenation eGFR</w:t>
      </w:r>
      <w:r>
        <w:tab/>
        <w:t>Estimated glomerular filtration</w:t>
      </w:r>
      <w:r>
        <w:rPr>
          <w:spacing w:val="-4"/>
        </w:rPr>
        <w:t xml:space="preserve"> </w:t>
      </w:r>
      <w:r>
        <w:t>rate</w:t>
      </w:r>
    </w:p>
    <w:p w:rsidR="008F03B5" w:rsidRDefault="00586B9B">
      <w:pPr>
        <w:pStyle w:val="a3"/>
        <w:tabs>
          <w:tab w:val="left" w:pos="1657"/>
        </w:tabs>
        <w:ind w:left="217"/>
      </w:pPr>
      <w:r>
        <w:t>EMA</w:t>
      </w:r>
      <w:r>
        <w:tab/>
        <w:t>European Medicines</w:t>
      </w:r>
      <w:r>
        <w:rPr>
          <w:spacing w:val="-4"/>
        </w:rPr>
        <w:t xml:space="preserve"> </w:t>
      </w:r>
      <w:r>
        <w:t>Agency</w:t>
      </w:r>
    </w:p>
    <w:p w:rsidR="008F03B5" w:rsidRDefault="008F03B5">
      <w:pPr>
        <w:sectPr w:rsidR="008F03B5">
          <w:pgSz w:w="11910" w:h="16840"/>
          <w:pgMar w:top="1540" w:right="780" w:bottom="1100" w:left="860" w:header="425" w:footer="912" w:gutter="0"/>
          <w:cols w:space="720"/>
        </w:sectPr>
      </w:pPr>
    </w:p>
    <w:p w:rsidR="008F03B5" w:rsidRDefault="00586B9B">
      <w:pPr>
        <w:pStyle w:val="a3"/>
        <w:tabs>
          <w:tab w:val="left" w:pos="1657"/>
        </w:tabs>
        <w:spacing w:before="116"/>
        <w:ind w:left="217"/>
      </w:pPr>
      <w:r>
        <w:lastRenderedPageBreak/>
        <w:t>ERC</w:t>
      </w:r>
      <w:r>
        <w:tab/>
        <w:t>European Resuscitation</w:t>
      </w:r>
      <w:r>
        <w:rPr>
          <w:spacing w:val="-8"/>
        </w:rPr>
        <w:t xml:space="preserve"> </w:t>
      </w:r>
      <w:r>
        <w:t>Council</w:t>
      </w:r>
    </w:p>
    <w:p w:rsidR="008F03B5" w:rsidRDefault="00586B9B">
      <w:pPr>
        <w:pStyle w:val="a3"/>
        <w:tabs>
          <w:tab w:val="left" w:pos="1657"/>
        </w:tabs>
        <w:spacing w:before="161"/>
        <w:ind w:left="217"/>
      </w:pPr>
      <w:r>
        <w:t>ESC</w:t>
      </w:r>
      <w:r>
        <w:tab/>
        <w:t>European Society of</w:t>
      </w:r>
      <w:r>
        <w:rPr>
          <w:spacing w:val="-7"/>
        </w:rPr>
        <w:t xml:space="preserve"> </w:t>
      </w:r>
      <w:r>
        <w:t>Cardiology</w:t>
      </w:r>
    </w:p>
    <w:p w:rsidR="008F03B5" w:rsidRDefault="00586B9B">
      <w:pPr>
        <w:pStyle w:val="a3"/>
        <w:tabs>
          <w:tab w:val="left" w:pos="1657"/>
        </w:tabs>
        <w:spacing w:before="159"/>
        <w:ind w:left="217"/>
      </w:pPr>
      <w:r>
        <w:t>ESRD</w:t>
      </w:r>
      <w:r>
        <w:tab/>
        <w:t>End-stage renal</w:t>
      </w:r>
      <w:r>
        <w:rPr>
          <w:spacing w:val="-1"/>
        </w:rPr>
        <w:t xml:space="preserve"> </w:t>
      </w:r>
      <w:r>
        <w:t>disease</w:t>
      </w:r>
    </w:p>
    <w:p w:rsidR="008F03B5" w:rsidRDefault="00586B9B">
      <w:pPr>
        <w:pStyle w:val="a3"/>
        <w:tabs>
          <w:tab w:val="left" w:pos="1657"/>
        </w:tabs>
        <w:spacing w:before="161"/>
        <w:ind w:left="217"/>
      </w:pPr>
      <w:r>
        <w:t>FDA</w:t>
      </w:r>
      <w:r>
        <w:tab/>
        <w:t>Food and Drug</w:t>
      </w:r>
      <w:r>
        <w:rPr>
          <w:spacing w:val="-5"/>
        </w:rPr>
        <w:t xml:space="preserve"> </w:t>
      </w:r>
      <w:r>
        <w:t>Administration</w:t>
      </w:r>
    </w:p>
    <w:p w:rsidR="008F03B5" w:rsidRDefault="00586B9B">
      <w:pPr>
        <w:pStyle w:val="a3"/>
        <w:tabs>
          <w:tab w:val="left" w:pos="1657"/>
        </w:tabs>
        <w:spacing w:before="161"/>
        <w:ind w:left="217"/>
      </w:pPr>
      <w:r>
        <w:t>FICM</w:t>
      </w:r>
      <w:r>
        <w:tab/>
        <w:t>Faculty of Intensive Care</w:t>
      </w:r>
      <w:r>
        <w:rPr>
          <w:spacing w:val="-6"/>
        </w:rPr>
        <w:t xml:space="preserve"> </w:t>
      </w:r>
      <w:r>
        <w:t>Medicine</w:t>
      </w:r>
    </w:p>
    <w:p w:rsidR="008F03B5" w:rsidRDefault="00586B9B">
      <w:pPr>
        <w:pStyle w:val="a3"/>
        <w:tabs>
          <w:tab w:val="left" w:pos="1657"/>
        </w:tabs>
        <w:spacing w:before="159"/>
        <w:ind w:left="217"/>
      </w:pPr>
      <w:r>
        <w:t>GCS</w:t>
      </w:r>
      <w:r>
        <w:tab/>
        <w:t>Glasgow coma</w:t>
      </w:r>
      <w:r>
        <w:rPr>
          <w:spacing w:val="-5"/>
        </w:rPr>
        <w:t xml:space="preserve"> </w:t>
      </w:r>
      <w:r>
        <w:t>scale</w:t>
      </w:r>
    </w:p>
    <w:p w:rsidR="008F03B5" w:rsidRDefault="00586B9B">
      <w:pPr>
        <w:pStyle w:val="a3"/>
        <w:tabs>
          <w:tab w:val="left" w:pos="1657"/>
        </w:tabs>
        <w:spacing w:before="161"/>
        <w:ind w:left="217"/>
      </w:pPr>
      <w:r>
        <w:t>GFR</w:t>
      </w:r>
      <w:r>
        <w:tab/>
        <w:t>Glomerular filtration</w:t>
      </w:r>
      <w:r>
        <w:rPr>
          <w:spacing w:val="-5"/>
        </w:rPr>
        <w:t xml:space="preserve"> </w:t>
      </w:r>
      <w:r>
        <w:t>rate</w:t>
      </w:r>
    </w:p>
    <w:p w:rsidR="008F03B5" w:rsidRDefault="00586B9B">
      <w:pPr>
        <w:pStyle w:val="a3"/>
        <w:tabs>
          <w:tab w:val="left" w:pos="1657"/>
        </w:tabs>
        <w:spacing w:before="161"/>
        <w:ind w:left="217"/>
      </w:pPr>
      <w:r>
        <w:t>HBP</w:t>
      </w:r>
      <w:r>
        <w:tab/>
        <w:t>Hypertension</w:t>
      </w:r>
    </w:p>
    <w:p w:rsidR="008F03B5" w:rsidRDefault="00586B9B">
      <w:pPr>
        <w:pStyle w:val="a3"/>
        <w:tabs>
          <w:tab w:val="left" w:pos="1657"/>
        </w:tabs>
        <w:spacing w:before="161"/>
        <w:ind w:left="217"/>
      </w:pPr>
      <w:r>
        <w:t>HD</w:t>
      </w:r>
      <w:r>
        <w:tab/>
        <w:t>Haemodialysis</w:t>
      </w:r>
    </w:p>
    <w:p w:rsidR="008F03B5" w:rsidRDefault="00586B9B">
      <w:pPr>
        <w:pStyle w:val="a3"/>
        <w:tabs>
          <w:tab w:val="left" w:pos="1657"/>
        </w:tabs>
        <w:spacing w:before="159"/>
        <w:ind w:left="217"/>
      </w:pPr>
      <w:r>
        <w:t>HDF</w:t>
      </w:r>
      <w:r>
        <w:tab/>
        <w:t>Haemodiafiltration</w:t>
      </w:r>
    </w:p>
    <w:p w:rsidR="008F03B5" w:rsidRDefault="00586B9B">
      <w:pPr>
        <w:pStyle w:val="a3"/>
        <w:tabs>
          <w:tab w:val="left" w:pos="1657"/>
        </w:tabs>
        <w:spacing w:before="161"/>
        <w:ind w:left="217"/>
      </w:pPr>
      <w:r>
        <w:t>HDU</w:t>
      </w:r>
      <w:r>
        <w:tab/>
        <w:t>High dependency</w:t>
      </w:r>
      <w:r>
        <w:rPr>
          <w:spacing w:val="-2"/>
        </w:rPr>
        <w:t xml:space="preserve"> </w:t>
      </w:r>
      <w:r>
        <w:t>unit</w:t>
      </w:r>
    </w:p>
    <w:p w:rsidR="008F03B5" w:rsidRDefault="00586B9B">
      <w:pPr>
        <w:pStyle w:val="a3"/>
        <w:tabs>
          <w:tab w:val="left" w:pos="1657"/>
        </w:tabs>
        <w:spacing w:before="161"/>
        <w:ind w:left="217"/>
      </w:pPr>
      <w:r>
        <w:t>HF</w:t>
      </w:r>
      <w:r>
        <w:tab/>
        <w:t>Haemofiltration</w:t>
      </w:r>
    </w:p>
    <w:p w:rsidR="008F03B5" w:rsidRDefault="00586B9B">
      <w:pPr>
        <w:pStyle w:val="a3"/>
        <w:tabs>
          <w:tab w:val="left" w:pos="1657"/>
        </w:tabs>
        <w:spacing w:before="159" w:line="384" w:lineRule="auto"/>
        <w:ind w:left="217" w:right="4724"/>
      </w:pPr>
      <w:r>
        <w:t>HFrEF</w:t>
      </w:r>
      <w:r>
        <w:tab/>
        <w:t>Heart failure with reduced ejection fraction HK</w:t>
      </w:r>
      <w:r>
        <w:tab/>
        <w:t>Hyperkalaemia</w:t>
      </w:r>
    </w:p>
    <w:p w:rsidR="008F03B5" w:rsidRDefault="00586B9B">
      <w:pPr>
        <w:pStyle w:val="a3"/>
        <w:tabs>
          <w:tab w:val="left" w:pos="1657"/>
        </w:tabs>
        <w:ind w:left="217"/>
      </w:pPr>
      <w:r>
        <w:t>HR</w:t>
      </w:r>
      <w:r>
        <w:tab/>
        <w:t>Hazard</w:t>
      </w:r>
      <w:r>
        <w:rPr>
          <w:spacing w:val="-1"/>
        </w:rPr>
        <w:t xml:space="preserve"> </w:t>
      </w:r>
      <w:r>
        <w:t>ratio</w:t>
      </w:r>
    </w:p>
    <w:p w:rsidR="008F03B5" w:rsidRDefault="00586B9B">
      <w:pPr>
        <w:pStyle w:val="a3"/>
        <w:tabs>
          <w:tab w:val="left" w:pos="1657"/>
        </w:tabs>
        <w:spacing w:before="159"/>
        <w:ind w:left="217"/>
      </w:pPr>
      <w:r>
        <w:t>Hypo</w:t>
      </w:r>
      <w:r>
        <w:tab/>
        <w:t>Hypoglycaemia</w:t>
      </w:r>
    </w:p>
    <w:p w:rsidR="008F03B5" w:rsidRDefault="00586B9B">
      <w:pPr>
        <w:pStyle w:val="a3"/>
        <w:tabs>
          <w:tab w:val="left" w:pos="1657"/>
        </w:tabs>
        <w:spacing w:before="161"/>
        <w:ind w:left="217"/>
      </w:pPr>
      <w:r>
        <w:t>ICS</w:t>
      </w:r>
      <w:r>
        <w:tab/>
        <w:t>Intensive Care</w:t>
      </w:r>
      <w:r>
        <w:rPr>
          <w:spacing w:val="-5"/>
        </w:rPr>
        <w:t xml:space="preserve"> </w:t>
      </w:r>
      <w:r>
        <w:t>Society</w:t>
      </w:r>
    </w:p>
    <w:p w:rsidR="008F03B5" w:rsidRDefault="00586B9B">
      <w:pPr>
        <w:pStyle w:val="a3"/>
        <w:tabs>
          <w:tab w:val="left" w:pos="1657"/>
        </w:tabs>
        <w:spacing w:before="161"/>
        <w:ind w:left="217"/>
      </w:pPr>
      <w:r>
        <w:t>ICU</w:t>
      </w:r>
      <w:r>
        <w:tab/>
        <w:t>Intensive Care</w:t>
      </w:r>
      <w:r>
        <w:rPr>
          <w:spacing w:val="-5"/>
        </w:rPr>
        <w:t xml:space="preserve"> </w:t>
      </w:r>
      <w:r>
        <w:t>Unit</w:t>
      </w:r>
    </w:p>
    <w:p w:rsidR="008F03B5" w:rsidRDefault="00586B9B">
      <w:pPr>
        <w:pStyle w:val="a3"/>
        <w:tabs>
          <w:tab w:val="left" w:pos="1657"/>
        </w:tabs>
        <w:spacing w:before="158"/>
        <w:ind w:left="217"/>
      </w:pPr>
      <w:r>
        <w:t>IEC</w:t>
      </w:r>
      <w:r>
        <w:tab/>
        <w:t>International Electrotechnical</w:t>
      </w:r>
      <w:r>
        <w:rPr>
          <w:spacing w:val="-4"/>
        </w:rPr>
        <w:t xml:space="preserve"> </w:t>
      </w:r>
      <w:r>
        <w:t>Committee</w:t>
      </w:r>
    </w:p>
    <w:p w:rsidR="008F03B5" w:rsidRDefault="00586B9B">
      <w:pPr>
        <w:pStyle w:val="a3"/>
        <w:tabs>
          <w:tab w:val="left" w:pos="1657"/>
        </w:tabs>
        <w:spacing w:before="162"/>
        <w:ind w:left="217"/>
      </w:pPr>
      <w:r>
        <w:t>IHCA</w:t>
      </w:r>
      <w:r>
        <w:tab/>
        <w:t>In-hospital cardiac</w:t>
      </w:r>
      <w:r>
        <w:rPr>
          <w:spacing w:val="-3"/>
        </w:rPr>
        <w:t xml:space="preserve"> </w:t>
      </w:r>
      <w:r>
        <w:t>arrest</w:t>
      </w:r>
    </w:p>
    <w:p w:rsidR="008F03B5" w:rsidRDefault="00586B9B">
      <w:pPr>
        <w:pStyle w:val="a3"/>
        <w:tabs>
          <w:tab w:val="left" w:pos="1657"/>
        </w:tabs>
        <w:spacing w:before="161"/>
        <w:ind w:left="217"/>
      </w:pPr>
      <w:r>
        <w:t>IHD</w:t>
      </w:r>
      <w:r>
        <w:tab/>
        <w:t>Intermittent</w:t>
      </w:r>
      <w:r>
        <w:rPr>
          <w:spacing w:val="-3"/>
        </w:rPr>
        <w:t xml:space="preserve"> </w:t>
      </w:r>
      <w:r>
        <w:t>haemodialysis</w:t>
      </w:r>
    </w:p>
    <w:p w:rsidR="008F03B5" w:rsidRDefault="00586B9B">
      <w:pPr>
        <w:pStyle w:val="a3"/>
        <w:tabs>
          <w:tab w:val="left" w:pos="1657"/>
        </w:tabs>
        <w:spacing w:before="158" w:line="384" w:lineRule="auto"/>
        <w:ind w:left="217" w:right="4195"/>
      </w:pPr>
      <w:r>
        <w:t>ILCOR</w:t>
      </w:r>
      <w:r>
        <w:tab/>
        <w:t>International Liaison Committee on Resuscitation IV</w:t>
      </w:r>
      <w:r>
        <w:tab/>
        <w:t>Intravenous</w:t>
      </w:r>
    </w:p>
    <w:p w:rsidR="008F03B5" w:rsidRDefault="00586B9B">
      <w:pPr>
        <w:pStyle w:val="a3"/>
        <w:tabs>
          <w:tab w:val="left" w:pos="1657"/>
        </w:tabs>
        <w:spacing w:before="1"/>
        <w:ind w:left="217"/>
      </w:pPr>
      <w:r>
        <w:t>K</w:t>
      </w:r>
      <w:r>
        <w:rPr>
          <w:vertAlign w:val="superscript"/>
        </w:rPr>
        <w:t>+</w:t>
      </w:r>
      <w:r>
        <w:tab/>
        <w:t>Potassium</w:t>
      </w:r>
      <w:r>
        <w:rPr>
          <w:spacing w:val="1"/>
        </w:rPr>
        <w:t xml:space="preserve"> </w:t>
      </w:r>
      <w:r>
        <w:t>ion</w:t>
      </w:r>
    </w:p>
    <w:p w:rsidR="008F03B5" w:rsidRDefault="00586B9B">
      <w:pPr>
        <w:pStyle w:val="a3"/>
        <w:tabs>
          <w:tab w:val="left" w:pos="1657"/>
        </w:tabs>
        <w:spacing w:before="158" w:line="384" w:lineRule="auto"/>
        <w:ind w:left="217" w:right="4775"/>
      </w:pPr>
      <w:r>
        <w:t>KDOQI</w:t>
      </w:r>
      <w:r>
        <w:tab/>
        <w:t>Kidney Disease Outcomes Quality Initiative MET</w:t>
      </w:r>
      <w:r>
        <w:tab/>
        <w:t>Medical emergency</w:t>
      </w:r>
      <w:r>
        <w:rPr>
          <w:spacing w:val="-3"/>
        </w:rPr>
        <w:t xml:space="preserve"> </w:t>
      </w:r>
      <w:r>
        <w:t>team</w:t>
      </w:r>
    </w:p>
    <w:p w:rsidR="008F03B5" w:rsidRDefault="00586B9B">
      <w:pPr>
        <w:pStyle w:val="a3"/>
        <w:tabs>
          <w:tab w:val="left" w:pos="1657"/>
        </w:tabs>
        <w:ind w:left="217"/>
      </w:pPr>
      <w:r>
        <w:t>Mg</w:t>
      </w:r>
      <w:r>
        <w:rPr>
          <w:vertAlign w:val="superscript"/>
        </w:rPr>
        <w:t>+</w:t>
      </w:r>
      <w:r>
        <w:tab/>
        <w:t>Magnesium</w:t>
      </w:r>
      <w:r>
        <w:rPr>
          <w:spacing w:val="-2"/>
        </w:rPr>
        <w:t xml:space="preserve"> </w:t>
      </w:r>
      <w:r>
        <w:t>ion</w:t>
      </w:r>
    </w:p>
    <w:p w:rsidR="008F03B5" w:rsidRDefault="00586B9B">
      <w:pPr>
        <w:pStyle w:val="a3"/>
        <w:tabs>
          <w:tab w:val="left" w:pos="1657"/>
        </w:tabs>
        <w:spacing w:before="161" w:line="381" w:lineRule="auto"/>
        <w:ind w:left="217" w:right="3715"/>
      </w:pPr>
      <w:r>
        <w:t>MHRA</w:t>
      </w:r>
      <w:r>
        <w:tab/>
        <w:t>Medicines and Healthcare products Regulatory Agency MRA</w:t>
      </w:r>
      <w:r>
        <w:tab/>
        <w:t>Mineralocorticoid receptor</w:t>
      </w:r>
      <w:r>
        <w:rPr>
          <w:spacing w:val="-5"/>
        </w:rPr>
        <w:t xml:space="preserve"> </w:t>
      </w:r>
      <w:r>
        <w:t>antagonist</w:t>
      </w:r>
    </w:p>
    <w:p w:rsidR="008F03B5" w:rsidRDefault="00586B9B">
      <w:pPr>
        <w:pStyle w:val="a3"/>
        <w:tabs>
          <w:tab w:val="left" w:pos="1657"/>
        </w:tabs>
        <w:spacing w:before="3"/>
        <w:ind w:left="217"/>
      </w:pPr>
      <w:r>
        <w:t>Na</w:t>
      </w:r>
      <w:r>
        <w:rPr>
          <w:vertAlign w:val="superscript"/>
        </w:rPr>
        <w:t>+</w:t>
      </w:r>
      <w:r>
        <w:tab/>
        <w:t>Sodium ion</w:t>
      </w:r>
    </w:p>
    <w:p w:rsidR="008F03B5" w:rsidRDefault="00586B9B">
      <w:pPr>
        <w:pStyle w:val="a3"/>
        <w:tabs>
          <w:tab w:val="left" w:pos="1657"/>
        </w:tabs>
        <w:spacing w:before="161"/>
        <w:ind w:left="217"/>
      </w:pPr>
      <w:r>
        <w:t>NA</w:t>
      </w:r>
      <w:r>
        <w:tab/>
        <w:t>Not available</w:t>
      </w:r>
    </w:p>
    <w:p w:rsidR="008F03B5" w:rsidRDefault="00586B9B">
      <w:pPr>
        <w:pStyle w:val="a3"/>
        <w:tabs>
          <w:tab w:val="left" w:pos="1657"/>
        </w:tabs>
        <w:spacing w:before="159"/>
        <w:ind w:left="217"/>
      </w:pPr>
      <w:r>
        <w:t>NCEPOD</w:t>
      </w:r>
      <w:r>
        <w:tab/>
        <w:t>National Confidential Enquiry into Patient Outcome and</w:t>
      </w:r>
      <w:r>
        <w:rPr>
          <w:spacing w:val="-3"/>
        </w:rPr>
        <w:t xml:space="preserve"> </w:t>
      </w:r>
      <w:r>
        <w:t>Death.</w:t>
      </w:r>
    </w:p>
    <w:p w:rsidR="008F03B5" w:rsidRDefault="008F03B5">
      <w:pPr>
        <w:sectPr w:rsidR="008F03B5">
          <w:pgSz w:w="11910" w:h="16840"/>
          <w:pgMar w:top="1540" w:right="780" w:bottom="1100" w:left="860" w:header="425" w:footer="912" w:gutter="0"/>
          <w:cols w:space="720"/>
        </w:sectPr>
      </w:pPr>
    </w:p>
    <w:p w:rsidR="008F03B5" w:rsidRDefault="008F03B5">
      <w:pPr>
        <w:pStyle w:val="a3"/>
        <w:spacing w:before="1" w:after="1"/>
        <w:rPr>
          <w:sz w:val="13"/>
        </w:rPr>
      </w:pPr>
    </w:p>
    <w:tbl>
      <w:tblPr>
        <w:tblStyle w:val="TableNormal"/>
        <w:tblW w:w="0" w:type="auto"/>
        <w:tblInd w:w="175" w:type="dxa"/>
        <w:tblLayout w:type="fixed"/>
        <w:tblLook w:val="01E0" w:firstRow="1" w:lastRow="1" w:firstColumn="1" w:lastColumn="1" w:noHBand="0" w:noVBand="0"/>
      </w:tblPr>
      <w:tblGrid>
        <w:gridCol w:w="1101"/>
        <w:gridCol w:w="5578"/>
      </w:tblGrid>
      <w:tr w:rsidR="008F03B5">
        <w:trPr>
          <w:trHeight w:val="325"/>
        </w:trPr>
        <w:tc>
          <w:tcPr>
            <w:tcW w:w="1101" w:type="dxa"/>
          </w:tcPr>
          <w:p w:rsidR="008F03B5" w:rsidRDefault="00586B9B">
            <w:pPr>
              <w:pStyle w:val="TableParagraph"/>
              <w:spacing w:line="225" w:lineRule="exact"/>
              <w:ind w:left="50"/>
            </w:pPr>
            <w:r>
              <w:t>NEWS</w:t>
            </w:r>
          </w:p>
        </w:tc>
        <w:tc>
          <w:tcPr>
            <w:tcW w:w="5578" w:type="dxa"/>
          </w:tcPr>
          <w:p w:rsidR="008F03B5" w:rsidRDefault="00586B9B">
            <w:pPr>
              <w:pStyle w:val="TableParagraph"/>
              <w:spacing w:line="225" w:lineRule="exact"/>
              <w:ind w:left="389"/>
            </w:pPr>
            <w:r>
              <w:t>National Early Warning Score</w:t>
            </w:r>
          </w:p>
        </w:tc>
      </w:tr>
      <w:tr w:rsidR="008F03B5">
        <w:trPr>
          <w:trHeight w:val="428"/>
        </w:trPr>
        <w:tc>
          <w:tcPr>
            <w:tcW w:w="1101" w:type="dxa"/>
          </w:tcPr>
          <w:p w:rsidR="008F03B5" w:rsidRDefault="00586B9B">
            <w:pPr>
              <w:pStyle w:val="TableParagraph"/>
              <w:spacing w:before="60"/>
              <w:ind w:left="50"/>
            </w:pPr>
            <w:r>
              <w:t>NHS</w:t>
            </w:r>
          </w:p>
        </w:tc>
        <w:tc>
          <w:tcPr>
            <w:tcW w:w="5578" w:type="dxa"/>
          </w:tcPr>
          <w:p w:rsidR="008F03B5" w:rsidRDefault="00586B9B">
            <w:pPr>
              <w:pStyle w:val="TableParagraph"/>
              <w:spacing w:before="60"/>
              <w:ind w:left="389"/>
            </w:pPr>
            <w:r>
              <w:t>National Health Service</w:t>
            </w:r>
          </w:p>
        </w:tc>
      </w:tr>
      <w:tr w:rsidR="008F03B5">
        <w:trPr>
          <w:trHeight w:val="428"/>
        </w:trPr>
        <w:tc>
          <w:tcPr>
            <w:tcW w:w="1101" w:type="dxa"/>
          </w:tcPr>
          <w:p w:rsidR="008F03B5" w:rsidRDefault="00586B9B">
            <w:pPr>
              <w:pStyle w:val="TableParagraph"/>
              <w:spacing w:before="59"/>
              <w:ind w:left="50"/>
            </w:pPr>
            <w:r>
              <w:t>NI</w:t>
            </w:r>
          </w:p>
        </w:tc>
        <w:tc>
          <w:tcPr>
            <w:tcW w:w="5578" w:type="dxa"/>
          </w:tcPr>
          <w:p w:rsidR="008F03B5" w:rsidRDefault="00586B9B">
            <w:pPr>
              <w:pStyle w:val="TableParagraph"/>
              <w:spacing w:before="59"/>
              <w:ind w:left="389"/>
            </w:pPr>
            <w:r>
              <w:t>Not included</w:t>
            </w:r>
          </w:p>
        </w:tc>
      </w:tr>
      <w:tr w:rsidR="008F03B5">
        <w:trPr>
          <w:trHeight w:val="429"/>
        </w:trPr>
        <w:tc>
          <w:tcPr>
            <w:tcW w:w="1101" w:type="dxa"/>
          </w:tcPr>
          <w:p w:rsidR="008F03B5" w:rsidRDefault="00586B9B">
            <w:pPr>
              <w:pStyle w:val="TableParagraph"/>
              <w:spacing w:before="60"/>
              <w:ind w:left="50"/>
            </w:pPr>
            <w:r>
              <w:t>NICE</w:t>
            </w:r>
          </w:p>
        </w:tc>
        <w:tc>
          <w:tcPr>
            <w:tcW w:w="5578" w:type="dxa"/>
          </w:tcPr>
          <w:p w:rsidR="008F03B5" w:rsidRDefault="00586B9B">
            <w:pPr>
              <w:pStyle w:val="TableParagraph"/>
              <w:spacing w:before="60"/>
              <w:ind w:left="389"/>
            </w:pPr>
            <w:r>
              <w:t>National Institute for Health and Care Excellence</w:t>
            </w:r>
          </w:p>
        </w:tc>
      </w:tr>
      <w:tr w:rsidR="008F03B5">
        <w:trPr>
          <w:trHeight w:val="428"/>
        </w:trPr>
        <w:tc>
          <w:tcPr>
            <w:tcW w:w="1101" w:type="dxa"/>
          </w:tcPr>
          <w:p w:rsidR="008F03B5" w:rsidRDefault="00586B9B">
            <w:pPr>
              <w:pStyle w:val="TableParagraph"/>
              <w:spacing w:before="60"/>
              <w:ind w:left="50"/>
            </w:pPr>
            <w:r>
              <w:t>NSAIDS</w:t>
            </w:r>
          </w:p>
        </w:tc>
        <w:tc>
          <w:tcPr>
            <w:tcW w:w="5578" w:type="dxa"/>
          </w:tcPr>
          <w:p w:rsidR="008F03B5" w:rsidRDefault="00586B9B">
            <w:pPr>
              <w:pStyle w:val="TableParagraph"/>
              <w:spacing w:before="60"/>
              <w:ind w:left="389"/>
            </w:pPr>
            <w:r>
              <w:t>Non-steroidal anti-inflammatory drugs</w:t>
            </w:r>
          </w:p>
        </w:tc>
      </w:tr>
      <w:tr w:rsidR="008F03B5">
        <w:trPr>
          <w:trHeight w:val="428"/>
        </w:trPr>
        <w:tc>
          <w:tcPr>
            <w:tcW w:w="1101" w:type="dxa"/>
          </w:tcPr>
          <w:p w:rsidR="008F03B5" w:rsidRDefault="00586B9B">
            <w:pPr>
              <w:pStyle w:val="TableParagraph"/>
              <w:spacing w:before="59"/>
              <w:ind w:left="50"/>
            </w:pPr>
            <w:r>
              <w:t>OHCA</w:t>
            </w:r>
          </w:p>
        </w:tc>
        <w:tc>
          <w:tcPr>
            <w:tcW w:w="5578" w:type="dxa"/>
          </w:tcPr>
          <w:p w:rsidR="008F03B5" w:rsidRDefault="00586B9B">
            <w:pPr>
              <w:pStyle w:val="TableParagraph"/>
              <w:spacing w:before="59"/>
              <w:ind w:left="389"/>
            </w:pPr>
            <w:r>
              <w:t>Out-of-hospital cardiac arrest</w:t>
            </w:r>
          </w:p>
        </w:tc>
      </w:tr>
      <w:tr w:rsidR="008F03B5">
        <w:trPr>
          <w:trHeight w:val="429"/>
        </w:trPr>
        <w:tc>
          <w:tcPr>
            <w:tcW w:w="1101" w:type="dxa"/>
          </w:tcPr>
          <w:p w:rsidR="008F03B5" w:rsidRDefault="00586B9B">
            <w:pPr>
              <w:pStyle w:val="TableParagraph"/>
              <w:spacing w:before="60"/>
              <w:ind w:left="50"/>
            </w:pPr>
            <w:r>
              <w:t>OR</w:t>
            </w:r>
          </w:p>
        </w:tc>
        <w:tc>
          <w:tcPr>
            <w:tcW w:w="5578" w:type="dxa"/>
          </w:tcPr>
          <w:p w:rsidR="008F03B5" w:rsidRDefault="00586B9B">
            <w:pPr>
              <w:pStyle w:val="TableParagraph"/>
              <w:spacing w:before="60"/>
              <w:ind w:left="389"/>
            </w:pPr>
            <w:r>
              <w:t>Odds ratio</w:t>
            </w:r>
          </w:p>
        </w:tc>
      </w:tr>
      <w:tr w:rsidR="008F03B5">
        <w:trPr>
          <w:trHeight w:val="429"/>
        </w:trPr>
        <w:tc>
          <w:tcPr>
            <w:tcW w:w="1101" w:type="dxa"/>
          </w:tcPr>
          <w:p w:rsidR="008F03B5" w:rsidRDefault="00586B9B">
            <w:pPr>
              <w:pStyle w:val="TableParagraph"/>
              <w:spacing w:before="60"/>
              <w:ind w:left="50"/>
            </w:pPr>
            <w:r>
              <w:t>PEA</w:t>
            </w:r>
          </w:p>
        </w:tc>
        <w:tc>
          <w:tcPr>
            <w:tcW w:w="5578" w:type="dxa"/>
          </w:tcPr>
          <w:p w:rsidR="008F03B5" w:rsidRDefault="00586B9B">
            <w:pPr>
              <w:pStyle w:val="TableParagraph"/>
              <w:spacing w:before="60"/>
              <w:ind w:left="389"/>
            </w:pPr>
            <w:r>
              <w:t>Pulseless electrical activity</w:t>
            </w:r>
          </w:p>
        </w:tc>
      </w:tr>
      <w:tr w:rsidR="008F03B5">
        <w:trPr>
          <w:trHeight w:val="428"/>
        </w:trPr>
        <w:tc>
          <w:tcPr>
            <w:tcW w:w="1101" w:type="dxa"/>
          </w:tcPr>
          <w:p w:rsidR="008F03B5" w:rsidRDefault="00586B9B">
            <w:pPr>
              <w:pStyle w:val="TableParagraph"/>
              <w:spacing w:before="61"/>
              <w:ind w:left="50"/>
            </w:pPr>
            <w:r>
              <w:t>POCT</w:t>
            </w:r>
          </w:p>
        </w:tc>
        <w:tc>
          <w:tcPr>
            <w:tcW w:w="5578" w:type="dxa"/>
          </w:tcPr>
          <w:p w:rsidR="008F03B5" w:rsidRDefault="00586B9B">
            <w:pPr>
              <w:pStyle w:val="TableParagraph"/>
              <w:spacing w:before="61"/>
              <w:ind w:left="389"/>
            </w:pPr>
            <w:r>
              <w:t>Point of care testing</w:t>
            </w:r>
          </w:p>
        </w:tc>
      </w:tr>
      <w:tr w:rsidR="008F03B5">
        <w:trPr>
          <w:trHeight w:val="428"/>
        </w:trPr>
        <w:tc>
          <w:tcPr>
            <w:tcW w:w="1101" w:type="dxa"/>
          </w:tcPr>
          <w:p w:rsidR="008F03B5" w:rsidRDefault="00586B9B">
            <w:pPr>
              <w:pStyle w:val="TableParagraph"/>
              <w:spacing w:before="59"/>
              <w:ind w:left="50"/>
            </w:pPr>
            <w:r>
              <w:t>RAASi</w:t>
            </w:r>
          </w:p>
        </w:tc>
        <w:tc>
          <w:tcPr>
            <w:tcW w:w="5578" w:type="dxa"/>
          </w:tcPr>
          <w:p w:rsidR="008F03B5" w:rsidRDefault="00586B9B">
            <w:pPr>
              <w:pStyle w:val="TableParagraph"/>
              <w:spacing w:before="59"/>
              <w:ind w:left="389"/>
            </w:pPr>
            <w:r>
              <w:t>Renin-Angiotensin-Aldosterone-System inhibitor</w:t>
            </w:r>
          </w:p>
        </w:tc>
      </w:tr>
      <w:tr w:rsidR="008F03B5">
        <w:trPr>
          <w:trHeight w:val="429"/>
        </w:trPr>
        <w:tc>
          <w:tcPr>
            <w:tcW w:w="1101" w:type="dxa"/>
          </w:tcPr>
          <w:p w:rsidR="008F03B5" w:rsidRDefault="00586B9B">
            <w:pPr>
              <w:pStyle w:val="TableParagraph"/>
              <w:spacing w:before="60"/>
              <w:ind w:left="50"/>
            </w:pPr>
            <w:r>
              <w:t>RCT</w:t>
            </w:r>
          </w:p>
        </w:tc>
        <w:tc>
          <w:tcPr>
            <w:tcW w:w="5578" w:type="dxa"/>
          </w:tcPr>
          <w:p w:rsidR="008F03B5" w:rsidRDefault="00586B9B">
            <w:pPr>
              <w:pStyle w:val="TableParagraph"/>
              <w:spacing w:before="60"/>
              <w:ind w:left="389"/>
            </w:pPr>
            <w:r>
              <w:t>Randomised controlled trial</w:t>
            </w:r>
          </w:p>
        </w:tc>
      </w:tr>
      <w:tr w:rsidR="008F03B5">
        <w:trPr>
          <w:trHeight w:val="428"/>
        </w:trPr>
        <w:tc>
          <w:tcPr>
            <w:tcW w:w="1101" w:type="dxa"/>
          </w:tcPr>
          <w:p w:rsidR="008F03B5" w:rsidRDefault="00586B9B">
            <w:pPr>
              <w:pStyle w:val="TableParagraph"/>
              <w:spacing w:before="60"/>
              <w:ind w:left="50"/>
            </w:pPr>
            <w:r>
              <w:t>ROSC</w:t>
            </w:r>
          </w:p>
        </w:tc>
        <w:tc>
          <w:tcPr>
            <w:tcW w:w="5578" w:type="dxa"/>
          </w:tcPr>
          <w:p w:rsidR="008F03B5" w:rsidRDefault="00586B9B">
            <w:pPr>
              <w:pStyle w:val="TableParagraph"/>
              <w:spacing w:before="60"/>
              <w:ind w:left="389"/>
            </w:pPr>
            <w:r>
              <w:t>Return of spontaneous circulation</w:t>
            </w:r>
          </w:p>
        </w:tc>
      </w:tr>
      <w:tr w:rsidR="008F03B5">
        <w:trPr>
          <w:trHeight w:val="428"/>
        </w:trPr>
        <w:tc>
          <w:tcPr>
            <w:tcW w:w="1101" w:type="dxa"/>
          </w:tcPr>
          <w:p w:rsidR="008F03B5" w:rsidRDefault="00586B9B">
            <w:pPr>
              <w:pStyle w:val="TableParagraph"/>
              <w:spacing w:before="59"/>
              <w:ind w:left="50"/>
            </w:pPr>
            <w:r>
              <w:t>RRT</w:t>
            </w:r>
          </w:p>
        </w:tc>
        <w:tc>
          <w:tcPr>
            <w:tcW w:w="5578" w:type="dxa"/>
          </w:tcPr>
          <w:p w:rsidR="008F03B5" w:rsidRDefault="00586B9B">
            <w:pPr>
              <w:pStyle w:val="TableParagraph"/>
              <w:spacing w:before="59"/>
              <w:ind w:left="389"/>
            </w:pPr>
            <w:r>
              <w:t>Renal replacement therapy</w:t>
            </w:r>
          </w:p>
        </w:tc>
      </w:tr>
      <w:tr w:rsidR="008F03B5">
        <w:trPr>
          <w:trHeight w:val="429"/>
        </w:trPr>
        <w:tc>
          <w:tcPr>
            <w:tcW w:w="1101" w:type="dxa"/>
          </w:tcPr>
          <w:p w:rsidR="008F03B5" w:rsidRDefault="00586B9B">
            <w:pPr>
              <w:pStyle w:val="TableParagraph"/>
              <w:spacing w:before="60"/>
              <w:ind w:left="50"/>
            </w:pPr>
            <w:r>
              <w:t>SB</w:t>
            </w:r>
          </w:p>
        </w:tc>
        <w:tc>
          <w:tcPr>
            <w:tcW w:w="5578" w:type="dxa"/>
          </w:tcPr>
          <w:p w:rsidR="008F03B5" w:rsidRDefault="00586B9B">
            <w:pPr>
              <w:pStyle w:val="TableParagraph"/>
              <w:spacing w:before="60"/>
              <w:ind w:left="389"/>
            </w:pPr>
            <w:r>
              <w:t>Sodium bicarbonate</w:t>
            </w:r>
          </w:p>
        </w:tc>
      </w:tr>
      <w:tr w:rsidR="008F03B5">
        <w:trPr>
          <w:trHeight w:val="428"/>
        </w:trPr>
        <w:tc>
          <w:tcPr>
            <w:tcW w:w="1101" w:type="dxa"/>
          </w:tcPr>
          <w:p w:rsidR="008F03B5" w:rsidRDefault="00586B9B">
            <w:pPr>
              <w:pStyle w:val="TableParagraph"/>
              <w:spacing w:before="60"/>
              <w:ind w:left="50"/>
            </w:pPr>
            <w:r>
              <w:t>SBAR</w:t>
            </w:r>
          </w:p>
        </w:tc>
        <w:tc>
          <w:tcPr>
            <w:tcW w:w="5578" w:type="dxa"/>
          </w:tcPr>
          <w:p w:rsidR="008F03B5" w:rsidRDefault="00586B9B">
            <w:pPr>
              <w:pStyle w:val="TableParagraph"/>
              <w:spacing w:before="60"/>
              <w:ind w:left="389"/>
            </w:pPr>
            <w:r>
              <w:t>Situation – Background – Assessment – Recommendation</w:t>
            </w:r>
          </w:p>
        </w:tc>
      </w:tr>
      <w:tr w:rsidR="008F03B5">
        <w:trPr>
          <w:trHeight w:val="428"/>
        </w:trPr>
        <w:tc>
          <w:tcPr>
            <w:tcW w:w="1101" w:type="dxa"/>
          </w:tcPr>
          <w:p w:rsidR="008F03B5" w:rsidRDefault="00586B9B">
            <w:pPr>
              <w:pStyle w:val="TableParagraph"/>
              <w:spacing w:before="59"/>
              <w:ind w:left="50"/>
            </w:pPr>
            <w:r>
              <w:t>SCD</w:t>
            </w:r>
          </w:p>
        </w:tc>
        <w:tc>
          <w:tcPr>
            <w:tcW w:w="5578" w:type="dxa"/>
          </w:tcPr>
          <w:p w:rsidR="008F03B5" w:rsidRDefault="00586B9B">
            <w:pPr>
              <w:pStyle w:val="TableParagraph"/>
              <w:spacing w:before="59"/>
              <w:ind w:left="389"/>
            </w:pPr>
            <w:r>
              <w:t>Sudden cardiac death</w:t>
            </w:r>
          </w:p>
        </w:tc>
      </w:tr>
      <w:tr w:rsidR="008F03B5">
        <w:trPr>
          <w:trHeight w:val="429"/>
        </w:trPr>
        <w:tc>
          <w:tcPr>
            <w:tcW w:w="1101" w:type="dxa"/>
          </w:tcPr>
          <w:p w:rsidR="008F03B5" w:rsidRDefault="00586B9B">
            <w:pPr>
              <w:pStyle w:val="TableParagraph"/>
              <w:spacing w:before="60"/>
              <w:ind w:left="50"/>
            </w:pPr>
            <w:r>
              <w:t>SMC</w:t>
            </w:r>
          </w:p>
        </w:tc>
        <w:tc>
          <w:tcPr>
            <w:tcW w:w="5578" w:type="dxa"/>
          </w:tcPr>
          <w:p w:rsidR="008F03B5" w:rsidRDefault="00586B9B">
            <w:pPr>
              <w:pStyle w:val="TableParagraph"/>
              <w:spacing w:before="60"/>
              <w:ind w:left="389"/>
            </w:pPr>
            <w:r>
              <w:t>Scottish Medicines Consortium</w:t>
            </w:r>
          </w:p>
        </w:tc>
      </w:tr>
      <w:tr w:rsidR="008F03B5">
        <w:trPr>
          <w:trHeight w:val="428"/>
        </w:trPr>
        <w:tc>
          <w:tcPr>
            <w:tcW w:w="1101" w:type="dxa"/>
          </w:tcPr>
          <w:p w:rsidR="008F03B5" w:rsidRDefault="00586B9B">
            <w:pPr>
              <w:pStyle w:val="TableParagraph"/>
              <w:spacing w:before="60"/>
              <w:ind w:left="50"/>
            </w:pPr>
            <w:r>
              <w:t>SPS</w:t>
            </w:r>
          </w:p>
        </w:tc>
        <w:tc>
          <w:tcPr>
            <w:tcW w:w="5578" w:type="dxa"/>
          </w:tcPr>
          <w:p w:rsidR="008F03B5" w:rsidRDefault="00586B9B">
            <w:pPr>
              <w:pStyle w:val="TableParagraph"/>
              <w:spacing w:before="60"/>
              <w:ind w:left="389"/>
            </w:pPr>
            <w:r>
              <w:t>Sodium polystyrene sulphonate</w:t>
            </w:r>
          </w:p>
        </w:tc>
      </w:tr>
      <w:tr w:rsidR="008F03B5">
        <w:trPr>
          <w:trHeight w:val="428"/>
        </w:trPr>
        <w:tc>
          <w:tcPr>
            <w:tcW w:w="1101" w:type="dxa"/>
          </w:tcPr>
          <w:p w:rsidR="008F03B5" w:rsidRDefault="00586B9B">
            <w:pPr>
              <w:pStyle w:val="TableParagraph"/>
              <w:spacing w:before="59"/>
              <w:ind w:left="50"/>
            </w:pPr>
            <w:r>
              <w:t>SZC</w:t>
            </w:r>
          </w:p>
        </w:tc>
        <w:tc>
          <w:tcPr>
            <w:tcW w:w="5578" w:type="dxa"/>
          </w:tcPr>
          <w:p w:rsidR="008F03B5" w:rsidRDefault="00586B9B">
            <w:pPr>
              <w:pStyle w:val="TableParagraph"/>
              <w:spacing w:before="59"/>
              <w:ind w:left="389"/>
            </w:pPr>
            <w:r>
              <w:t>Sodium Zirconium Cyclosilicate</w:t>
            </w:r>
          </w:p>
        </w:tc>
      </w:tr>
      <w:tr w:rsidR="008F03B5">
        <w:trPr>
          <w:trHeight w:val="429"/>
        </w:trPr>
        <w:tc>
          <w:tcPr>
            <w:tcW w:w="1101" w:type="dxa"/>
          </w:tcPr>
          <w:p w:rsidR="008F03B5" w:rsidRDefault="00586B9B">
            <w:pPr>
              <w:pStyle w:val="TableParagraph"/>
              <w:spacing w:before="60"/>
              <w:ind w:left="50"/>
            </w:pPr>
            <w:r>
              <w:t>UK</w:t>
            </w:r>
          </w:p>
        </w:tc>
        <w:tc>
          <w:tcPr>
            <w:tcW w:w="5578" w:type="dxa"/>
          </w:tcPr>
          <w:p w:rsidR="008F03B5" w:rsidRDefault="00586B9B">
            <w:pPr>
              <w:pStyle w:val="TableParagraph"/>
              <w:spacing w:before="60"/>
              <w:ind w:left="389"/>
            </w:pPr>
            <w:r>
              <w:t>United Kingdom</w:t>
            </w:r>
          </w:p>
        </w:tc>
      </w:tr>
      <w:tr w:rsidR="008F03B5">
        <w:trPr>
          <w:trHeight w:val="428"/>
        </w:trPr>
        <w:tc>
          <w:tcPr>
            <w:tcW w:w="1101" w:type="dxa"/>
          </w:tcPr>
          <w:p w:rsidR="008F03B5" w:rsidRDefault="00586B9B">
            <w:pPr>
              <w:pStyle w:val="TableParagraph"/>
              <w:spacing w:before="60"/>
              <w:ind w:left="50"/>
            </w:pPr>
            <w:r>
              <w:t>USA</w:t>
            </w:r>
          </w:p>
        </w:tc>
        <w:tc>
          <w:tcPr>
            <w:tcW w:w="5578" w:type="dxa"/>
          </w:tcPr>
          <w:p w:rsidR="008F03B5" w:rsidRDefault="00586B9B">
            <w:pPr>
              <w:pStyle w:val="TableParagraph"/>
              <w:spacing w:before="60"/>
              <w:ind w:left="389"/>
            </w:pPr>
            <w:r>
              <w:t>United States of America</w:t>
            </w:r>
          </w:p>
        </w:tc>
      </w:tr>
      <w:tr w:rsidR="008F03B5">
        <w:trPr>
          <w:trHeight w:val="428"/>
        </w:trPr>
        <w:tc>
          <w:tcPr>
            <w:tcW w:w="1101" w:type="dxa"/>
          </w:tcPr>
          <w:p w:rsidR="008F03B5" w:rsidRDefault="00586B9B">
            <w:pPr>
              <w:pStyle w:val="TableParagraph"/>
              <w:spacing w:before="59"/>
              <w:ind w:left="50"/>
            </w:pPr>
            <w:r>
              <w:t>USRDS</w:t>
            </w:r>
          </w:p>
        </w:tc>
        <w:tc>
          <w:tcPr>
            <w:tcW w:w="5578" w:type="dxa"/>
          </w:tcPr>
          <w:p w:rsidR="008F03B5" w:rsidRDefault="00586B9B">
            <w:pPr>
              <w:pStyle w:val="TableParagraph"/>
              <w:spacing w:before="59"/>
              <w:ind w:left="389"/>
            </w:pPr>
            <w:r>
              <w:t>United States Renal Data System</w:t>
            </w:r>
          </w:p>
        </w:tc>
      </w:tr>
      <w:tr w:rsidR="008F03B5">
        <w:trPr>
          <w:trHeight w:val="429"/>
        </w:trPr>
        <w:tc>
          <w:tcPr>
            <w:tcW w:w="1101" w:type="dxa"/>
          </w:tcPr>
          <w:p w:rsidR="008F03B5" w:rsidRDefault="00586B9B">
            <w:pPr>
              <w:pStyle w:val="TableParagraph"/>
              <w:spacing w:before="60"/>
              <w:ind w:left="50"/>
            </w:pPr>
            <w:r>
              <w:t>VF</w:t>
            </w:r>
          </w:p>
        </w:tc>
        <w:tc>
          <w:tcPr>
            <w:tcW w:w="5578" w:type="dxa"/>
          </w:tcPr>
          <w:p w:rsidR="008F03B5" w:rsidRDefault="00586B9B">
            <w:pPr>
              <w:pStyle w:val="TableParagraph"/>
              <w:spacing w:before="60"/>
              <w:ind w:left="389"/>
            </w:pPr>
            <w:r>
              <w:t>Ventricular fibrillation</w:t>
            </w:r>
          </w:p>
        </w:tc>
      </w:tr>
      <w:tr w:rsidR="008F03B5">
        <w:trPr>
          <w:trHeight w:val="325"/>
        </w:trPr>
        <w:tc>
          <w:tcPr>
            <w:tcW w:w="1101" w:type="dxa"/>
          </w:tcPr>
          <w:p w:rsidR="008F03B5" w:rsidRDefault="00586B9B">
            <w:pPr>
              <w:pStyle w:val="TableParagraph"/>
              <w:spacing w:before="61" w:line="245" w:lineRule="exact"/>
              <w:ind w:left="50"/>
            </w:pPr>
            <w:r>
              <w:t>VT</w:t>
            </w:r>
          </w:p>
        </w:tc>
        <w:tc>
          <w:tcPr>
            <w:tcW w:w="5578" w:type="dxa"/>
          </w:tcPr>
          <w:p w:rsidR="008F03B5" w:rsidRDefault="00586B9B">
            <w:pPr>
              <w:pStyle w:val="TableParagraph"/>
              <w:spacing w:before="61" w:line="245" w:lineRule="exact"/>
              <w:ind w:left="389"/>
            </w:pPr>
            <w:r>
              <w:t>Ventricular tachycardia</w:t>
            </w:r>
          </w:p>
        </w:tc>
      </w:tr>
    </w:tbl>
    <w:p w:rsidR="00586B9B" w:rsidRDefault="00586B9B"/>
    <w:sectPr w:rsidR="00586B9B">
      <w:pgSz w:w="11910" w:h="16840"/>
      <w:pgMar w:top="1540" w:right="780" w:bottom="1100" w:left="860" w:header="425"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CBD" w:rsidRDefault="009A3CBD">
      <w:r>
        <w:separator/>
      </w:r>
    </w:p>
  </w:endnote>
  <w:endnote w:type="continuationSeparator" w:id="0">
    <w:p w:rsidR="009A3CBD" w:rsidRDefault="009A3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3B5" w:rsidRDefault="009A3CBD">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06.2pt;margin-top:785.35pt;width:379.95pt;height:11pt;z-index:-21203456;mso-position-horizontal-relative:page;mso-position-vertical-relative:page" filled="f" stroked="f">
          <v:textbox inset="0,0,0,0">
            <w:txbxContent>
              <w:p w:rsidR="008F03B5" w:rsidRDefault="00586B9B">
                <w:pPr>
                  <w:spacing w:line="203" w:lineRule="exact"/>
                  <w:ind w:left="20"/>
                  <w:rPr>
                    <w:sz w:val="18"/>
                  </w:rPr>
                </w:pPr>
                <w:r>
                  <w:rPr>
                    <w:color w:val="44536A"/>
                    <w:sz w:val="18"/>
                  </w:rPr>
                  <w:t>Renal Association Clinical Practice Guidelines – Treatment of Acute Hyperkalaemia in Adults – July 2020</w:t>
                </w:r>
              </w:p>
            </w:txbxContent>
          </v:textbox>
          <w10:wrap anchorx="page" anchory="page"/>
        </v:shape>
      </w:pict>
    </w:r>
    <w:r>
      <w:pict>
        <v:shape id="_x0000_s2049" type="#_x0000_t202" style="position:absolute;margin-left:525pt;margin-top:785.35pt;width:19.7pt;height:11pt;z-index:-21202944;mso-position-horizontal-relative:page;mso-position-vertical-relative:page" filled="f" stroked="f">
          <v:textbox inset="0,0,0,0">
            <w:txbxContent>
              <w:p w:rsidR="008F03B5" w:rsidRDefault="00586B9B">
                <w:pPr>
                  <w:spacing w:line="203" w:lineRule="exact"/>
                  <w:ind w:left="60"/>
                  <w:rPr>
                    <w:sz w:val="18"/>
                  </w:rPr>
                </w:pPr>
                <w:r>
                  <w:fldChar w:fldCharType="begin"/>
                </w:r>
                <w:r>
                  <w:rPr>
                    <w:color w:val="44536A"/>
                    <w:sz w:val="18"/>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CBD" w:rsidRDefault="009A3CBD">
      <w:r>
        <w:separator/>
      </w:r>
    </w:p>
  </w:footnote>
  <w:footnote w:type="continuationSeparator" w:id="0">
    <w:p w:rsidR="009A3CBD" w:rsidRDefault="009A3C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3B5" w:rsidRDefault="00586B9B">
    <w:pPr>
      <w:pStyle w:val="a3"/>
      <w:spacing w:line="14" w:lineRule="auto"/>
      <w:rPr>
        <w:sz w:val="20"/>
      </w:rPr>
    </w:pPr>
    <w:r>
      <w:rPr>
        <w:noProof/>
      </w:rPr>
      <w:drawing>
        <wp:anchor distT="0" distB="0" distL="0" distR="0" simplePos="0" relativeHeight="251658240" behindDoc="1" locked="0" layoutInCell="1" allowOverlap="1">
          <wp:simplePos x="0" y="0"/>
          <wp:positionH relativeFrom="page">
            <wp:posOffset>5828659</wp:posOffset>
          </wp:positionH>
          <wp:positionV relativeFrom="page">
            <wp:posOffset>269874</wp:posOffset>
          </wp:positionV>
          <wp:extent cx="1047748" cy="59994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047748" cy="599947"/>
                  </a:xfrm>
                  <a:prstGeom prst="rect">
                    <a:avLst/>
                  </a:prstGeom>
                </pic:spPr>
              </pic:pic>
            </a:graphicData>
          </a:graphic>
        </wp:anchor>
      </w:drawing>
    </w:r>
    <w:r w:rsidR="009A3CBD">
      <w:pict>
        <v:line id="_x0000_s2051" style="position:absolute;z-index:-21203968;mso-position-horizontal-relative:page;mso-position-vertical-relative:page" from="56.1pt,77.3pt" to="537.6pt,77.3pt" strokecolor="#2d75b6">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4CBE"/>
    <w:multiLevelType w:val="hybridMultilevel"/>
    <w:tmpl w:val="ADC4C14E"/>
    <w:lvl w:ilvl="0" w:tplc="4280BC30">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F87405C2">
      <w:numFmt w:val="bullet"/>
      <w:lvlText w:val="•"/>
      <w:lvlJc w:val="left"/>
      <w:pPr>
        <w:ind w:left="1872" w:hanging="360"/>
      </w:pPr>
      <w:rPr>
        <w:rFonts w:hint="default"/>
        <w:lang w:val="en-US" w:eastAsia="en-US" w:bidi="ar-SA"/>
      </w:rPr>
    </w:lvl>
    <w:lvl w:ilvl="2" w:tplc="1E249590">
      <w:numFmt w:val="bullet"/>
      <w:lvlText w:val="•"/>
      <w:lvlJc w:val="left"/>
      <w:pPr>
        <w:ind w:left="2805" w:hanging="360"/>
      </w:pPr>
      <w:rPr>
        <w:rFonts w:hint="default"/>
        <w:lang w:val="en-US" w:eastAsia="en-US" w:bidi="ar-SA"/>
      </w:rPr>
    </w:lvl>
    <w:lvl w:ilvl="3" w:tplc="4566EACE">
      <w:numFmt w:val="bullet"/>
      <w:lvlText w:val="•"/>
      <w:lvlJc w:val="left"/>
      <w:pPr>
        <w:ind w:left="3737" w:hanging="360"/>
      </w:pPr>
      <w:rPr>
        <w:rFonts w:hint="default"/>
        <w:lang w:val="en-US" w:eastAsia="en-US" w:bidi="ar-SA"/>
      </w:rPr>
    </w:lvl>
    <w:lvl w:ilvl="4" w:tplc="5EA2DE82">
      <w:numFmt w:val="bullet"/>
      <w:lvlText w:val="•"/>
      <w:lvlJc w:val="left"/>
      <w:pPr>
        <w:ind w:left="4670" w:hanging="360"/>
      </w:pPr>
      <w:rPr>
        <w:rFonts w:hint="default"/>
        <w:lang w:val="en-US" w:eastAsia="en-US" w:bidi="ar-SA"/>
      </w:rPr>
    </w:lvl>
    <w:lvl w:ilvl="5" w:tplc="9F6A1388">
      <w:numFmt w:val="bullet"/>
      <w:lvlText w:val="•"/>
      <w:lvlJc w:val="left"/>
      <w:pPr>
        <w:ind w:left="5603" w:hanging="360"/>
      </w:pPr>
      <w:rPr>
        <w:rFonts w:hint="default"/>
        <w:lang w:val="en-US" w:eastAsia="en-US" w:bidi="ar-SA"/>
      </w:rPr>
    </w:lvl>
    <w:lvl w:ilvl="6" w:tplc="8F82F554">
      <w:numFmt w:val="bullet"/>
      <w:lvlText w:val="•"/>
      <w:lvlJc w:val="left"/>
      <w:pPr>
        <w:ind w:left="6535" w:hanging="360"/>
      </w:pPr>
      <w:rPr>
        <w:rFonts w:hint="default"/>
        <w:lang w:val="en-US" w:eastAsia="en-US" w:bidi="ar-SA"/>
      </w:rPr>
    </w:lvl>
    <w:lvl w:ilvl="7" w:tplc="25D4A658">
      <w:numFmt w:val="bullet"/>
      <w:lvlText w:val="•"/>
      <w:lvlJc w:val="left"/>
      <w:pPr>
        <w:ind w:left="7468" w:hanging="360"/>
      </w:pPr>
      <w:rPr>
        <w:rFonts w:hint="default"/>
        <w:lang w:val="en-US" w:eastAsia="en-US" w:bidi="ar-SA"/>
      </w:rPr>
    </w:lvl>
    <w:lvl w:ilvl="8" w:tplc="FE161CD8">
      <w:numFmt w:val="bullet"/>
      <w:lvlText w:val="•"/>
      <w:lvlJc w:val="left"/>
      <w:pPr>
        <w:ind w:left="8401" w:hanging="360"/>
      </w:pPr>
      <w:rPr>
        <w:rFonts w:hint="default"/>
        <w:lang w:val="en-US" w:eastAsia="en-US" w:bidi="ar-SA"/>
      </w:rPr>
    </w:lvl>
  </w:abstractNum>
  <w:abstractNum w:abstractNumId="1" w15:restartNumberingAfterBreak="0">
    <w:nsid w:val="04304B83"/>
    <w:multiLevelType w:val="hybridMultilevel"/>
    <w:tmpl w:val="435A1E58"/>
    <w:lvl w:ilvl="0" w:tplc="698C7906">
      <w:numFmt w:val="bullet"/>
      <w:lvlText w:val=""/>
      <w:lvlJc w:val="left"/>
      <w:pPr>
        <w:ind w:left="630" w:hanging="361"/>
      </w:pPr>
      <w:rPr>
        <w:rFonts w:hint="default"/>
        <w:w w:val="100"/>
        <w:lang w:val="en-US" w:eastAsia="en-US" w:bidi="ar-SA"/>
      </w:rPr>
    </w:lvl>
    <w:lvl w:ilvl="1" w:tplc="42AAEBD2">
      <w:numFmt w:val="bullet"/>
      <w:lvlText w:val="•"/>
      <w:lvlJc w:val="left"/>
      <w:pPr>
        <w:ind w:left="1602" w:hanging="361"/>
      </w:pPr>
      <w:rPr>
        <w:rFonts w:hint="default"/>
        <w:lang w:val="en-US" w:eastAsia="en-US" w:bidi="ar-SA"/>
      </w:rPr>
    </w:lvl>
    <w:lvl w:ilvl="2" w:tplc="9C46BB36">
      <w:numFmt w:val="bullet"/>
      <w:lvlText w:val="•"/>
      <w:lvlJc w:val="left"/>
      <w:pPr>
        <w:ind w:left="2565" w:hanging="361"/>
      </w:pPr>
      <w:rPr>
        <w:rFonts w:hint="default"/>
        <w:lang w:val="en-US" w:eastAsia="en-US" w:bidi="ar-SA"/>
      </w:rPr>
    </w:lvl>
    <w:lvl w:ilvl="3" w:tplc="A22A96DE">
      <w:numFmt w:val="bullet"/>
      <w:lvlText w:val="•"/>
      <w:lvlJc w:val="left"/>
      <w:pPr>
        <w:ind w:left="3527" w:hanging="361"/>
      </w:pPr>
      <w:rPr>
        <w:rFonts w:hint="default"/>
        <w:lang w:val="en-US" w:eastAsia="en-US" w:bidi="ar-SA"/>
      </w:rPr>
    </w:lvl>
    <w:lvl w:ilvl="4" w:tplc="39F4C7AA">
      <w:numFmt w:val="bullet"/>
      <w:lvlText w:val="•"/>
      <w:lvlJc w:val="left"/>
      <w:pPr>
        <w:ind w:left="4490" w:hanging="361"/>
      </w:pPr>
      <w:rPr>
        <w:rFonts w:hint="default"/>
        <w:lang w:val="en-US" w:eastAsia="en-US" w:bidi="ar-SA"/>
      </w:rPr>
    </w:lvl>
    <w:lvl w:ilvl="5" w:tplc="510238E4">
      <w:numFmt w:val="bullet"/>
      <w:lvlText w:val="•"/>
      <w:lvlJc w:val="left"/>
      <w:pPr>
        <w:ind w:left="5453" w:hanging="361"/>
      </w:pPr>
      <w:rPr>
        <w:rFonts w:hint="default"/>
        <w:lang w:val="en-US" w:eastAsia="en-US" w:bidi="ar-SA"/>
      </w:rPr>
    </w:lvl>
    <w:lvl w:ilvl="6" w:tplc="E2A69D0A">
      <w:numFmt w:val="bullet"/>
      <w:lvlText w:val="•"/>
      <w:lvlJc w:val="left"/>
      <w:pPr>
        <w:ind w:left="6415" w:hanging="361"/>
      </w:pPr>
      <w:rPr>
        <w:rFonts w:hint="default"/>
        <w:lang w:val="en-US" w:eastAsia="en-US" w:bidi="ar-SA"/>
      </w:rPr>
    </w:lvl>
    <w:lvl w:ilvl="7" w:tplc="1D06CDB8">
      <w:numFmt w:val="bullet"/>
      <w:lvlText w:val="•"/>
      <w:lvlJc w:val="left"/>
      <w:pPr>
        <w:ind w:left="7378" w:hanging="361"/>
      </w:pPr>
      <w:rPr>
        <w:rFonts w:hint="default"/>
        <w:lang w:val="en-US" w:eastAsia="en-US" w:bidi="ar-SA"/>
      </w:rPr>
    </w:lvl>
    <w:lvl w:ilvl="8" w:tplc="9B5EE600">
      <w:numFmt w:val="bullet"/>
      <w:lvlText w:val="•"/>
      <w:lvlJc w:val="left"/>
      <w:pPr>
        <w:ind w:left="8341" w:hanging="361"/>
      </w:pPr>
      <w:rPr>
        <w:rFonts w:hint="default"/>
        <w:lang w:val="en-US" w:eastAsia="en-US" w:bidi="ar-SA"/>
      </w:rPr>
    </w:lvl>
  </w:abstractNum>
  <w:abstractNum w:abstractNumId="2" w15:restartNumberingAfterBreak="0">
    <w:nsid w:val="04F26E3D"/>
    <w:multiLevelType w:val="hybridMultilevel"/>
    <w:tmpl w:val="B194196A"/>
    <w:lvl w:ilvl="0" w:tplc="68BA2B6E">
      <w:numFmt w:val="bullet"/>
      <w:lvlText w:val=""/>
      <w:lvlJc w:val="left"/>
      <w:pPr>
        <w:ind w:left="468" w:hanging="360"/>
      </w:pPr>
      <w:rPr>
        <w:rFonts w:ascii="Symbol" w:eastAsia="Symbol" w:hAnsi="Symbol" w:cs="Symbol" w:hint="default"/>
        <w:w w:val="100"/>
        <w:sz w:val="22"/>
        <w:szCs w:val="22"/>
        <w:lang w:val="en-US" w:eastAsia="en-US" w:bidi="ar-SA"/>
      </w:rPr>
    </w:lvl>
    <w:lvl w:ilvl="1" w:tplc="94BA271A">
      <w:numFmt w:val="bullet"/>
      <w:lvlText w:val="•"/>
      <w:lvlJc w:val="left"/>
      <w:pPr>
        <w:ind w:left="1175" w:hanging="360"/>
      </w:pPr>
      <w:rPr>
        <w:rFonts w:hint="default"/>
        <w:lang w:val="en-US" w:eastAsia="en-US" w:bidi="ar-SA"/>
      </w:rPr>
    </w:lvl>
    <w:lvl w:ilvl="2" w:tplc="6546B788">
      <w:numFmt w:val="bullet"/>
      <w:lvlText w:val="•"/>
      <w:lvlJc w:val="left"/>
      <w:pPr>
        <w:ind w:left="1891" w:hanging="360"/>
      </w:pPr>
      <w:rPr>
        <w:rFonts w:hint="default"/>
        <w:lang w:val="en-US" w:eastAsia="en-US" w:bidi="ar-SA"/>
      </w:rPr>
    </w:lvl>
    <w:lvl w:ilvl="3" w:tplc="87F67E16">
      <w:numFmt w:val="bullet"/>
      <w:lvlText w:val="•"/>
      <w:lvlJc w:val="left"/>
      <w:pPr>
        <w:ind w:left="2607" w:hanging="360"/>
      </w:pPr>
      <w:rPr>
        <w:rFonts w:hint="default"/>
        <w:lang w:val="en-US" w:eastAsia="en-US" w:bidi="ar-SA"/>
      </w:rPr>
    </w:lvl>
    <w:lvl w:ilvl="4" w:tplc="7F94CC84">
      <w:numFmt w:val="bullet"/>
      <w:lvlText w:val="•"/>
      <w:lvlJc w:val="left"/>
      <w:pPr>
        <w:ind w:left="3323" w:hanging="360"/>
      </w:pPr>
      <w:rPr>
        <w:rFonts w:hint="default"/>
        <w:lang w:val="en-US" w:eastAsia="en-US" w:bidi="ar-SA"/>
      </w:rPr>
    </w:lvl>
    <w:lvl w:ilvl="5" w:tplc="98CEADD8">
      <w:numFmt w:val="bullet"/>
      <w:lvlText w:val="•"/>
      <w:lvlJc w:val="left"/>
      <w:pPr>
        <w:ind w:left="4039" w:hanging="360"/>
      </w:pPr>
      <w:rPr>
        <w:rFonts w:hint="default"/>
        <w:lang w:val="en-US" w:eastAsia="en-US" w:bidi="ar-SA"/>
      </w:rPr>
    </w:lvl>
    <w:lvl w:ilvl="6" w:tplc="CE36A596">
      <w:numFmt w:val="bullet"/>
      <w:lvlText w:val="•"/>
      <w:lvlJc w:val="left"/>
      <w:pPr>
        <w:ind w:left="4754" w:hanging="360"/>
      </w:pPr>
      <w:rPr>
        <w:rFonts w:hint="default"/>
        <w:lang w:val="en-US" w:eastAsia="en-US" w:bidi="ar-SA"/>
      </w:rPr>
    </w:lvl>
    <w:lvl w:ilvl="7" w:tplc="01D23010">
      <w:numFmt w:val="bullet"/>
      <w:lvlText w:val="•"/>
      <w:lvlJc w:val="left"/>
      <w:pPr>
        <w:ind w:left="5470" w:hanging="360"/>
      </w:pPr>
      <w:rPr>
        <w:rFonts w:hint="default"/>
        <w:lang w:val="en-US" w:eastAsia="en-US" w:bidi="ar-SA"/>
      </w:rPr>
    </w:lvl>
    <w:lvl w:ilvl="8" w:tplc="384C2E80">
      <w:numFmt w:val="bullet"/>
      <w:lvlText w:val="•"/>
      <w:lvlJc w:val="left"/>
      <w:pPr>
        <w:ind w:left="6186" w:hanging="360"/>
      </w:pPr>
      <w:rPr>
        <w:rFonts w:hint="default"/>
        <w:lang w:val="en-US" w:eastAsia="en-US" w:bidi="ar-SA"/>
      </w:rPr>
    </w:lvl>
  </w:abstractNum>
  <w:abstractNum w:abstractNumId="3" w15:restartNumberingAfterBreak="0">
    <w:nsid w:val="0AAC1FB5"/>
    <w:multiLevelType w:val="hybridMultilevel"/>
    <w:tmpl w:val="520ABC5C"/>
    <w:lvl w:ilvl="0" w:tplc="A6A4919C">
      <w:numFmt w:val="bullet"/>
      <w:lvlText w:val=""/>
      <w:lvlJc w:val="left"/>
      <w:pPr>
        <w:ind w:left="468" w:hanging="360"/>
      </w:pPr>
      <w:rPr>
        <w:rFonts w:ascii="Symbol" w:eastAsia="Symbol" w:hAnsi="Symbol" w:cs="Symbol" w:hint="default"/>
        <w:w w:val="100"/>
        <w:sz w:val="22"/>
        <w:szCs w:val="22"/>
        <w:lang w:val="en-US" w:eastAsia="en-US" w:bidi="ar-SA"/>
      </w:rPr>
    </w:lvl>
    <w:lvl w:ilvl="1" w:tplc="8D8A5E06">
      <w:numFmt w:val="bullet"/>
      <w:lvlText w:val="•"/>
      <w:lvlJc w:val="left"/>
      <w:pPr>
        <w:ind w:left="1175" w:hanging="360"/>
      </w:pPr>
      <w:rPr>
        <w:rFonts w:hint="default"/>
        <w:lang w:val="en-US" w:eastAsia="en-US" w:bidi="ar-SA"/>
      </w:rPr>
    </w:lvl>
    <w:lvl w:ilvl="2" w:tplc="63784A3A">
      <w:numFmt w:val="bullet"/>
      <w:lvlText w:val="•"/>
      <w:lvlJc w:val="left"/>
      <w:pPr>
        <w:ind w:left="1891" w:hanging="360"/>
      </w:pPr>
      <w:rPr>
        <w:rFonts w:hint="default"/>
        <w:lang w:val="en-US" w:eastAsia="en-US" w:bidi="ar-SA"/>
      </w:rPr>
    </w:lvl>
    <w:lvl w:ilvl="3" w:tplc="FF48107A">
      <w:numFmt w:val="bullet"/>
      <w:lvlText w:val="•"/>
      <w:lvlJc w:val="left"/>
      <w:pPr>
        <w:ind w:left="2607" w:hanging="360"/>
      </w:pPr>
      <w:rPr>
        <w:rFonts w:hint="default"/>
        <w:lang w:val="en-US" w:eastAsia="en-US" w:bidi="ar-SA"/>
      </w:rPr>
    </w:lvl>
    <w:lvl w:ilvl="4" w:tplc="77A45308">
      <w:numFmt w:val="bullet"/>
      <w:lvlText w:val="•"/>
      <w:lvlJc w:val="left"/>
      <w:pPr>
        <w:ind w:left="3323" w:hanging="360"/>
      </w:pPr>
      <w:rPr>
        <w:rFonts w:hint="default"/>
        <w:lang w:val="en-US" w:eastAsia="en-US" w:bidi="ar-SA"/>
      </w:rPr>
    </w:lvl>
    <w:lvl w:ilvl="5" w:tplc="C9764522">
      <w:numFmt w:val="bullet"/>
      <w:lvlText w:val="•"/>
      <w:lvlJc w:val="left"/>
      <w:pPr>
        <w:ind w:left="4039" w:hanging="360"/>
      </w:pPr>
      <w:rPr>
        <w:rFonts w:hint="default"/>
        <w:lang w:val="en-US" w:eastAsia="en-US" w:bidi="ar-SA"/>
      </w:rPr>
    </w:lvl>
    <w:lvl w:ilvl="6" w:tplc="8CE80292">
      <w:numFmt w:val="bullet"/>
      <w:lvlText w:val="•"/>
      <w:lvlJc w:val="left"/>
      <w:pPr>
        <w:ind w:left="4754" w:hanging="360"/>
      </w:pPr>
      <w:rPr>
        <w:rFonts w:hint="default"/>
        <w:lang w:val="en-US" w:eastAsia="en-US" w:bidi="ar-SA"/>
      </w:rPr>
    </w:lvl>
    <w:lvl w:ilvl="7" w:tplc="F9A4CC62">
      <w:numFmt w:val="bullet"/>
      <w:lvlText w:val="•"/>
      <w:lvlJc w:val="left"/>
      <w:pPr>
        <w:ind w:left="5470" w:hanging="360"/>
      </w:pPr>
      <w:rPr>
        <w:rFonts w:hint="default"/>
        <w:lang w:val="en-US" w:eastAsia="en-US" w:bidi="ar-SA"/>
      </w:rPr>
    </w:lvl>
    <w:lvl w:ilvl="8" w:tplc="6A72330E">
      <w:numFmt w:val="bullet"/>
      <w:lvlText w:val="•"/>
      <w:lvlJc w:val="left"/>
      <w:pPr>
        <w:ind w:left="6186" w:hanging="360"/>
      </w:pPr>
      <w:rPr>
        <w:rFonts w:hint="default"/>
        <w:lang w:val="en-US" w:eastAsia="en-US" w:bidi="ar-SA"/>
      </w:rPr>
    </w:lvl>
  </w:abstractNum>
  <w:abstractNum w:abstractNumId="4" w15:restartNumberingAfterBreak="0">
    <w:nsid w:val="0B0F7628"/>
    <w:multiLevelType w:val="hybridMultilevel"/>
    <w:tmpl w:val="67A0FB38"/>
    <w:lvl w:ilvl="0" w:tplc="2604AEE2">
      <w:numFmt w:val="bullet"/>
      <w:lvlText w:val=""/>
      <w:lvlJc w:val="left"/>
      <w:pPr>
        <w:ind w:left="468" w:hanging="360"/>
      </w:pPr>
      <w:rPr>
        <w:rFonts w:ascii="Symbol" w:eastAsia="Symbol" w:hAnsi="Symbol" w:cs="Symbol" w:hint="default"/>
        <w:w w:val="100"/>
        <w:sz w:val="22"/>
        <w:szCs w:val="22"/>
        <w:lang w:val="en-US" w:eastAsia="en-US" w:bidi="ar-SA"/>
      </w:rPr>
    </w:lvl>
    <w:lvl w:ilvl="1" w:tplc="BF942410">
      <w:numFmt w:val="bullet"/>
      <w:lvlText w:val="•"/>
      <w:lvlJc w:val="left"/>
      <w:pPr>
        <w:ind w:left="1175" w:hanging="360"/>
      </w:pPr>
      <w:rPr>
        <w:rFonts w:hint="default"/>
        <w:lang w:val="en-US" w:eastAsia="en-US" w:bidi="ar-SA"/>
      </w:rPr>
    </w:lvl>
    <w:lvl w:ilvl="2" w:tplc="C5FCD4EC">
      <w:numFmt w:val="bullet"/>
      <w:lvlText w:val="•"/>
      <w:lvlJc w:val="left"/>
      <w:pPr>
        <w:ind w:left="1891" w:hanging="360"/>
      </w:pPr>
      <w:rPr>
        <w:rFonts w:hint="default"/>
        <w:lang w:val="en-US" w:eastAsia="en-US" w:bidi="ar-SA"/>
      </w:rPr>
    </w:lvl>
    <w:lvl w:ilvl="3" w:tplc="DB5CDF8E">
      <w:numFmt w:val="bullet"/>
      <w:lvlText w:val="•"/>
      <w:lvlJc w:val="left"/>
      <w:pPr>
        <w:ind w:left="2607" w:hanging="360"/>
      </w:pPr>
      <w:rPr>
        <w:rFonts w:hint="default"/>
        <w:lang w:val="en-US" w:eastAsia="en-US" w:bidi="ar-SA"/>
      </w:rPr>
    </w:lvl>
    <w:lvl w:ilvl="4" w:tplc="FE4C53DC">
      <w:numFmt w:val="bullet"/>
      <w:lvlText w:val="•"/>
      <w:lvlJc w:val="left"/>
      <w:pPr>
        <w:ind w:left="3323" w:hanging="360"/>
      </w:pPr>
      <w:rPr>
        <w:rFonts w:hint="default"/>
        <w:lang w:val="en-US" w:eastAsia="en-US" w:bidi="ar-SA"/>
      </w:rPr>
    </w:lvl>
    <w:lvl w:ilvl="5" w:tplc="8A8A429A">
      <w:numFmt w:val="bullet"/>
      <w:lvlText w:val="•"/>
      <w:lvlJc w:val="left"/>
      <w:pPr>
        <w:ind w:left="4039" w:hanging="360"/>
      </w:pPr>
      <w:rPr>
        <w:rFonts w:hint="default"/>
        <w:lang w:val="en-US" w:eastAsia="en-US" w:bidi="ar-SA"/>
      </w:rPr>
    </w:lvl>
    <w:lvl w:ilvl="6" w:tplc="6590C5AC">
      <w:numFmt w:val="bullet"/>
      <w:lvlText w:val="•"/>
      <w:lvlJc w:val="left"/>
      <w:pPr>
        <w:ind w:left="4754" w:hanging="360"/>
      </w:pPr>
      <w:rPr>
        <w:rFonts w:hint="default"/>
        <w:lang w:val="en-US" w:eastAsia="en-US" w:bidi="ar-SA"/>
      </w:rPr>
    </w:lvl>
    <w:lvl w:ilvl="7" w:tplc="FAB45D5E">
      <w:numFmt w:val="bullet"/>
      <w:lvlText w:val="•"/>
      <w:lvlJc w:val="left"/>
      <w:pPr>
        <w:ind w:left="5470" w:hanging="360"/>
      </w:pPr>
      <w:rPr>
        <w:rFonts w:hint="default"/>
        <w:lang w:val="en-US" w:eastAsia="en-US" w:bidi="ar-SA"/>
      </w:rPr>
    </w:lvl>
    <w:lvl w:ilvl="8" w:tplc="7A78D0DC">
      <w:numFmt w:val="bullet"/>
      <w:lvlText w:val="•"/>
      <w:lvlJc w:val="left"/>
      <w:pPr>
        <w:ind w:left="6186" w:hanging="360"/>
      </w:pPr>
      <w:rPr>
        <w:rFonts w:hint="default"/>
        <w:lang w:val="en-US" w:eastAsia="en-US" w:bidi="ar-SA"/>
      </w:rPr>
    </w:lvl>
  </w:abstractNum>
  <w:abstractNum w:abstractNumId="5" w15:restartNumberingAfterBreak="0">
    <w:nsid w:val="0DFA6DAB"/>
    <w:multiLevelType w:val="hybridMultilevel"/>
    <w:tmpl w:val="279E5806"/>
    <w:lvl w:ilvl="0" w:tplc="75AA83BA">
      <w:numFmt w:val="bullet"/>
      <w:lvlText w:val=""/>
      <w:lvlJc w:val="left"/>
      <w:pPr>
        <w:ind w:left="468" w:hanging="360"/>
      </w:pPr>
      <w:rPr>
        <w:rFonts w:ascii="Symbol" w:eastAsia="Symbol" w:hAnsi="Symbol" w:cs="Symbol" w:hint="default"/>
        <w:w w:val="100"/>
        <w:sz w:val="22"/>
        <w:szCs w:val="22"/>
        <w:lang w:val="en-US" w:eastAsia="en-US" w:bidi="ar-SA"/>
      </w:rPr>
    </w:lvl>
    <w:lvl w:ilvl="1" w:tplc="ED44E1CC">
      <w:numFmt w:val="bullet"/>
      <w:lvlText w:val="•"/>
      <w:lvlJc w:val="left"/>
      <w:pPr>
        <w:ind w:left="1175" w:hanging="360"/>
      </w:pPr>
      <w:rPr>
        <w:rFonts w:hint="default"/>
        <w:lang w:val="en-US" w:eastAsia="en-US" w:bidi="ar-SA"/>
      </w:rPr>
    </w:lvl>
    <w:lvl w:ilvl="2" w:tplc="E56AD2E6">
      <w:numFmt w:val="bullet"/>
      <w:lvlText w:val="•"/>
      <w:lvlJc w:val="left"/>
      <w:pPr>
        <w:ind w:left="1891" w:hanging="360"/>
      </w:pPr>
      <w:rPr>
        <w:rFonts w:hint="default"/>
        <w:lang w:val="en-US" w:eastAsia="en-US" w:bidi="ar-SA"/>
      </w:rPr>
    </w:lvl>
    <w:lvl w:ilvl="3" w:tplc="73CE47B2">
      <w:numFmt w:val="bullet"/>
      <w:lvlText w:val="•"/>
      <w:lvlJc w:val="left"/>
      <w:pPr>
        <w:ind w:left="2607" w:hanging="360"/>
      </w:pPr>
      <w:rPr>
        <w:rFonts w:hint="default"/>
        <w:lang w:val="en-US" w:eastAsia="en-US" w:bidi="ar-SA"/>
      </w:rPr>
    </w:lvl>
    <w:lvl w:ilvl="4" w:tplc="CC3C94DC">
      <w:numFmt w:val="bullet"/>
      <w:lvlText w:val="•"/>
      <w:lvlJc w:val="left"/>
      <w:pPr>
        <w:ind w:left="3323" w:hanging="360"/>
      </w:pPr>
      <w:rPr>
        <w:rFonts w:hint="default"/>
        <w:lang w:val="en-US" w:eastAsia="en-US" w:bidi="ar-SA"/>
      </w:rPr>
    </w:lvl>
    <w:lvl w:ilvl="5" w:tplc="5FB40B78">
      <w:numFmt w:val="bullet"/>
      <w:lvlText w:val="•"/>
      <w:lvlJc w:val="left"/>
      <w:pPr>
        <w:ind w:left="4039" w:hanging="360"/>
      </w:pPr>
      <w:rPr>
        <w:rFonts w:hint="default"/>
        <w:lang w:val="en-US" w:eastAsia="en-US" w:bidi="ar-SA"/>
      </w:rPr>
    </w:lvl>
    <w:lvl w:ilvl="6" w:tplc="72E65BC4">
      <w:numFmt w:val="bullet"/>
      <w:lvlText w:val="•"/>
      <w:lvlJc w:val="left"/>
      <w:pPr>
        <w:ind w:left="4754" w:hanging="360"/>
      </w:pPr>
      <w:rPr>
        <w:rFonts w:hint="default"/>
        <w:lang w:val="en-US" w:eastAsia="en-US" w:bidi="ar-SA"/>
      </w:rPr>
    </w:lvl>
    <w:lvl w:ilvl="7" w:tplc="03ECB340">
      <w:numFmt w:val="bullet"/>
      <w:lvlText w:val="•"/>
      <w:lvlJc w:val="left"/>
      <w:pPr>
        <w:ind w:left="5470" w:hanging="360"/>
      </w:pPr>
      <w:rPr>
        <w:rFonts w:hint="default"/>
        <w:lang w:val="en-US" w:eastAsia="en-US" w:bidi="ar-SA"/>
      </w:rPr>
    </w:lvl>
    <w:lvl w:ilvl="8" w:tplc="1E86645C">
      <w:numFmt w:val="bullet"/>
      <w:lvlText w:val="•"/>
      <w:lvlJc w:val="left"/>
      <w:pPr>
        <w:ind w:left="6186" w:hanging="360"/>
      </w:pPr>
      <w:rPr>
        <w:rFonts w:hint="default"/>
        <w:lang w:val="en-US" w:eastAsia="en-US" w:bidi="ar-SA"/>
      </w:rPr>
    </w:lvl>
  </w:abstractNum>
  <w:abstractNum w:abstractNumId="6" w15:restartNumberingAfterBreak="0">
    <w:nsid w:val="10E13349"/>
    <w:multiLevelType w:val="hybridMultilevel"/>
    <w:tmpl w:val="6E10BF7E"/>
    <w:lvl w:ilvl="0" w:tplc="DC787A92">
      <w:start w:val="1"/>
      <w:numFmt w:val="decimal"/>
      <w:lvlText w:val="%1."/>
      <w:lvlJc w:val="left"/>
      <w:pPr>
        <w:ind w:left="578" w:hanging="361"/>
      </w:pPr>
      <w:rPr>
        <w:rFonts w:ascii="Calibri" w:eastAsia="Calibri" w:hAnsi="Calibri" w:cs="Calibri" w:hint="default"/>
        <w:w w:val="100"/>
        <w:sz w:val="22"/>
        <w:szCs w:val="22"/>
        <w:lang w:val="en-US" w:eastAsia="en-US" w:bidi="ar-SA"/>
      </w:rPr>
    </w:lvl>
    <w:lvl w:ilvl="1" w:tplc="CA3006BC">
      <w:start w:val="1"/>
      <w:numFmt w:val="decimal"/>
      <w:lvlText w:val="%2."/>
      <w:lvlJc w:val="left"/>
      <w:pPr>
        <w:ind w:left="1070" w:hanging="425"/>
      </w:pPr>
      <w:rPr>
        <w:rFonts w:ascii="Calibri" w:eastAsia="Calibri" w:hAnsi="Calibri" w:cs="Calibri" w:hint="default"/>
        <w:w w:val="100"/>
        <w:sz w:val="22"/>
        <w:szCs w:val="22"/>
        <w:lang w:val="en-US" w:eastAsia="en-US" w:bidi="ar-SA"/>
      </w:rPr>
    </w:lvl>
    <w:lvl w:ilvl="2" w:tplc="B0CC1AFE">
      <w:numFmt w:val="bullet"/>
      <w:lvlText w:val="•"/>
      <w:lvlJc w:val="left"/>
      <w:pPr>
        <w:ind w:left="2100" w:hanging="425"/>
      </w:pPr>
      <w:rPr>
        <w:rFonts w:hint="default"/>
        <w:lang w:val="en-US" w:eastAsia="en-US" w:bidi="ar-SA"/>
      </w:rPr>
    </w:lvl>
    <w:lvl w:ilvl="3" w:tplc="00588388">
      <w:numFmt w:val="bullet"/>
      <w:lvlText w:val="•"/>
      <w:lvlJc w:val="left"/>
      <w:pPr>
        <w:ind w:left="3121" w:hanging="425"/>
      </w:pPr>
      <w:rPr>
        <w:rFonts w:hint="default"/>
        <w:lang w:val="en-US" w:eastAsia="en-US" w:bidi="ar-SA"/>
      </w:rPr>
    </w:lvl>
    <w:lvl w:ilvl="4" w:tplc="8174A69C">
      <w:numFmt w:val="bullet"/>
      <w:lvlText w:val="•"/>
      <w:lvlJc w:val="left"/>
      <w:pPr>
        <w:ind w:left="4142" w:hanging="425"/>
      </w:pPr>
      <w:rPr>
        <w:rFonts w:hint="default"/>
        <w:lang w:val="en-US" w:eastAsia="en-US" w:bidi="ar-SA"/>
      </w:rPr>
    </w:lvl>
    <w:lvl w:ilvl="5" w:tplc="516AD0BE">
      <w:numFmt w:val="bullet"/>
      <w:lvlText w:val="•"/>
      <w:lvlJc w:val="left"/>
      <w:pPr>
        <w:ind w:left="5162" w:hanging="425"/>
      </w:pPr>
      <w:rPr>
        <w:rFonts w:hint="default"/>
        <w:lang w:val="en-US" w:eastAsia="en-US" w:bidi="ar-SA"/>
      </w:rPr>
    </w:lvl>
    <w:lvl w:ilvl="6" w:tplc="C3FAC54E">
      <w:numFmt w:val="bullet"/>
      <w:lvlText w:val="•"/>
      <w:lvlJc w:val="left"/>
      <w:pPr>
        <w:ind w:left="6183" w:hanging="425"/>
      </w:pPr>
      <w:rPr>
        <w:rFonts w:hint="default"/>
        <w:lang w:val="en-US" w:eastAsia="en-US" w:bidi="ar-SA"/>
      </w:rPr>
    </w:lvl>
    <w:lvl w:ilvl="7" w:tplc="B80068AC">
      <w:numFmt w:val="bullet"/>
      <w:lvlText w:val="•"/>
      <w:lvlJc w:val="left"/>
      <w:pPr>
        <w:ind w:left="7204" w:hanging="425"/>
      </w:pPr>
      <w:rPr>
        <w:rFonts w:hint="default"/>
        <w:lang w:val="en-US" w:eastAsia="en-US" w:bidi="ar-SA"/>
      </w:rPr>
    </w:lvl>
    <w:lvl w:ilvl="8" w:tplc="0D7A41BC">
      <w:numFmt w:val="bullet"/>
      <w:lvlText w:val="•"/>
      <w:lvlJc w:val="left"/>
      <w:pPr>
        <w:ind w:left="8224" w:hanging="425"/>
      </w:pPr>
      <w:rPr>
        <w:rFonts w:hint="default"/>
        <w:lang w:val="en-US" w:eastAsia="en-US" w:bidi="ar-SA"/>
      </w:rPr>
    </w:lvl>
  </w:abstractNum>
  <w:abstractNum w:abstractNumId="7" w15:restartNumberingAfterBreak="0">
    <w:nsid w:val="11C865F0"/>
    <w:multiLevelType w:val="hybridMultilevel"/>
    <w:tmpl w:val="FFBA2F7E"/>
    <w:lvl w:ilvl="0" w:tplc="63D8B544">
      <w:numFmt w:val="bullet"/>
      <w:lvlText w:val=""/>
      <w:lvlJc w:val="left"/>
      <w:pPr>
        <w:ind w:left="465" w:hanging="358"/>
      </w:pPr>
      <w:rPr>
        <w:rFonts w:ascii="Symbol" w:eastAsia="Symbol" w:hAnsi="Symbol" w:cs="Symbol" w:hint="default"/>
        <w:w w:val="100"/>
        <w:sz w:val="22"/>
        <w:szCs w:val="22"/>
        <w:lang w:val="en-US" w:eastAsia="en-US" w:bidi="ar-SA"/>
      </w:rPr>
    </w:lvl>
    <w:lvl w:ilvl="1" w:tplc="5ECEA38A">
      <w:numFmt w:val="bullet"/>
      <w:lvlText w:val="•"/>
      <w:lvlJc w:val="left"/>
      <w:pPr>
        <w:ind w:left="1175" w:hanging="358"/>
      </w:pPr>
      <w:rPr>
        <w:rFonts w:hint="default"/>
        <w:lang w:val="en-US" w:eastAsia="en-US" w:bidi="ar-SA"/>
      </w:rPr>
    </w:lvl>
    <w:lvl w:ilvl="2" w:tplc="68284226">
      <w:numFmt w:val="bullet"/>
      <w:lvlText w:val="•"/>
      <w:lvlJc w:val="left"/>
      <w:pPr>
        <w:ind w:left="1891" w:hanging="358"/>
      </w:pPr>
      <w:rPr>
        <w:rFonts w:hint="default"/>
        <w:lang w:val="en-US" w:eastAsia="en-US" w:bidi="ar-SA"/>
      </w:rPr>
    </w:lvl>
    <w:lvl w:ilvl="3" w:tplc="0088A272">
      <w:numFmt w:val="bullet"/>
      <w:lvlText w:val="•"/>
      <w:lvlJc w:val="left"/>
      <w:pPr>
        <w:ind w:left="2607" w:hanging="358"/>
      </w:pPr>
      <w:rPr>
        <w:rFonts w:hint="default"/>
        <w:lang w:val="en-US" w:eastAsia="en-US" w:bidi="ar-SA"/>
      </w:rPr>
    </w:lvl>
    <w:lvl w:ilvl="4" w:tplc="5C6046F8">
      <w:numFmt w:val="bullet"/>
      <w:lvlText w:val="•"/>
      <w:lvlJc w:val="left"/>
      <w:pPr>
        <w:ind w:left="3323" w:hanging="358"/>
      </w:pPr>
      <w:rPr>
        <w:rFonts w:hint="default"/>
        <w:lang w:val="en-US" w:eastAsia="en-US" w:bidi="ar-SA"/>
      </w:rPr>
    </w:lvl>
    <w:lvl w:ilvl="5" w:tplc="2DBCE9E6">
      <w:numFmt w:val="bullet"/>
      <w:lvlText w:val="•"/>
      <w:lvlJc w:val="left"/>
      <w:pPr>
        <w:ind w:left="4039" w:hanging="358"/>
      </w:pPr>
      <w:rPr>
        <w:rFonts w:hint="default"/>
        <w:lang w:val="en-US" w:eastAsia="en-US" w:bidi="ar-SA"/>
      </w:rPr>
    </w:lvl>
    <w:lvl w:ilvl="6" w:tplc="A894B346">
      <w:numFmt w:val="bullet"/>
      <w:lvlText w:val="•"/>
      <w:lvlJc w:val="left"/>
      <w:pPr>
        <w:ind w:left="4754" w:hanging="358"/>
      </w:pPr>
      <w:rPr>
        <w:rFonts w:hint="default"/>
        <w:lang w:val="en-US" w:eastAsia="en-US" w:bidi="ar-SA"/>
      </w:rPr>
    </w:lvl>
    <w:lvl w:ilvl="7" w:tplc="080AB29A">
      <w:numFmt w:val="bullet"/>
      <w:lvlText w:val="•"/>
      <w:lvlJc w:val="left"/>
      <w:pPr>
        <w:ind w:left="5470" w:hanging="358"/>
      </w:pPr>
      <w:rPr>
        <w:rFonts w:hint="default"/>
        <w:lang w:val="en-US" w:eastAsia="en-US" w:bidi="ar-SA"/>
      </w:rPr>
    </w:lvl>
    <w:lvl w:ilvl="8" w:tplc="4DB6D236">
      <w:numFmt w:val="bullet"/>
      <w:lvlText w:val="•"/>
      <w:lvlJc w:val="left"/>
      <w:pPr>
        <w:ind w:left="6186" w:hanging="358"/>
      </w:pPr>
      <w:rPr>
        <w:rFonts w:hint="default"/>
        <w:lang w:val="en-US" w:eastAsia="en-US" w:bidi="ar-SA"/>
      </w:rPr>
    </w:lvl>
  </w:abstractNum>
  <w:abstractNum w:abstractNumId="8" w15:restartNumberingAfterBreak="0">
    <w:nsid w:val="134455D5"/>
    <w:multiLevelType w:val="hybridMultilevel"/>
    <w:tmpl w:val="2C0AF14E"/>
    <w:lvl w:ilvl="0" w:tplc="EF100148">
      <w:numFmt w:val="bullet"/>
      <w:lvlText w:val=""/>
      <w:lvlJc w:val="left"/>
      <w:pPr>
        <w:ind w:left="503" w:hanging="360"/>
      </w:pPr>
      <w:rPr>
        <w:rFonts w:ascii="Symbol" w:eastAsia="Symbol" w:hAnsi="Symbol" w:cs="Symbol" w:hint="default"/>
        <w:w w:val="100"/>
        <w:sz w:val="24"/>
        <w:szCs w:val="24"/>
        <w:lang w:val="en-US" w:eastAsia="en-US" w:bidi="ar-SA"/>
      </w:rPr>
    </w:lvl>
    <w:lvl w:ilvl="1" w:tplc="73F606FA">
      <w:numFmt w:val="bullet"/>
      <w:lvlText w:val="•"/>
      <w:lvlJc w:val="left"/>
      <w:pPr>
        <w:ind w:left="1327" w:hanging="360"/>
      </w:pPr>
      <w:rPr>
        <w:rFonts w:hint="default"/>
        <w:lang w:val="en-US" w:eastAsia="en-US" w:bidi="ar-SA"/>
      </w:rPr>
    </w:lvl>
    <w:lvl w:ilvl="2" w:tplc="F73E93DC">
      <w:numFmt w:val="bullet"/>
      <w:lvlText w:val="•"/>
      <w:lvlJc w:val="left"/>
      <w:pPr>
        <w:ind w:left="2154" w:hanging="360"/>
      </w:pPr>
      <w:rPr>
        <w:rFonts w:hint="default"/>
        <w:lang w:val="en-US" w:eastAsia="en-US" w:bidi="ar-SA"/>
      </w:rPr>
    </w:lvl>
    <w:lvl w:ilvl="3" w:tplc="E342146C">
      <w:numFmt w:val="bullet"/>
      <w:lvlText w:val="•"/>
      <w:lvlJc w:val="left"/>
      <w:pPr>
        <w:ind w:left="2982" w:hanging="360"/>
      </w:pPr>
      <w:rPr>
        <w:rFonts w:hint="default"/>
        <w:lang w:val="en-US" w:eastAsia="en-US" w:bidi="ar-SA"/>
      </w:rPr>
    </w:lvl>
    <w:lvl w:ilvl="4" w:tplc="BFAA6396">
      <w:numFmt w:val="bullet"/>
      <w:lvlText w:val="•"/>
      <w:lvlJc w:val="left"/>
      <w:pPr>
        <w:ind w:left="3809" w:hanging="360"/>
      </w:pPr>
      <w:rPr>
        <w:rFonts w:hint="default"/>
        <w:lang w:val="en-US" w:eastAsia="en-US" w:bidi="ar-SA"/>
      </w:rPr>
    </w:lvl>
    <w:lvl w:ilvl="5" w:tplc="C6729FDC">
      <w:numFmt w:val="bullet"/>
      <w:lvlText w:val="•"/>
      <w:lvlJc w:val="left"/>
      <w:pPr>
        <w:ind w:left="4637" w:hanging="360"/>
      </w:pPr>
      <w:rPr>
        <w:rFonts w:hint="default"/>
        <w:lang w:val="en-US" w:eastAsia="en-US" w:bidi="ar-SA"/>
      </w:rPr>
    </w:lvl>
    <w:lvl w:ilvl="6" w:tplc="6C267E62">
      <w:numFmt w:val="bullet"/>
      <w:lvlText w:val="•"/>
      <w:lvlJc w:val="left"/>
      <w:pPr>
        <w:ind w:left="5464" w:hanging="360"/>
      </w:pPr>
      <w:rPr>
        <w:rFonts w:hint="default"/>
        <w:lang w:val="en-US" w:eastAsia="en-US" w:bidi="ar-SA"/>
      </w:rPr>
    </w:lvl>
    <w:lvl w:ilvl="7" w:tplc="F014AE16">
      <w:numFmt w:val="bullet"/>
      <w:lvlText w:val="•"/>
      <w:lvlJc w:val="left"/>
      <w:pPr>
        <w:ind w:left="6291" w:hanging="360"/>
      </w:pPr>
      <w:rPr>
        <w:rFonts w:hint="default"/>
        <w:lang w:val="en-US" w:eastAsia="en-US" w:bidi="ar-SA"/>
      </w:rPr>
    </w:lvl>
    <w:lvl w:ilvl="8" w:tplc="F6B041EE">
      <w:numFmt w:val="bullet"/>
      <w:lvlText w:val="•"/>
      <w:lvlJc w:val="left"/>
      <w:pPr>
        <w:ind w:left="7119" w:hanging="360"/>
      </w:pPr>
      <w:rPr>
        <w:rFonts w:hint="default"/>
        <w:lang w:val="en-US" w:eastAsia="en-US" w:bidi="ar-SA"/>
      </w:rPr>
    </w:lvl>
  </w:abstractNum>
  <w:abstractNum w:abstractNumId="9" w15:restartNumberingAfterBreak="0">
    <w:nsid w:val="1402468A"/>
    <w:multiLevelType w:val="hybridMultilevel"/>
    <w:tmpl w:val="C13EDD42"/>
    <w:lvl w:ilvl="0" w:tplc="EEEC9888">
      <w:start w:val="1"/>
      <w:numFmt w:val="decimal"/>
      <w:lvlText w:val="%1."/>
      <w:lvlJc w:val="left"/>
      <w:pPr>
        <w:ind w:left="938" w:hanging="360"/>
      </w:pPr>
      <w:rPr>
        <w:rFonts w:ascii="Calibri" w:eastAsia="Calibri" w:hAnsi="Calibri" w:cs="Calibri" w:hint="default"/>
        <w:b/>
        <w:bCs/>
        <w:w w:val="100"/>
        <w:sz w:val="22"/>
        <w:szCs w:val="22"/>
        <w:lang w:val="en-US" w:eastAsia="en-US" w:bidi="ar-SA"/>
      </w:rPr>
    </w:lvl>
    <w:lvl w:ilvl="1" w:tplc="0FB844B4">
      <w:start w:val="1"/>
      <w:numFmt w:val="upperLetter"/>
      <w:lvlText w:val="%2."/>
      <w:lvlJc w:val="left"/>
      <w:pPr>
        <w:ind w:left="2018" w:hanging="720"/>
      </w:pPr>
      <w:rPr>
        <w:rFonts w:ascii="Calibri" w:eastAsia="Calibri" w:hAnsi="Calibri" w:cs="Calibri" w:hint="default"/>
        <w:spacing w:val="-1"/>
        <w:w w:val="100"/>
        <w:sz w:val="22"/>
        <w:szCs w:val="22"/>
        <w:lang w:val="en-US" w:eastAsia="en-US" w:bidi="ar-SA"/>
      </w:rPr>
    </w:lvl>
    <w:lvl w:ilvl="2" w:tplc="4056AA8A">
      <w:numFmt w:val="bullet"/>
      <w:lvlText w:val="•"/>
      <w:lvlJc w:val="left"/>
      <w:pPr>
        <w:ind w:left="2936" w:hanging="720"/>
      </w:pPr>
      <w:rPr>
        <w:rFonts w:hint="default"/>
        <w:lang w:val="en-US" w:eastAsia="en-US" w:bidi="ar-SA"/>
      </w:rPr>
    </w:lvl>
    <w:lvl w:ilvl="3" w:tplc="1DC0C0AE">
      <w:numFmt w:val="bullet"/>
      <w:lvlText w:val="•"/>
      <w:lvlJc w:val="left"/>
      <w:pPr>
        <w:ind w:left="3852" w:hanging="720"/>
      </w:pPr>
      <w:rPr>
        <w:rFonts w:hint="default"/>
        <w:lang w:val="en-US" w:eastAsia="en-US" w:bidi="ar-SA"/>
      </w:rPr>
    </w:lvl>
    <w:lvl w:ilvl="4" w:tplc="687CC6E8">
      <w:numFmt w:val="bullet"/>
      <w:lvlText w:val="•"/>
      <w:lvlJc w:val="left"/>
      <w:pPr>
        <w:ind w:left="4768" w:hanging="720"/>
      </w:pPr>
      <w:rPr>
        <w:rFonts w:hint="default"/>
        <w:lang w:val="en-US" w:eastAsia="en-US" w:bidi="ar-SA"/>
      </w:rPr>
    </w:lvl>
    <w:lvl w:ilvl="5" w:tplc="51C0C0F6">
      <w:numFmt w:val="bullet"/>
      <w:lvlText w:val="•"/>
      <w:lvlJc w:val="left"/>
      <w:pPr>
        <w:ind w:left="5685" w:hanging="720"/>
      </w:pPr>
      <w:rPr>
        <w:rFonts w:hint="default"/>
        <w:lang w:val="en-US" w:eastAsia="en-US" w:bidi="ar-SA"/>
      </w:rPr>
    </w:lvl>
    <w:lvl w:ilvl="6" w:tplc="172091B6">
      <w:numFmt w:val="bullet"/>
      <w:lvlText w:val="•"/>
      <w:lvlJc w:val="left"/>
      <w:pPr>
        <w:ind w:left="6601" w:hanging="720"/>
      </w:pPr>
      <w:rPr>
        <w:rFonts w:hint="default"/>
        <w:lang w:val="en-US" w:eastAsia="en-US" w:bidi="ar-SA"/>
      </w:rPr>
    </w:lvl>
    <w:lvl w:ilvl="7" w:tplc="66B46FB2">
      <w:numFmt w:val="bullet"/>
      <w:lvlText w:val="•"/>
      <w:lvlJc w:val="left"/>
      <w:pPr>
        <w:ind w:left="7517" w:hanging="720"/>
      </w:pPr>
      <w:rPr>
        <w:rFonts w:hint="default"/>
        <w:lang w:val="en-US" w:eastAsia="en-US" w:bidi="ar-SA"/>
      </w:rPr>
    </w:lvl>
    <w:lvl w:ilvl="8" w:tplc="8E02793E">
      <w:numFmt w:val="bullet"/>
      <w:lvlText w:val="•"/>
      <w:lvlJc w:val="left"/>
      <w:pPr>
        <w:ind w:left="8433" w:hanging="720"/>
      </w:pPr>
      <w:rPr>
        <w:rFonts w:hint="default"/>
        <w:lang w:val="en-US" w:eastAsia="en-US" w:bidi="ar-SA"/>
      </w:rPr>
    </w:lvl>
  </w:abstractNum>
  <w:abstractNum w:abstractNumId="10" w15:restartNumberingAfterBreak="0">
    <w:nsid w:val="148556E8"/>
    <w:multiLevelType w:val="multilevel"/>
    <w:tmpl w:val="D22EDB66"/>
    <w:lvl w:ilvl="0">
      <w:start w:val="1"/>
      <w:numFmt w:val="decimal"/>
      <w:lvlText w:val="%1"/>
      <w:lvlJc w:val="left"/>
      <w:pPr>
        <w:ind w:left="217" w:hanging="329"/>
      </w:pPr>
      <w:rPr>
        <w:rFonts w:hint="default"/>
        <w:lang w:val="en-US" w:eastAsia="en-US" w:bidi="ar-SA"/>
      </w:rPr>
    </w:lvl>
    <w:lvl w:ilvl="1">
      <w:start w:val="5"/>
      <w:numFmt w:val="decimal"/>
      <w:lvlText w:val="%1.%2"/>
      <w:lvlJc w:val="left"/>
      <w:pPr>
        <w:ind w:left="217" w:hanging="329"/>
      </w:pPr>
      <w:rPr>
        <w:rFonts w:ascii="Calibri" w:eastAsia="Calibri" w:hAnsi="Calibri" w:cs="Calibri" w:hint="default"/>
        <w:spacing w:val="-1"/>
        <w:w w:val="100"/>
        <w:sz w:val="22"/>
        <w:szCs w:val="22"/>
        <w:lang w:val="en-US" w:eastAsia="en-US" w:bidi="ar-SA"/>
      </w:rPr>
    </w:lvl>
    <w:lvl w:ilvl="2">
      <w:start w:val="1"/>
      <w:numFmt w:val="decimal"/>
      <w:lvlText w:val="%3."/>
      <w:lvlJc w:val="left"/>
      <w:pPr>
        <w:ind w:left="938" w:hanging="360"/>
      </w:pPr>
      <w:rPr>
        <w:rFonts w:ascii="Calibri" w:eastAsia="Calibri" w:hAnsi="Calibri" w:cs="Calibri" w:hint="default"/>
        <w:w w:val="100"/>
        <w:sz w:val="22"/>
        <w:szCs w:val="22"/>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2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11" w15:restartNumberingAfterBreak="0">
    <w:nsid w:val="168106C5"/>
    <w:multiLevelType w:val="hybridMultilevel"/>
    <w:tmpl w:val="CDDCFE26"/>
    <w:lvl w:ilvl="0" w:tplc="92401EC2">
      <w:numFmt w:val="bullet"/>
      <w:lvlText w:val=""/>
      <w:lvlJc w:val="left"/>
      <w:pPr>
        <w:ind w:left="468" w:hanging="361"/>
      </w:pPr>
      <w:rPr>
        <w:rFonts w:ascii="Symbol" w:eastAsia="Symbol" w:hAnsi="Symbol" w:cs="Symbol" w:hint="default"/>
        <w:w w:val="100"/>
        <w:sz w:val="22"/>
        <w:szCs w:val="22"/>
        <w:lang w:val="en-US" w:eastAsia="en-US" w:bidi="ar-SA"/>
      </w:rPr>
    </w:lvl>
    <w:lvl w:ilvl="1" w:tplc="475AC750">
      <w:numFmt w:val="bullet"/>
      <w:lvlText w:val="-"/>
      <w:lvlJc w:val="left"/>
      <w:pPr>
        <w:ind w:left="1188" w:hanging="360"/>
      </w:pPr>
      <w:rPr>
        <w:rFonts w:ascii="Courier New" w:eastAsia="Courier New" w:hAnsi="Courier New" w:cs="Courier New" w:hint="default"/>
        <w:w w:val="100"/>
        <w:sz w:val="22"/>
        <w:szCs w:val="22"/>
        <w:lang w:val="en-US" w:eastAsia="en-US" w:bidi="ar-SA"/>
      </w:rPr>
    </w:lvl>
    <w:lvl w:ilvl="2" w:tplc="C742E004">
      <w:numFmt w:val="bullet"/>
      <w:lvlText w:val="•"/>
      <w:lvlJc w:val="left"/>
      <w:pPr>
        <w:ind w:left="1816" w:hanging="360"/>
      </w:pPr>
      <w:rPr>
        <w:rFonts w:hint="default"/>
        <w:lang w:val="en-US" w:eastAsia="en-US" w:bidi="ar-SA"/>
      </w:rPr>
    </w:lvl>
    <w:lvl w:ilvl="3" w:tplc="940E66C8">
      <w:numFmt w:val="bullet"/>
      <w:lvlText w:val="•"/>
      <w:lvlJc w:val="left"/>
      <w:pPr>
        <w:ind w:left="2453" w:hanging="360"/>
      </w:pPr>
      <w:rPr>
        <w:rFonts w:hint="default"/>
        <w:lang w:val="en-US" w:eastAsia="en-US" w:bidi="ar-SA"/>
      </w:rPr>
    </w:lvl>
    <w:lvl w:ilvl="4" w:tplc="954C0538">
      <w:numFmt w:val="bullet"/>
      <w:lvlText w:val="•"/>
      <w:lvlJc w:val="left"/>
      <w:pPr>
        <w:ind w:left="3090" w:hanging="360"/>
      </w:pPr>
      <w:rPr>
        <w:rFonts w:hint="default"/>
        <w:lang w:val="en-US" w:eastAsia="en-US" w:bidi="ar-SA"/>
      </w:rPr>
    </w:lvl>
    <w:lvl w:ilvl="5" w:tplc="86D07D5A">
      <w:numFmt w:val="bullet"/>
      <w:lvlText w:val="•"/>
      <w:lvlJc w:val="left"/>
      <w:pPr>
        <w:ind w:left="3726" w:hanging="360"/>
      </w:pPr>
      <w:rPr>
        <w:rFonts w:hint="default"/>
        <w:lang w:val="en-US" w:eastAsia="en-US" w:bidi="ar-SA"/>
      </w:rPr>
    </w:lvl>
    <w:lvl w:ilvl="6" w:tplc="5DAC2536">
      <w:numFmt w:val="bullet"/>
      <w:lvlText w:val="•"/>
      <w:lvlJc w:val="left"/>
      <w:pPr>
        <w:ind w:left="4363" w:hanging="360"/>
      </w:pPr>
      <w:rPr>
        <w:rFonts w:hint="default"/>
        <w:lang w:val="en-US" w:eastAsia="en-US" w:bidi="ar-SA"/>
      </w:rPr>
    </w:lvl>
    <w:lvl w:ilvl="7" w:tplc="1494C488">
      <w:numFmt w:val="bullet"/>
      <w:lvlText w:val="•"/>
      <w:lvlJc w:val="left"/>
      <w:pPr>
        <w:ind w:left="5000" w:hanging="360"/>
      </w:pPr>
      <w:rPr>
        <w:rFonts w:hint="default"/>
        <w:lang w:val="en-US" w:eastAsia="en-US" w:bidi="ar-SA"/>
      </w:rPr>
    </w:lvl>
    <w:lvl w:ilvl="8" w:tplc="2DAA23F0">
      <w:numFmt w:val="bullet"/>
      <w:lvlText w:val="•"/>
      <w:lvlJc w:val="left"/>
      <w:pPr>
        <w:ind w:left="5636" w:hanging="360"/>
      </w:pPr>
      <w:rPr>
        <w:rFonts w:hint="default"/>
        <w:lang w:val="en-US" w:eastAsia="en-US" w:bidi="ar-SA"/>
      </w:rPr>
    </w:lvl>
  </w:abstractNum>
  <w:abstractNum w:abstractNumId="12" w15:restartNumberingAfterBreak="0">
    <w:nsid w:val="186B0410"/>
    <w:multiLevelType w:val="hybridMultilevel"/>
    <w:tmpl w:val="F9FCE51C"/>
    <w:lvl w:ilvl="0" w:tplc="DE724ADE">
      <w:numFmt w:val="bullet"/>
      <w:lvlText w:val=""/>
      <w:lvlJc w:val="left"/>
      <w:pPr>
        <w:ind w:left="468" w:hanging="361"/>
      </w:pPr>
      <w:rPr>
        <w:rFonts w:ascii="Symbol" w:eastAsia="Symbol" w:hAnsi="Symbol" w:cs="Symbol" w:hint="default"/>
        <w:w w:val="100"/>
        <w:sz w:val="22"/>
        <w:szCs w:val="22"/>
        <w:lang w:val="en-US" w:eastAsia="en-US" w:bidi="ar-SA"/>
      </w:rPr>
    </w:lvl>
    <w:lvl w:ilvl="1" w:tplc="B43E52D2">
      <w:numFmt w:val="bullet"/>
      <w:lvlText w:val="•"/>
      <w:lvlJc w:val="left"/>
      <w:pPr>
        <w:ind w:left="1105" w:hanging="361"/>
      </w:pPr>
      <w:rPr>
        <w:rFonts w:hint="default"/>
        <w:lang w:val="en-US" w:eastAsia="en-US" w:bidi="ar-SA"/>
      </w:rPr>
    </w:lvl>
    <w:lvl w:ilvl="2" w:tplc="D564051C">
      <w:numFmt w:val="bullet"/>
      <w:lvlText w:val="•"/>
      <w:lvlJc w:val="left"/>
      <w:pPr>
        <w:ind w:left="1750" w:hanging="361"/>
      </w:pPr>
      <w:rPr>
        <w:rFonts w:hint="default"/>
        <w:lang w:val="en-US" w:eastAsia="en-US" w:bidi="ar-SA"/>
      </w:rPr>
    </w:lvl>
    <w:lvl w:ilvl="3" w:tplc="3DAC46A6">
      <w:numFmt w:val="bullet"/>
      <w:lvlText w:val="•"/>
      <w:lvlJc w:val="left"/>
      <w:pPr>
        <w:ind w:left="2395" w:hanging="361"/>
      </w:pPr>
      <w:rPr>
        <w:rFonts w:hint="default"/>
        <w:lang w:val="en-US" w:eastAsia="en-US" w:bidi="ar-SA"/>
      </w:rPr>
    </w:lvl>
    <w:lvl w:ilvl="4" w:tplc="DB60718E">
      <w:numFmt w:val="bullet"/>
      <w:lvlText w:val="•"/>
      <w:lvlJc w:val="left"/>
      <w:pPr>
        <w:ind w:left="3040" w:hanging="361"/>
      </w:pPr>
      <w:rPr>
        <w:rFonts w:hint="default"/>
        <w:lang w:val="en-US" w:eastAsia="en-US" w:bidi="ar-SA"/>
      </w:rPr>
    </w:lvl>
    <w:lvl w:ilvl="5" w:tplc="B518C838">
      <w:numFmt w:val="bullet"/>
      <w:lvlText w:val="•"/>
      <w:lvlJc w:val="left"/>
      <w:pPr>
        <w:ind w:left="3685" w:hanging="361"/>
      </w:pPr>
      <w:rPr>
        <w:rFonts w:hint="default"/>
        <w:lang w:val="en-US" w:eastAsia="en-US" w:bidi="ar-SA"/>
      </w:rPr>
    </w:lvl>
    <w:lvl w:ilvl="6" w:tplc="C05E7B18">
      <w:numFmt w:val="bullet"/>
      <w:lvlText w:val="•"/>
      <w:lvlJc w:val="left"/>
      <w:pPr>
        <w:ind w:left="4330" w:hanging="361"/>
      </w:pPr>
      <w:rPr>
        <w:rFonts w:hint="default"/>
        <w:lang w:val="en-US" w:eastAsia="en-US" w:bidi="ar-SA"/>
      </w:rPr>
    </w:lvl>
    <w:lvl w:ilvl="7" w:tplc="DFC400DC">
      <w:numFmt w:val="bullet"/>
      <w:lvlText w:val="•"/>
      <w:lvlJc w:val="left"/>
      <w:pPr>
        <w:ind w:left="4975" w:hanging="361"/>
      </w:pPr>
      <w:rPr>
        <w:rFonts w:hint="default"/>
        <w:lang w:val="en-US" w:eastAsia="en-US" w:bidi="ar-SA"/>
      </w:rPr>
    </w:lvl>
    <w:lvl w:ilvl="8" w:tplc="777A0D18">
      <w:numFmt w:val="bullet"/>
      <w:lvlText w:val="•"/>
      <w:lvlJc w:val="left"/>
      <w:pPr>
        <w:ind w:left="5620" w:hanging="361"/>
      </w:pPr>
      <w:rPr>
        <w:rFonts w:hint="default"/>
        <w:lang w:val="en-US" w:eastAsia="en-US" w:bidi="ar-SA"/>
      </w:rPr>
    </w:lvl>
  </w:abstractNum>
  <w:abstractNum w:abstractNumId="13" w15:restartNumberingAfterBreak="0">
    <w:nsid w:val="193E14B7"/>
    <w:multiLevelType w:val="hybridMultilevel"/>
    <w:tmpl w:val="D834DBB4"/>
    <w:lvl w:ilvl="0" w:tplc="181EB1BE">
      <w:numFmt w:val="bullet"/>
      <w:lvlText w:val="&gt;"/>
      <w:lvlJc w:val="left"/>
      <w:pPr>
        <w:ind w:left="217" w:hanging="161"/>
      </w:pPr>
      <w:rPr>
        <w:rFonts w:ascii="Calibri" w:eastAsia="Calibri" w:hAnsi="Calibri" w:cs="Calibri" w:hint="default"/>
        <w:w w:val="100"/>
        <w:sz w:val="22"/>
        <w:szCs w:val="22"/>
        <w:lang w:val="en-US" w:eastAsia="en-US" w:bidi="ar-SA"/>
      </w:rPr>
    </w:lvl>
    <w:lvl w:ilvl="1" w:tplc="5810CE5A">
      <w:numFmt w:val="bullet"/>
      <w:lvlText w:val=""/>
      <w:lvlJc w:val="left"/>
      <w:pPr>
        <w:ind w:left="938" w:hanging="360"/>
      </w:pPr>
      <w:rPr>
        <w:rFonts w:ascii="Symbol" w:eastAsia="Symbol" w:hAnsi="Symbol" w:cs="Symbol" w:hint="default"/>
        <w:w w:val="100"/>
        <w:sz w:val="22"/>
        <w:szCs w:val="22"/>
        <w:lang w:val="en-US" w:eastAsia="en-US" w:bidi="ar-SA"/>
      </w:rPr>
    </w:lvl>
    <w:lvl w:ilvl="2" w:tplc="082CCD4A">
      <w:numFmt w:val="bullet"/>
      <w:lvlText w:val="•"/>
      <w:lvlJc w:val="left"/>
      <w:pPr>
        <w:ind w:left="1976" w:hanging="360"/>
      </w:pPr>
      <w:rPr>
        <w:rFonts w:hint="default"/>
        <w:lang w:val="en-US" w:eastAsia="en-US" w:bidi="ar-SA"/>
      </w:rPr>
    </w:lvl>
    <w:lvl w:ilvl="3" w:tplc="19785C14">
      <w:numFmt w:val="bullet"/>
      <w:lvlText w:val="•"/>
      <w:lvlJc w:val="left"/>
      <w:pPr>
        <w:ind w:left="3012" w:hanging="360"/>
      </w:pPr>
      <w:rPr>
        <w:rFonts w:hint="default"/>
        <w:lang w:val="en-US" w:eastAsia="en-US" w:bidi="ar-SA"/>
      </w:rPr>
    </w:lvl>
    <w:lvl w:ilvl="4" w:tplc="C952DE40">
      <w:numFmt w:val="bullet"/>
      <w:lvlText w:val="•"/>
      <w:lvlJc w:val="left"/>
      <w:pPr>
        <w:ind w:left="4048" w:hanging="360"/>
      </w:pPr>
      <w:rPr>
        <w:rFonts w:hint="default"/>
        <w:lang w:val="en-US" w:eastAsia="en-US" w:bidi="ar-SA"/>
      </w:rPr>
    </w:lvl>
    <w:lvl w:ilvl="5" w:tplc="BF1C2930">
      <w:numFmt w:val="bullet"/>
      <w:lvlText w:val="•"/>
      <w:lvlJc w:val="left"/>
      <w:pPr>
        <w:ind w:left="5085" w:hanging="360"/>
      </w:pPr>
      <w:rPr>
        <w:rFonts w:hint="default"/>
        <w:lang w:val="en-US" w:eastAsia="en-US" w:bidi="ar-SA"/>
      </w:rPr>
    </w:lvl>
    <w:lvl w:ilvl="6" w:tplc="6B1ECC66">
      <w:numFmt w:val="bullet"/>
      <w:lvlText w:val="•"/>
      <w:lvlJc w:val="left"/>
      <w:pPr>
        <w:ind w:left="6121" w:hanging="360"/>
      </w:pPr>
      <w:rPr>
        <w:rFonts w:hint="default"/>
        <w:lang w:val="en-US" w:eastAsia="en-US" w:bidi="ar-SA"/>
      </w:rPr>
    </w:lvl>
    <w:lvl w:ilvl="7" w:tplc="085AE362">
      <w:numFmt w:val="bullet"/>
      <w:lvlText w:val="•"/>
      <w:lvlJc w:val="left"/>
      <w:pPr>
        <w:ind w:left="7157" w:hanging="360"/>
      </w:pPr>
      <w:rPr>
        <w:rFonts w:hint="default"/>
        <w:lang w:val="en-US" w:eastAsia="en-US" w:bidi="ar-SA"/>
      </w:rPr>
    </w:lvl>
    <w:lvl w:ilvl="8" w:tplc="B2805844">
      <w:numFmt w:val="bullet"/>
      <w:lvlText w:val="•"/>
      <w:lvlJc w:val="left"/>
      <w:pPr>
        <w:ind w:left="8193" w:hanging="360"/>
      </w:pPr>
      <w:rPr>
        <w:rFonts w:hint="default"/>
        <w:lang w:val="en-US" w:eastAsia="en-US" w:bidi="ar-SA"/>
      </w:rPr>
    </w:lvl>
  </w:abstractNum>
  <w:abstractNum w:abstractNumId="14" w15:restartNumberingAfterBreak="0">
    <w:nsid w:val="1B203E2A"/>
    <w:multiLevelType w:val="hybridMultilevel"/>
    <w:tmpl w:val="345AC3C6"/>
    <w:lvl w:ilvl="0" w:tplc="3C863B34">
      <w:numFmt w:val="bullet"/>
      <w:lvlText w:val=""/>
      <w:lvlJc w:val="left"/>
      <w:pPr>
        <w:ind w:left="468" w:hanging="361"/>
      </w:pPr>
      <w:rPr>
        <w:rFonts w:ascii="Symbol" w:eastAsia="Symbol" w:hAnsi="Symbol" w:cs="Symbol" w:hint="default"/>
        <w:w w:val="100"/>
        <w:sz w:val="22"/>
        <w:szCs w:val="22"/>
        <w:lang w:val="en-US" w:eastAsia="en-US" w:bidi="ar-SA"/>
      </w:rPr>
    </w:lvl>
    <w:lvl w:ilvl="1" w:tplc="C1CAFCCA">
      <w:numFmt w:val="bullet"/>
      <w:lvlText w:val="•"/>
      <w:lvlJc w:val="left"/>
      <w:pPr>
        <w:ind w:left="1105" w:hanging="361"/>
      </w:pPr>
      <w:rPr>
        <w:rFonts w:hint="default"/>
        <w:lang w:val="en-US" w:eastAsia="en-US" w:bidi="ar-SA"/>
      </w:rPr>
    </w:lvl>
    <w:lvl w:ilvl="2" w:tplc="759A1472">
      <w:numFmt w:val="bullet"/>
      <w:lvlText w:val="•"/>
      <w:lvlJc w:val="left"/>
      <w:pPr>
        <w:ind w:left="1750" w:hanging="361"/>
      </w:pPr>
      <w:rPr>
        <w:rFonts w:hint="default"/>
        <w:lang w:val="en-US" w:eastAsia="en-US" w:bidi="ar-SA"/>
      </w:rPr>
    </w:lvl>
    <w:lvl w:ilvl="3" w:tplc="E0ACD458">
      <w:numFmt w:val="bullet"/>
      <w:lvlText w:val="•"/>
      <w:lvlJc w:val="left"/>
      <w:pPr>
        <w:ind w:left="2395" w:hanging="361"/>
      </w:pPr>
      <w:rPr>
        <w:rFonts w:hint="default"/>
        <w:lang w:val="en-US" w:eastAsia="en-US" w:bidi="ar-SA"/>
      </w:rPr>
    </w:lvl>
    <w:lvl w:ilvl="4" w:tplc="D5CEF514">
      <w:numFmt w:val="bullet"/>
      <w:lvlText w:val="•"/>
      <w:lvlJc w:val="left"/>
      <w:pPr>
        <w:ind w:left="3040" w:hanging="361"/>
      </w:pPr>
      <w:rPr>
        <w:rFonts w:hint="default"/>
        <w:lang w:val="en-US" w:eastAsia="en-US" w:bidi="ar-SA"/>
      </w:rPr>
    </w:lvl>
    <w:lvl w:ilvl="5" w:tplc="852C87FA">
      <w:numFmt w:val="bullet"/>
      <w:lvlText w:val="•"/>
      <w:lvlJc w:val="left"/>
      <w:pPr>
        <w:ind w:left="3685" w:hanging="361"/>
      </w:pPr>
      <w:rPr>
        <w:rFonts w:hint="default"/>
        <w:lang w:val="en-US" w:eastAsia="en-US" w:bidi="ar-SA"/>
      </w:rPr>
    </w:lvl>
    <w:lvl w:ilvl="6" w:tplc="E8EC3F5E">
      <w:numFmt w:val="bullet"/>
      <w:lvlText w:val="•"/>
      <w:lvlJc w:val="left"/>
      <w:pPr>
        <w:ind w:left="4330" w:hanging="361"/>
      </w:pPr>
      <w:rPr>
        <w:rFonts w:hint="default"/>
        <w:lang w:val="en-US" w:eastAsia="en-US" w:bidi="ar-SA"/>
      </w:rPr>
    </w:lvl>
    <w:lvl w:ilvl="7" w:tplc="59EAF9EE">
      <w:numFmt w:val="bullet"/>
      <w:lvlText w:val="•"/>
      <w:lvlJc w:val="left"/>
      <w:pPr>
        <w:ind w:left="4975" w:hanging="361"/>
      </w:pPr>
      <w:rPr>
        <w:rFonts w:hint="default"/>
        <w:lang w:val="en-US" w:eastAsia="en-US" w:bidi="ar-SA"/>
      </w:rPr>
    </w:lvl>
    <w:lvl w:ilvl="8" w:tplc="A9523B44">
      <w:numFmt w:val="bullet"/>
      <w:lvlText w:val="•"/>
      <w:lvlJc w:val="left"/>
      <w:pPr>
        <w:ind w:left="5620" w:hanging="361"/>
      </w:pPr>
      <w:rPr>
        <w:rFonts w:hint="default"/>
        <w:lang w:val="en-US" w:eastAsia="en-US" w:bidi="ar-SA"/>
      </w:rPr>
    </w:lvl>
  </w:abstractNum>
  <w:abstractNum w:abstractNumId="15" w15:restartNumberingAfterBreak="0">
    <w:nsid w:val="1CCA3838"/>
    <w:multiLevelType w:val="hybridMultilevel"/>
    <w:tmpl w:val="D764A51C"/>
    <w:lvl w:ilvl="0" w:tplc="9DC2A618">
      <w:numFmt w:val="bullet"/>
      <w:lvlText w:val=""/>
      <w:lvlJc w:val="left"/>
      <w:pPr>
        <w:ind w:left="468" w:hanging="360"/>
      </w:pPr>
      <w:rPr>
        <w:rFonts w:ascii="Symbol" w:eastAsia="Symbol" w:hAnsi="Symbol" w:cs="Symbol" w:hint="default"/>
        <w:w w:val="100"/>
        <w:sz w:val="22"/>
        <w:szCs w:val="22"/>
        <w:lang w:val="en-US" w:eastAsia="en-US" w:bidi="ar-SA"/>
      </w:rPr>
    </w:lvl>
    <w:lvl w:ilvl="1" w:tplc="9A5EB8B4">
      <w:numFmt w:val="bullet"/>
      <w:lvlText w:val="•"/>
      <w:lvlJc w:val="left"/>
      <w:pPr>
        <w:ind w:left="1175" w:hanging="360"/>
      </w:pPr>
      <w:rPr>
        <w:rFonts w:hint="default"/>
        <w:lang w:val="en-US" w:eastAsia="en-US" w:bidi="ar-SA"/>
      </w:rPr>
    </w:lvl>
    <w:lvl w:ilvl="2" w:tplc="49BAFA58">
      <w:numFmt w:val="bullet"/>
      <w:lvlText w:val="•"/>
      <w:lvlJc w:val="left"/>
      <w:pPr>
        <w:ind w:left="1891" w:hanging="360"/>
      </w:pPr>
      <w:rPr>
        <w:rFonts w:hint="default"/>
        <w:lang w:val="en-US" w:eastAsia="en-US" w:bidi="ar-SA"/>
      </w:rPr>
    </w:lvl>
    <w:lvl w:ilvl="3" w:tplc="CF5E0902">
      <w:numFmt w:val="bullet"/>
      <w:lvlText w:val="•"/>
      <w:lvlJc w:val="left"/>
      <w:pPr>
        <w:ind w:left="2607" w:hanging="360"/>
      </w:pPr>
      <w:rPr>
        <w:rFonts w:hint="default"/>
        <w:lang w:val="en-US" w:eastAsia="en-US" w:bidi="ar-SA"/>
      </w:rPr>
    </w:lvl>
    <w:lvl w:ilvl="4" w:tplc="D27A46D6">
      <w:numFmt w:val="bullet"/>
      <w:lvlText w:val="•"/>
      <w:lvlJc w:val="left"/>
      <w:pPr>
        <w:ind w:left="3323" w:hanging="360"/>
      </w:pPr>
      <w:rPr>
        <w:rFonts w:hint="default"/>
        <w:lang w:val="en-US" w:eastAsia="en-US" w:bidi="ar-SA"/>
      </w:rPr>
    </w:lvl>
    <w:lvl w:ilvl="5" w:tplc="E4D206CA">
      <w:numFmt w:val="bullet"/>
      <w:lvlText w:val="•"/>
      <w:lvlJc w:val="left"/>
      <w:pPr>
        <w:ind w:left="4039" w:hanging="360"/>
      </w:pPr>
      <w:rPr>
        <w:rFonts w:hint="default"/>
        <w:lang w:val="en-US" w:eastAsia="en-US" w:bidi="ar-SA"/>
      </w:rPr>
    </w:lvl>
    <w:lvl w:ilvl="6" w:tplc="C44E5920">
      <w:numFmt w:val="bullet"/>
      <w:lvlText w:val="•"/>
      <w:lvlJc w:val="left"/>
      <w:pPr>
        <w:ind w:left="4754" w:hanging="360"/>
      </w:pPr>
      <w:rPr>
        <w:rFonts w:hint="default"/>
        <w:lang w:val="en-US" w:eastAsia="en-US" w:bidi="ar-SA"/>
      </w:rPr>
    </w:lvl>
    <w:lvl w:ilvl="7" w:tplc="8594DEDC">
      <w:numFmt w:val="bullet"/>
      <w:lvlText w:val="•"/>
      <w:lvlJc w:val="left"/>
      <w:pPr>
        <w:ind w:left="5470" w:hanging="360"/>
      </w:pPr>
      <w:rPr>
        <w:rFonts w:hint="default"/>
        <w:lang w:val="en-US" w:eastAsia="en-US" w:bidi="ar-SA"/>
      </w:rPr>
    </w:lvl>
    <w:lvl w:ilvl="8" w:tplc="3D72CC14">
      <w:numFmt w:val="bullet"/>
      <w:lvlText w:val="•"/>
      <w:lvlJc w:val="left"/>
      <w:pPr>
        <w:ind w:left="6186" w:hanging="360"/>
      </w:pPr>
      <w:rPr>
        <w:rFonts w:hint="default"/>
        <w:lang w:val="en-US" w:eastAsia="en-US" w:bidi="ar-SA"/>
      </w:rPr>
    </w:lvl>
  </w:abstractNum>
  <w:abstractNum w:abstractNumId="16" w15:restartNumberingAfterBreak="0">
    <w:nsid w:val="1F9D7DB0"/>
    <w:multiLevelType w:val="hybridMultilevel"/>
    <w:tmpl w:val="151A043A"/>
    <w:lvl w:ilvl="0" w:tplc="7F9AA95C">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DC925518">
      <w:numFmt w:val="bullet"/>
      <w:lvlText w:val="•"/>
      <w:lvlJc w:val="left"/>
      <w:pPr>
        <w:ind w:left="1872" w:hanging="360"/>
      </w:pPr>
      <w:rPr>
        <w:rFonts w:hint="default"/>
        <w:lang w:val="en-US" w:eastAsia="en-US" w:bidi="ar-SA"/>
      </w:rPr>
    </w:lvl>
    <w:lvl w:ilvl="2" w:tplc="0624F7A4">
      <w:numFmt w:val="bullet"/>
      <w:lvlText w:val="•"/>
      <w:lvlJc w:val="left"/>
      <w:pPr>
        <w:ind w:left="2805" w:hanging="360"/>
      </w:pPr>
      <w:rPr>
        <w:rFonts w:hint="default"/>
        <w:lang w:val="en-US" w:eastAsia="en-US" w:bidi="ar-SA"/>
      </w:rPr>
    </w:lvl>
    <w:lvl w:ilvl="3" w:tplc="FB3A8F24">
      <w:numFmt w:val="bullet"/>
      <w:lvlText w:val="•"/>
      <w:lvlJc w:val="left"/>
      <w:pPr>
        <w:ind w:left="3737" w:hanging="360"/>
      </w:pPr>
      <w:rPr>
        <w:rFonts w:hint="default"/>
        <w:lang w:val="en-US" w:eastAsia="en-US" w:bidi="ar-SA"/>
      </w:rPr>
    </w:lvl>
    <w:lvl w:ilvl="4" w:tplc="D93EAB02">
      <w:numFmt w:val="bullet"/>
      <w:lvlText w:val="•"/>
      <w:lvlJc w:val="left"/>
      <w:pPr>
        <w:ind w:left="4670" w:hanging="360"/>
      </w:pPr>
      <w:rPr>
        <w:rFonts w:hint="default"/>
        <w:lang w:val="en-US" w:eastAsia="en-US" w:bidi="ar-SA"/>
      </w:rPr>
    </w:lvl>
    <w:lvl w:ilvl="5" w:tplc="07CA3010">
      <w:numFmt w:val="bullet"/>
      <w:lvlText w:val="•"/>
      <w:lvlJc w:val="left"/>
      <w:pPr>
        <w:ind w:left="5603" w:hanging="360"/>
      </w:pPr>
      <w:rPr>
        <w:rFonts w:hint="default"/>
        <w:lang w:val="en-US" w:eastAsia="en-US" w:bidi="ar-SA"/>
      </w:rPr>
    </w:lvl>
    <w:lvl w:ilvl="6" w:tplc="1C3A4306">
      <w:numFmt w:val="bullet"/>
      <w:lvlText w:val="•"/>
      <w:lvlJc w:val="left"/>
      <w:pPr>
        <w:ind w:left="6535" w:hanging="360"/>
      </w:pPr>
      <w:rPr>
        <w:rFonts w:hint="default"/>
        <w:lang w:val="en-US" w:eastAsia="en-US" w:bidi="ar-SA"/>
      </w:rPr>
    </w:lvl>
    <w:lvl w:ilvl="7" w:tplc="B8F2AE06">
      <w:numFmt w:val="bullet"/>
      <w:lvlText w:val="•"/>
      <w:lvlJc w:val="left"/>
      <w:pPr>
        <w:ind w:left="7468" w:hanging="360"/>
      </w:pPr>
      <w:rPr>
        <w:rFonts w:hint="default"/>
        <w:lang w:val="en-US" w:eastAsia="en-US" w:bidi="ar-SA"/>
      </w:rPr>
    </w:lvl>
    <w:lvl w:ilvl="8" w:tplc="92F06FCA">
      <w:numFmt w:val="bullet"/>
      <w:lvlText w:val="•"/>
      <w:lvlJc w:val="left"/>
      <w:pPr>
        <w:ind w:left="8401" w:hanging="360"/>
      </w:pPr>
      <w:rPr>
        <w:rFonts w:hint="default"/>
        <w:lang w:val="en-US" w:eastAsia="en-US" w:bidi="ar-SA"/>
      </w:rPr>
    </w:lvl>
  </w:abstractNum>
  <w:abstractNum w:abstractNumId="17" w15:restartNumberingAfterBreak="0">
    <w:nsid w:val="21DB0791"/>
    <w:multiLevelType w:val="hybridMultilevel"/>
    <w:tmpl w:val="E8F811EE"/>
    <w:lvl w:ilvl="0" w:tplc="4DCE6316">
      <w:numFmt w:val="bullet"/>
      <w:lvlText w:val=""/>
      <w:lvlJc w:val="left"/>
      <w:pPr>
        <w:ind w:left="468" w:hanging="360"/>
      </w:pPr>
      <w:rPr>
        <w:rFonts w:ascii="Symbol" w:eastAsia="Symbol" w:hAnsi="Symbol" w:cs="Symbol" w:hint="default"/>
        <w:w w:val="100"/>
        <w:sz w:val="22"/>
        <w:szCs w:val="22"/>
        <w:lang w:val="en-US" w:eastAsia="en-US" w:bidi="ar-SA"/>
      </w:rPr>
    </w:lvl>
    <w:lvl w:ilvl="1" w:tplc="CC8C98B8">
      <w:numFmt w:val="bullet"/>
      <w:lvlText w:val="•"/>
      <w:lvlJc w:val="left"/>
      <w:pPr>
        <w:ind w:left="1175" w:hanging="360"/>
      </w:pPr>
      <w:rPr>
        <w:rFonts w:hint="default"/>
        <w:lang w:val="en-US" w:eastAsia="en-US" w:bidi="ar-SA"/>
      </w:rPr>
    </w:lvl>
    <w:lvl w:ilvl="2" w:tplc="405C7F8E">
      <w:numFmt w:val="bullet"/>
      <w:lvlText w:val="•"/>
      <w:lvlJc w:val="left"/>
      <w:pPr>
        <w:ind w:left="1891" w:hanging="360"/>
      </w:pPr>
      <w:rPr>
        <w:rFonts w:hint="default"/>
        <w:lang w:val="en-US" w:eastAsia="en-US" w:bidi="ar-SA"/>
      </w:rPr>
    </w:lvl>
    <w:lvl w:ilvl="3" w:tplc="EED0224A">
      <w:numFmt w:val="bullet"/>
      <w:lvlText w:val="•"/>
      <w:lvlJc w:val="left"/>
      <w:pPr>
        <w:ind w:left="2607" w:hanging="360"/>
      </w:pPr>
      <w:rPr>
        <w:rFonts w:hint="default"/>
        <w:lang w:val="en-US" w:eastAsia="en-US" w:bidi="ar-SA"/>
      </w:rPr>
    </w:lvl>
    <w:lvl w:ilvl="4" w:tplc="CBE0E2A0">
      <w:numFmt w:val="bullet"/>
      <w:lvlText w:val="•"/>
      <w:lvlJc w:val="left"/>
      <w:pPr>
        <w:ind w:left="3323" w:hanging="360"/>
      </w:pPr>
      <w:rPr>
        <w:rFonts w:hint="default"/>
        <w:lang w:val="en-US" w:eastAsia="en-US" w:bidi="ar-SA"/>
      </w:rPr>
    </w:lvl>
    <w:lvl w:ilvl="5" w:tplc="B4DCC996">
      <w:numFmt w:val="bullet"/>
      <w:lvlText w:val="•"/>
      <w:lvlJc w:val="left"/>
      <w:pPr>
        <w:ind w:left="4039" w:hanging="360"/>
      </w:pPr>
      <w:rPr>
        <w:rFonts w:hint="default"/>
        <w:lang w:val="en-US" w:eastAsia="en-US" w:bidi="ar-SA"/>
      </w:rPr>
    </w:lvl>
    <w:lvl w:ilvl="6" w:tplc="028C2C66">
      <w:numFmt w:val="bullet"/>
      <w:lvlText w:val="•"/>
      <w:lvlJc w:val="left"/>
      <w:pPr>
        <w:ind w:left="4754" w:hanging="360"/>
      </w:pPr>
      <w:rPr>
        <w:rFonts w:hint="default"/>
        <w:lang w:val="en-US" w:eastAsia="en-US" w:bidi="ar-SA"/>
      </w:rPr>
    </w:lvl>
    <w:lvl w:ilvl="7" w:tplc="C4F2FBF6">
      <w:numFmt w:val="bullet"/>
      <w:lvlText w:val="•"/>
      <w:lvlJc w:val="left"/>
      <w:pPr>
        <w:ind w:left="5470" w:hanging="360"/>
      </w:pPr>
      <w:rPr>
        <w:rFonts w:hint="default"/>
        <w:lang w:val="en-US" w:eastAsia="en-US" w:bidi="ar-SA"/>
      </w:rPr>
    </w:lvl>
    <w:lvl w:ilvl="8" w:tplc="B5D061FE">
      <w:numFmt w:val="bullet"/>
      <w:lvlText w:val="•"/>
      <w:lvlJc w:val="left"/>
      <w:pPr>
        <w:ind w:left="6186" w:hanging="360"/>
      </w:pPr>
      <w:rPr>
        <w:rFonts w:hint="default"/>
        <w:lang w:val="en-US" w:eastAsia="en-US" w:bidi="ar-SA"/>
      </w:rPr>
    </w:lvl>
  </w:abstractNum>
  <w:abstractNum w:abstractNumId="18" w15:restartNumberingAfterBreak="0">
    <w:nsid w:val="26DA2A94"/>
    <w:multiLevelType w:val="hybridMultilevel"/>
    <w:tmpl w:val="4C04A5A0"/>
    <w:lvl w:ilvl="0" w:tplc="61B6FE60">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35988D3E">
      <w:numFmt w:val="bullet"/>
      <w:lvlText w:val="•"/>
      <w:lvlJc w:val="left"/>
      <w:pPr>
        <w:ind w:left="1872" w:hanging="360"/>
      </w:pPr>
      <w:rPr>
        <w:rFonts w:hint="default"/>
        <w:lang w:val="en-US" w:eastAsia="en-US" w:bidi="ar-SA"/>
      </w:rPr>
    </w:lvl>
    <w:lvl w:ilvl="2" w:tplc="F17019E8">
      <w:numFmt w:val="bullet"/>
      <w:lvlText w:val="•"/>
      <w:lvlJc w:val="left"/>
      <w:pPr>
        <w:ind w:left="2805" w:hanging="360"/>
      </w:pPr>
      <w:rPr>
        <w:rFonts w:hint="default"/>
        <w:lang w:val="en-US" w:eastAsia="en-US" w:bidi="ar-SA"/>
      </w:rPr>
    </w:lvl>
    <w:lvl w:ilvl="3" w:tplc="5E6CB204">
      <w:numFmt w:val="bullet"/>
      <w:lvlText w:val="•"/>
      <w:lvlJc w:val="left"/>
      <w:pPr>
        <w:ind w:left="3737" w:hanging="360"/>
      </w:pPr>
      <w:rPr>
        <w:rFonts w:hint="default"/>
        <w:lang w:val="en-US" w:eastAsia="en-US" w:bidi="ar-SA"/>
      </w:rPr>
    </w:lvl>
    <w:lvl w:ilvl="4" w:tplc="F424CB5C">
      <w:numFmt w:val="bullet"/>
      <w:lvlText w:val="•"/>
      <w:lvlJc w:val="left"/>
      <w:pPr>
        <w:ind w:left="4670" w:hanging="360"/>
      </w:pPr>
      <w:rPr>
        <w:rFonts w:hint="default"/>
        <w:lang w:val="en-US" w:eastAsia="en-US" w:bidi="ar-SA"/>
      </w:rPr>
    </w:lvl>
    <w:lvl w:ilvl="5" w:tplc="27625192">
      <w:numFmt w:val="bullet"/>
      <w:lvlText w:val="•"/>
      <w:lvlJc w:val="left"/>
      <w:pPr>
        <w:ind w:left="5603" w:hanging="360"/>
      </w:pPr>
      <w:rPr>
        <w:rFonts w:hint="default"/>
        <w:lang w:val="en-US" w:eastAsia="en-US" w:bidi="ar-SA"/>
      </w:rPr>
    </w:lvl>
    <w:lvl w:ilvl="6" w:tplc="C4EC0862">
      <w:numFmt w:val="bullet"/>
      <w:lvlText w:val="•"/>
      <w:lvlJc w:val="left"/>
      <w:pPr>
        <w:ind w:left="6535" w:hanging="360"/>
      </w:pPr>
      <w:rPr>
        <w:rFonts w:hint="default"/>
        <w:lang w:val="en-US" w:eastAsia="en-US" w:bidi="ar-SA"/>
      </w:rPr>
    </w:lvl>
    <w:lvl w:ilvl="7" w:tplc="172C3580">
      <w:numFmt w:val="bullet"/>
      <w:lvlText w:val="•"/>
      <w:lvlJc w:val="left"/>
      <w:pPr>
        <w:ind w:left="7468" w:hanging="360"/>
      </w:pPr>
      <w:rPr>
        <w:rFonts w:hint="default"/>
        <w:lang w:val="en-US" w:eastAsia="en-US" w:bidi="ar-SA"/>
      </w:rPr>
    </w:lvl>
    <w:lvl w:ilvl="8" w:tplc="D19A8E9C">
      <w:numFmt w:val="bullet"/>
      <w:lvlText w:val="•"/>
      <w:lvlJc w:val="left"/>
      <w:pPr>
        <w:ind w:left="8401" w:hanging="360"/>
      </w:pPr>
      <w:rPr>
        <w:rFonts w:hint="default"/>
        <w:lang w:val="en-US" w:eastAsia="en-US" w:bidi="ar-SA"/>
      </w:rPr>
    </w:lvl>
  </w:abstractNum>
  <w:abstractNum w:abstractNumId="19" w15:restartNumberingAfterBreak="0">
    <w:nsid w:val="29F14646"/>
    <w:multiLevelType w:val="hybridMultilevel"/>
    <w:tmpl w:val="60FC1F6A"/>
    <w:lvl w:ilvl="0" w:tplc="9BF4648A">
      <w:numFmt w:val="bullet"/>
      <w:lvlText w:val=""/>
      <w:lvlJc w:val="left"/>
      <w:pPr>
        <w:ind w:left="468" w:hanging="360"/>
      </w:pPr>
      <w:rPr>
        <w:rFonts w:ascii="Symbol" w:eastAsia="Symbol" w:hAnsi="Symbol" w:cs="Symbol" w:hint="default"/>
        <w:w w:val="100"/>
        <w:sz w:val="22"/>
        <w:szCs w:val="22"/>
        <w:lang w:val="en-US" w:eastAsia="en-US" w:bidi="ar-SA"/>
      </w:rPr>
    </w:lvl>
    <w:lvl w:ilvl="1" w:tplc="91D2A4F0">
      <w:numFmt w:val="bullet"/>
      <w:lvlText w:val="•"/>
      <w:lvlJc w:val="left"/>
      <w:pPr>
        <w:ind w:left="1175" w:hanging="360"/>
      </w:pPr>
      <w:rPr>
        <w:rFonts w:hint="default"/>
        <w:lang w:val="en-US" w:eastAsia="en-US" w:bidi="ar-SA"/>
      </w:rPr>
    </w:lvl>
    <w:lvl w:ilvl="2" w:tplc="287A1B44">
      <w:numFmt w:val="bullet"/>
      <w:lvlText w:val="•"/>
      <w:lvlJc w:val="left"/>
      <w:pPr>
        <w:ind w:left="1891" w:hanging="360"/>
      </w:pPr>
      <w:rPr>
        <w:rFonts w:hint="default"/>
        <w:lang w:val="en-US" w:eastAsia="en-US" w:bidi="ar-SA"/>
      </w:rPr>
    </w:lvl>
    <w:lvl w:ilvl="3" w:tplc="4E928800">
      <w:numFmt w:val="bullet"/>
      <w:lvlText w:val="•"/>
      <w:lvlJc w:val="left"/>
      <w:pPr>
        <w:ind w:left="2607" w:hanging="360"/>
      </w:pPr>
      <w:rPr>
        <w:rFonts w:hint="default"/>
        <w:lang w:val="en-US" w:eastAsia="en-US" w:bidi="ar-SA"/>
      </w:rPr>
    </w:lvl>
    <w:lvl w:ilvl="4" w:tplc="0F86C4A4">
      <w:numFmt w:val="bullet"/>
      <w:lvlText w:val="•"/>
      <w:lvlJc w:val="left"/>
      <w:pPr>
        <w:ind w:left="3323" w:hanging="360"/>
      </w:pPr>
      <w:rPr>
        <w:rFonts w:hint="default"/>
        <w:lang w:val="en-US" w:eastAsia="en-US" w:bidi="ar-SA"/>
      </w:rPr>
    </w:lvl>
    <w:lvl w:ilvl="5" w:tplc="50CC2A3C">
      <w:numFmt w:val="bullet"/>
      <w:lvlText w:val="•"/>
      <w:lvlJc w:val="left"/>
      <w:pPr>
        <w:ind w:left="4039" w:hanging="360"/>
      </w:pPr>
      <w:rPr>
        <w:rFonts w:hint="default"/>
        <w:lang w:val="en-US" w:eastAsia="en-US" w:bidi="ar-SA"/>
      </w:rPr>
    </w:lvl>
    <w:lvl w:ilvl="6" w:tplc="8B42050E">
      <w:numFmt w:val="bullet"/>
      <w:lvlText w:val="•"/>
      <w:lvlJc w:val="left"/>
      <w:pPr>
        <w:ind w:left="4754" w:hanging="360"/>
      </w:pPr>
      <w:rPr>
        <w:rFonts w:hint="default"/>
        <w:lang w:val="en-US" w:eastAsia="en-US" w:bidi="ar-SA"/>
      </w:rPr>
    </w:lvl>
    <w:lvl w:ilvl="7" w:tplc="41C23BFC">
      <w:numFmt w:val="bullet"/>
      <w:lvlText w:val="•"/>
      <w:lvlJc w:val="left"/>
      <w:pPr>
        <w:ind w:left="5470" w:hanging="360"/>
      </w:pPr>
      <w:rPr>
        <w:rFonts w:hint="default"/>
        <w:lang w:val="en-US" w:eastAsia="en-US" w:bidi="ar-SA"/>
      </w:rPr>
    </w:lvl>
    <w:lvl w:ilvl="8" w:tplc="B0ECFC2A">
      <w:numFmt w:val="bullet"/>
      <w:lvlText w:val="•"/>
      <w:lvlJc w:val="left"/>
      <w:pPr>
        <w:ind w:left="6186" w:hanging="360"/>
      </w:pPr>
      <w:rPr>
        <w:rFonts w:hint="default"/>
        <w:lang w:val="en-US" w:eastAsia="en-US" w:bidi="ar-SA"/>
      </w:rPr>
    </w:lvl>
  </w:abstractNum>
  <w:abstractNum w:abstractNumId="20" w15:restartNumberingAfterBreak="0">
    <w:nsid w:val="2C9503BC"/>
    <w:multiLevelType w:val="hybridMultilevel"/>
    <w:tmpl w:val="007C0340"/>
    <w:lvl w:ilvl="0" w:tplc="1EFE730C">
      <w:numFmt w:val="bullet"/>
      <w:lvlText w:val=""/>
      <w:lvlJc w:val="left"/>
      <w:pPr>
        <w:ind w:left="938" w:hanging="360"/>
      </w:pPr>
      <w:rPr>
        <w:rFonts w:ascii="Symbol" w:eastAsia="Symbol" w:hAnsi="Symbol" w:cs="Symbol" w:hint="default"/>
        <w:w w:val="100"/>
        <w:sz w:val="22"/>
        <w:szCs w:val="22"/>
        <w:lang w:val="en-US" w:eastAsia="en-US" w:bidi="ar-SA"/>
      </w:rPr>
    </w:lvl>
    <w:lvl w:ilvl="1" w:tplc="33944164">
      <w:numFmt w:val="bullet"/>
      <w:lvlText w:val="•"/>
      <w:lvlJc w:val="left"/>
      <w:pPr>
        <w:ind w:left="1872" w:hanging="360"/>
      </w:pPr>
      <w:rPr>
        <w:rFonts w:hint="default"/>
        <w:lang w:val="en-US" w:eastAsia="en-US" w:bidi="ar-SA"/>
      </w:rPr>
    </w:lvl>
    <w:lvl w:ilvl="2" w:tplc="106AFC00">
      <w:numFmt w:val="bullet"/>
      <w:lvlText w:val="•"/>
      <w:lvlJc w:val="left"/>
      <w:pPr>
        <w:ind w:left="2805" w:hanging="360"/>
      </w:pPr>
      <w:rPr>
        <w:rFonts w:hint="default"/>
        <w:lang w:val="en-US" w:eastAsia="en-US" w:bidi="ar-SA"/>
      </w:rPr>
    </w:lvl>
    <w:lvl w:ilvl="3" w:tplc="33128E6A">
      <w:numFmt w:val="bullet"/>
      <w:lvlText w:val="•"/>
      <w:lvlJc w:val="left"/>
      <w:pPr>
        <w:ind w:left="3737" w:hanging="360"/>
      </w:pPr>
      <w:rPr>
        <w:rFonts w:hint="default"/>
        <w:lang w:val="en-US" w:eastAsia="en-US" w:bidi="ar-SA"/>
      </w:rPr>
    </w:lvl>
    <w:lvl w:ilvl="4" w:tplc="F3E65CE0">
      <w:numFmt w:val="bullet"/>
      <w:lvlText w:val="•"/>
      <w:lvlJc w:val="left"/>
      <w:pPr>
        <w:ind w:left="4670" w:hanging="360"/>
      </w:pPr>
      <w:rPr>
        <w:rFonts w:hint="default"/>
        <w:lang w:val="en-US" w:eastAsia="en-US" w:bidi="ar-SA"/>
      </w:rPr>
    </w:lvl>
    <w:lvl w:ilvl="5" w:tplc="8354A02A">
      <w:numFmt w:val="bullet"/>
      <w:lvlText w:val="•"/>
      <w:lvlJc w:val="left"/>
      <w:pPr>
        <w:ind w:left="5603" w:hanging="360"/>
      </w:pPr>
      <w:rPr>
        <w:rFonts w:hint="default"/>
        <w:lang w:val="en-US" w:eastAsia="en-US" w:bidi="ar-SA"/>
      </w:rPr>
    </w:lvl>
    <w:lvl w:ilvl="6" w:tplc="F5F2D108">
      <w:numFmt w:val="bullet"/>
      <w:lvlText w:val="•"/>
      <w:lvlJc w:val="left"/>
      <w:pPr>
        <w:ind w:left="6535" w:hanging="360"/>
      </w:pPr>
      <w:rPr>
        <w:rFonts w:hint="default"/>
        <w:lang w:val="en-US" w:eastAsia="en-US" w:bidi="ar-SA"/>
      </w:rPr>
    </w:lvl>
    <w:lvl w:ilvl="7" w:tplc="BBC609DA">
      <w:numFmt w:val="bullet"/>
      <w:lvlText w:val="•"/>
      <w:lvlJc w:val="left"/>
      <w:pPr>
        <w:ind w:left="7468" w:hanging="360"/>
      </w:pPr>
      <w:rPr>
        <w:rFonts w:hint="default"/>
        <w:lang w:val="en-US" w:eastAsia="en-US" w:bidi="ar-SA"/>
      </w:rPr>
    </w:lvl>
    <w:lvl w:ilvl="8" w:tplc="74846086">
      <w:numFmt w:val="bullet"/>
      <w:lvlText w:val="•"/>
      <w:lvlJc w:val="left"/>
      <w:pPr>
        <w:ind w:left="8401" w:hanging="360"/>
      </w:pPr>
      <w:rPr>
        <w:rFonts w:hint="default"/>
        <w:lang w:val="en-US" w:eastAsia="en-US" w:bidi="ar-SA"/>
      </w:rPr>
    </w:lvl>
  </w:abstractNum>
  <w:abstractNum w:abstractNumId="21" w15:restartNumberingAfterBreak="0">
    <w:nsid w:val="2F481263"/>
    <w:multiLevelType w:val="hybridMultilevel"/>
    <w:tmpl w:val="16D899C6"/>
    <w:lvl w:ilvl="0" w:tplc="D87CC3DC">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7090B776">
      <w:numFmt w:val="bullet"/>
      <w:lvlText w:val="•"/>
      <w:lvlJc w:val="left"/>
      <w:pPr>
        <w:ind w:left="1872" w:hanging="360"/>
      </w:pPr>
      <w:rPr>
        <w:rFonts w:hint="default"/>
        <w:lang w:val="en-US" w:eastAsia="en-US" w:bidi="ar-SA"/>
      </w:rPr>
    </w:lvl>
    <w:lvl w:ilvl="2" w:tplc="CC7083EA">
      <w:numFmt w:val="bullet"/>
      <w:lvlText w:val="•"/>
      <w:lvlJc w:val="left"/>
      <w:pPr>
        <w:ind w:left="2805" w:hanging="360"/>
      </w:pPr>
      <w:rPr>
        <w:rFonts w:hint="default"/>
        <w:lang w:val="en-US" w:eastAsia="en-US" w:bidi="ar-SA"/>
      </w:rPr>
    </w:lvl>
    <w:lvl w:ilvl="3" w:tplc="19E0E802">
      <w:numFmt w:val="bullet"/>
      <w:lvlText w:val="•"/>
      <w:lvlJc w:val="left"/>
      <w:pPr>
        <w:ind w:left="3737" w:hanging="360"/>
      </w:pPr>
      <w:rPr>
        <w:rFonts w:hint="default"/>
        <w:lang w:val="en-US" w:eastAsia="en-US" w:bidi="ar-SA"/>
      </w:rPr>
    </w:lvl>
    <w:lvl w:ilvl="4" w:tplc="3D1265EE">
      <w:numFmt w:val="bullet"/>
      <w:lvlText w:val="•"/>
      <w:lvlJc w:val="left"/>
      <w:pPr>
        <w:ind w:left="4670" w:hanging="360"/>
      </w:pPr>
      <w:rPr>
        <w:rFonts w:hint="default"/>
        <w:lang w:val="en-US" w:eastAsia="en-US" w:bidi="ar-SA"/>
      </w:rPr>
    </w:lvl>
    <w:lvl w:ilvl="5" w:tplc="F07E91D0">
      <w:numFmt w:val="bullet"/>
      <w:lvlText w:val="•"/>
      <w:lvlJc w:val="left"/>
      <w:pPr>
        <w:ind w:left="5603" w:hanging="360"/>
      </w:pPr>
      <w:rPr>
        <w:rFonts w:hint="default"/>
        <w:lang w:val="en-US" w:eastAsia="en-US" w:bidi="ar-SA"/>
      </w:rPr>
    </w:lvl>
    <w:lvl w:ilvl="6" w:tplc="6EFAD302">
      <w:numFmt w:val="bullet"/>
      <w:lvlText w:val="•"/>
      <w:lvlJc w:val="left"/>
      <w:pPr>
        <w:ind w:left="6535" w:hanging="360"/>
      </w:pPr>
      <w:rPr>
        <w:rFonts w:hint="default"/>
        <w:lang w:val="en-US" w:eastAsia="en-US" w:bidi="ar-SA"/>
      </w:rPr>
    </w:lvl>
    <w:lvl w:ilvl="7" w:tplc="738AD79C">
      <w:numFmt w:val="bullet"/>
      <w:lvlText w:val="•"/>
      <w:lvlJc w:val="left"/>
      <w:pPr>
        <w:ind w:left="7468" w:hanging="360"/>
      </w:pPr>
      <w:rPr>
        <w:rFonts w:hint="default"/>
        <w:lang w:val="en-US" w:eastAsia="en-US" w:bidi="ar-SA"/>
      </w:rPr>
    </w:lvl>
    <w:lvl w:ilvl="8" w:tplc="061011E6">
      <w:numFmt w:val="bullet"/>
      <w:lvlText w:val="•"/>
      <w:lvlJc w:val="left"/>
      <w:pPr>
        <w:ind w:left="8401" w:hanging="360"/>
      </w:pPr>
      <w:rPr>
        <w:rFonts w:hint="default"/>
        <w:lang w:val="en-US" w:eastAsia="en-US" w:bidi="ar-SA"/>
      </w:rPr>
    </w:lvl>
  </w:abstractNum>
  <w:abstractNum w:abstractNumId="22" w15:restartNumberingAfterBreak="0">
    <w:nsid w:val="307F2330"/>
    <w:multiLevelType w:val="hybridMultilevel"/>
    <w:tmpl w:val="2D30D994"/>
    <w:lvl w:ilvl="0" w:tplc="8BD4C194">
      <w:numFmt w:val="bullet"/>
      <w:lvlText w:val=""/>
      <w:lvlJc w:val="left"/>
      <w:pPr>
        <w:ind w:left="468" w:hanging="360"/>
      </w:pPr>
      <w:rPr>
        <w:rFonts w:ascii="Symbol" w:eastAsia="Symbol" w:hAnsi="Symbol" w:cs="Symbol" w:hint="default"/>
        <w:w w:val="100"/>
        <w:sz w:val="22"/>
        <w:szCs w:val="22"/>
        <w:lang w:val="en-US" w:eastAsia="en-US" w:bidi="ar-SA"/>
      </w:rPr>
    </w:lvl>
    <w:lvl w:ilvl="1" w:tplc="E3909E80">
      <w:numFmt w:val="bullet"/>
      <w:lvlText w:val="•"/>
      <w:lvlJc w:val="left"/>
      <w:pPr>
        <w:ind w:left="1079" w:hanging="360"/>
      </w:pPr>
      <w:rPr>
        <w:rFonts w:hint="default"/>
        <w:lang w:val="en-US" w:eastAsia="en-US" w:bidi="ar-SA"/>
      </w:rPr>
    </w:lvl>
    <w:lvl w:ilvl="2" w:tplc="22708AE2">
      <w:numFmt w:val="bullet"/>
      <w:lvlText w:val="•"/>
      <w:lvlJc w:val="left"/>
      <w:pPr>
        <w:ind w:left="1699" w:hanging="360"/>
      </w:pPr>
      <w:rPr>
        <w:rFonts w:hint="default"/>
        <w:lang w:val="en-US" w:eastAsia="en-US" w:bidi="ar-SA"/>
      </w:rPr>
    </w:lvl>
    <w:lvl w:ilvl="3" w:tplc="78FCFD50">
      <w:numFmt w:val="bullet"/>
      <w:lvlText w:val="•"/>
      <w:lvlJc w:val="left"/>
      <w:pPr>
        <w:ind w:left="2318" w:hanging="360"/>
      </w:pPr>
      <w:rPr>
        <w:rFonts w:hint="default"/>
        <w:lang w:val="en-US" w:eastAsia="en-US" w:bidi="ar-SA"/>
      </w:rPr>
    </w:lvl>
    <w:lvl w:ilvl="4" w:tplc="AC9A3CBC">
      <w:numFmt w:val="bullet"/>
      <w:lvlText w:val="•"/>
      <w:lvlJc w:val="left"/>
      <w:pPr>
        <w:ind w:left="2938" w:hanging="360"/>
      </w:pPr>
      <w:rPr>
        <w:rFonts w:hint="default"/>
        <w:lang w:val="en-US" w:eastAsia="en-US" w:bidi="ar-SA"/>
      </w:rPr>
    </w:lvl>
    <w:lvl w:ilvl="5" w:tplc="7A7A367E">
      <w:numFmt w:val="bullet"/>
      <w:lvlText w:val="•"/>
      <w:lvlJc w:val="left"/>
      <w:pPr>
        <w:ind w:left="3557" w:hanging="360"/>
      </w:pPr>
      <w:rPr>
        <w:rFonts w:hint="default"/>
        <w:lang w:val="en-US" w:eastAsia="en-US" w:bidi="ar-SA"/>
      </w:rPr>
    </w:lvl>
    <w:lvl w:ilvl="6" w:tplc="FEB29002">
      <w:numFmt w:val="bullet"/>
      <w:lvlText w:val="•"/>
      <w:lvlJc w:val="left"/>
      <w:pPr>
        <w:ind w:left="4177" w:hanging="360"/>
      </w:pPr>
      <w:rPr>
        <w:rFonts w:hint="default"/>
        <w:lang w:val="en-US" w:eastAsia="en-US" w:bidi="ar-SA"/>
      </w:rPr>
    </w:lvl>
    <w:lvl w:ilvl="7" w:tplc="3F3AE896">
      <w:numFmt w:val="bullet"/>
      <w:lvlText w:val="•"/>
      <w:lvlJc w:val="left"/>
      <w:pPr>
        <w:ind w:left="4796" w:hanging="360"/>
      </w:pPr>
      <w:rPr>
        <w:rFonts w:hint="default"/>
        <w:lang w:val="en-US" w:eastAsia="en-US" w:bidi="ar-SA"/>
      </w:rPr>
    </w:lvl>
    <w:lvl w:ilvl="8" w:tplc="6B2C0248">
      <w:numFmt w:val="bullet"/>
      <w:lvlText w:val="•"/>
      <w:lvlJc w:val="left"/>
      <w:pPr>
        <w:ind w:left="5416" w:hanging="360"/>
      </w:pPr>
      <w:rPr>
        <w:rFonts w:hint="default"/>
        <w:lang w:val="en-US" w:eastAsia="en-US" w:bidi="ar-SA"/>
      </w:rPr>
    </w:lvl>
  </w:abstractNum>
  <w:abstractNum w:abstractNumId="23" w15:restartNumberingAfterBreak="0">
    <w:nsid w:val="33C969CB"/>
    <w:multiLevelType w:val="hybridMultilevel"/>
    <w:tmpl w:val="E286E064"/>
    <w:lvl w:ilvl="0" w:tplc="EF0E7EBA">
      <w:numFmt w:val="bullet"/>
      <w:lvlText w:val=""/>
      <w:lvlJc w:val="left"/>
      <w:pPr>
        <w:ind w:left="465" w:hanging="360"/>
      </w:pPr>
      <w:rPr>
        <w:rFonts w:ascii="Symbol" w:eastAsia="Symbol" w:hAnsi="Symbol" w:cs="Symbol" w:hint="default"/>
        <w:w w:val="100"/>
        <w:sz w:val="22"/>
        <w:szCs w:val="22"/>
        <w:lang w:val="en-US" w:eastAsia="en-US" w:bidi="ar-SA"/>
      </w:rPr>
    </w:lvl>
    <w:lvl w:ilvl="1" w:tplc="0C1499C8">
      <w:numFmt w:val="bullet"/>
      <w:lvlText w:val="•"/>
      <w:lvlJc w:val="left"/>
      <w:pPr>
        <w:ind w:left="1062" w:hanging="360"/>
      </w:pPr>
      <w:rPr>
        <w:rFonts w:hint="default"/>
        <w:lang w:val="en-US" w:eastAsia="en-US" w:bidi="ar-SA"/>
      </w:rPr>
    </w:lvl>
    <w:lvl w:ilvl="2" w:tplc="F61E9606">
      <w:numFmt w:val="bullet"/>
      <w:lvlText w:val="•"/>
      <w:lvlJc w:val="left"/>
      <w:pPr>
        <w:ind w:left="1664" w:hanging="360"/>
      </w:pPr>
      <w:rPr>
        <w:rFonts w:hint="default"/>
        <w:lang w:val="en-US" w:eastAsia="en-US" w:bidi="ar-SA"/>
      </w:rPr>
    </w:lvl>
    <w:lvl w:ilvl="3" w:tplc="F2765BDE">
      <w:numFmt w:val="bullet"/>
      <w:lvlText w:val="•"/>
      <w:lvlJc w:val="left"/>
      <w:pPr>
        <w:ind w:left="2266" w:hanging="360"/>
      </w:pPr>
      <w:rPr>
        <w:rFonts w:hint="default"/>
        <w:lang w:val="en-US" w:eastAsia="en-US" w:bidi="ar-SA"/>
      </w:rPr>
    </w:lvl>
    <w:lvl w:ilvl="4" w:tplc="E0C0A52C">
      <w:numFmt w:val="bullet"/>
      <w:lvlText w:val="•"/>
      <w:lvlJc w:val="left"/>
      <w:pPr>
        <w:ind w:left="2869" w:hanging="360"/>
      </w:pPr>
      <w:rPr>
        <w:rFonts w:hint="default"/>
        <w:lang w:val="en-US" w:eastAsia="en-US" w:bidi="ar-SA"/>
      </w:rPr>
    </w:lvl>
    <w:lvl w:ilvl="5" w:tplc="FAE27A0C">
      <w:numFmt w:val="bullet"/>
      <w:lvlText w:val="•"/>
      <w:lvlJc w:val="left"/>
      <w:pPr>
        <w:ind w:left="3471" w:hanging="360"/>
      </w:pPr>
      <w:rPr>
        <w:rFonts w:hint="default"/>
        <w:lang w:val="en-US" w:eastAsia="en-US" w:bidi="ar-SA"/>
      </w:rPr>
    </w:lvl>
    <w:lvl w:ilvl="6" w:tplc="7C44A16A">
      <w:numFmt w:val="bullet"/>
      <w:lvlText w:val="•"/>
      <w:lvlJc w:val="left"/>
      <w:pPr>
        <w:ind w:left="4073" w:hanging="360"/>
      </w:pPr>
      <w:rPr>
        <w:rFonts w:hint="default"/>
        <w:lang w:val="en-US" w:eastAsia="en-US" w:bidi="ar-SA"/>
      </w:rPr>
    </w:lvl>
    <w:lvl w:ilvl="7" w:tplc="EB62B952">
      <w:numFmt w:val="bullet"/>
      <w:lvlText w:val="•"/>
      <w:lvlJc w:val="left"/>
      <w:pPr>
        <w:ind w:left="4676" w:hanging="360"/>
      </w:pPr>
      <w:rPr>
        <w:rFonts w:hint="default"/>
        <w:lang w:val="en-US" w:eastAsia="en-US" w:bidi="ar-SA"/>
      </w:rPr>
    </w:lvl>
    <w:lvl w:ilvl="8" w:tplc="2ACA02CE">
      <w:numFmt w:val="bullet"/>
      <w:lvlText w:val="•"/>
      <w:lvlJc w:val="left"/>
      <w:pPr>
        <w:ind w:left="5278" w:hanging="360"/>
      </w:pPr>
      <w:rPr>
        <w:rFonts w:hint="default"/>
        <w:lang w:val="en-US" w:eastAsia="en-US" w:bidi="ar-SA"/>
      </w:rPr>
    </w:lvl>
  </w:abstractNum>
  <w:abstractNum w:abstractNumId="24" w15:restartNumberingAfterBreak="0">
    <w:nsid w:val="33EE6DC2"/>
    <w:multiLevelType w:val="hybridMultilevel"/>
    <w:tmpl w:val="D71033B6"/>
    <w:lvl w:ilvl="0" w:tplc="5F70BA82">
      <w:start w:val="1"/>
      <w:numFmt w:val="decimal"/>
      <w:lvlText w:val="%1."/>
      <w:lvlJc w:val="left"/>
      <w:pPr>
        <w:ind w:left="938" w:hanging="360"/>
      </w:pPr>
      <w:rPr>
        <w:rFonts w:hint="default"/>
        <w:w w:val="100"/>
        <w:lang w:val="en-US" w:eastAsia="en-US" w:bidi="ar-SA"/>
      </w:rPr>
    </w:lvl>
    <w:lvl w:ilvl="1" w:tplc="B1A8EBF6">
      <w:numFmt w:val="bullet"/>
      <w:lvlText w:val="•"/>
      <w:lvlJc w:val="left"/>
      <w:pPr>
        <w:ind w:left="1872" w:hanging="360"/>
      </w:pPr>
      <w:rPr>
        <w:rFonts w:hint="default"/>
        <w:lang w:val="en-US" w:eastAsia="en-US" w:bidi="ar-SA"/>
      </w:rPr>
    </w:lvl>
    <w:lvl w:ilvl="2" w:tplc="D33638F4">
      <w:numFmt w:val="bullet"/>
      <w:lvlText w:val="•"/>
      <w:lvlJc w:val="left"/>
      <w:pPr>
        <w:ind w:left="2805" w:hanging="360"/>
      </w:pPr>
      <w:rPr>
        <w:rFonts w:hint="default"/>
        <w:lang w:val="en-US" w:eastAsia="en-US" w:bidi="ar-SA"/>
      </w:rPr>
    </w:lvl>
    <w:lvl w:ilvl="3" w:tplc="37EA8B40">
      <w:numFmt w:val="bullet"/>
      <w:lvlText w:val="•"/>
      <w:lvlJc w:val="left"/>
      <w:pPr>
        <w:ind w:left="3737" w:hanging="360"/>
      </w:pPr>
      <w:rPr>
        <w:rFonts w:hint="default"/>
        <w:lang w:val="en-US" w:eastAsia="en-US" w:bidi="ar-SA"/>
      </w:rPr>
    </w:lvl>
    <w:lvl w:ilvl="4" w:tplc="A74CA858">
      <w:numFmt w:val="bullet"/>
      <w:lvlText w:val="•"/>
      <w:lvlJc w:val="left"/>
      <w:pPr>
        <w:ind w:left="4670" w:hanging="360"/>
      </w:pPr>
      <w:rPr>
        <w:rFonts w:hint="default"/>
        <w:lang w:val="en-US" w:eastAsia="en-US" w:bidi="ar-SA"/>
      </w:rPr>
    </w:lvl>
    <w:lvl w:ilvl="5" w:tplc="C8FAB0F2">
      <w:numFmt w:val="bullet"/>
      <w:lvlText w:val="•"/>
      <w:lvlJc w:val="left"/>
      <w:pPr>
        <w:ind w:left="5603" w:hanging="360"/>
      </w:pPr>
      <w:rPr>
        <w:rFonts w:hint="default"/>
        <w:lang w:val="en-US" w:eastAsia="en-US" w:bidi="ar-SA"/>
      </w:rPr>
    </w:lvl>
    <w:lvl w:ilvl="6" w:tplc="A27E3296">
      <w:numFmt w:val="bullet"/>
      <w:lvlText w:val="•"/>
      <w:lvlJc w:val="left"/>
      <w:pPr>
        <w:ind w:left="6535" w:hanging="360"/>
      </w:pPr>
      <w:rPr>
        <w:rFonts w:hint="default"/>
        <w:lang w:val="en-US" w:eastAsia="en-US" w:bidi="ar-SA"/>
      </w:rPr>
    </w:lvl>
    <w:lvl w:ilvl="7" w:tplc="05B44B32">
      <w:numFmt w:val="bullet"/>
      <w:lvlText w:val="•"/>
      <w:lvlJc w:val="left"/>
      <w:pPr>
        <w:ind w:left="7468" w:hanging="360"/>
      </w:pPr>
      <w:rPr>
        <w:rFonts w:hint="default"/>
        <w:lang w:val="en-US" w:eastAsia="en-US" w:bidi="ar-SA"/>
      </w:rPr>
    </w:lvl>
    <w:lvl w:ilvl="8" w:tplc="54524DB6">
      <w:numFmt w:val="bullet"/>
      <w:lvlText w:val="•"/>
      <w:lvlJc w:val="left"/>
      <w:pPr>
        <w:ind w:left="8401" w:hanging="360"/>
      </w:pPr>
      <w:rPr>
        <w:rFonts w:hint="default"/>
        <w:lang w:val="en-US" w:eastAsia="en-US" w:bidi="ar-SA"/>
      </w:rPr>
    </w:lvl>
  </w:abstractNum>
  <w:abstractNum w:abstractNumId="25" w15:restartNumberingAfterBreak="0">
    <w:nsid w:val="36075FBF"/>
    <w:multiLevelType w:val="hybridMultilevel"/>
    <w:tmpl w:val="DFBA7CD2"/>
    <w:lvl w:ilvl="0" w:tplc="E94A53BA">
      <w:numFmt w:val="bullet"/>
      <w:lvlText w:val=""/>
      <w:lvlJc w:val="left"/>
      <w:pPr>
        <w:ind w:left="468" w:hanging="361"/>
      </w:pPr>
      <w:rPr>
        <w:rFonts w:ascii="Symbol" w:eastAsia="Symbol" w:hAnsi="Symbol" w:cs="Symbol" w:hint="default"/>
        <w:w w:val="100"/>
        <w:sz w:val="22"/>
        <w:szCs w:val="22"/>
        <w:lang w:val="en-US" w:eastAsia="en-US" w:bidi="ar-SA"/>
      </w:rPr>
    </w:lvl>
    <w:lvl w:ilvl="1" w:tplc="8A78B836">
      <w:numFmt w:val="bullet"/>
      <w:lvlText w:val="•"/>
      <w:lvlJc w:val="left"/>
      <w:pPr>
        <w:ind w:left="1105" w:hanging="361"/>
      </w:pPr>
      <w:rPr>
        <w:rFonts w:hint="default"/>
        <w:lang w:val="en-US" w:eastAsia="en-US" w:bidi="ar-SA"/>
      </w:rPr>
    </w:lvl>
    <w:lvl w:ilvl="2" w:tplc="90601D5C">
      <w:numFmt w:val="bullet"/>
      <w:lvlText w:val="•"/>
      <w:lvlJc w:val="left"/>
      <w:pPr>
        <w:ind w:left="1750" w:hanging="361"/>
      </w:pPr>
      <w:rPr>
        <w:rFonts w:hint="default"/>
        <w:lang w:val="en-US" w:eastAsia="en-US" w:bidi="ar-SA"/>
      </w:rPr>
    </w:lvl>
    <w:lvl w:ilvl="3" w:tplc="A6EE7BAC">
      <w:numFmt w:val="bullet"/>
      <w:lvlText w:val="•"/>
      <w:lvlJc w:val="left"/>
      <w:pPr>
        <w:ind w:left="2395" w:hanging="361"/>
      </w:pPr>
      <w:rPr>
        <w:rFonts w:hint="default"/>
        <w:lang w:val="en-US" w:eastAsia="en-US" w:bidi="ar-SA"/>
      </w:rPr>
    </w:lvl>
    <w:lvl w:ilvl="4" w:tplc="0FA8F5CE">
      <w:numFmt w:val="bullet"/>
      <w:lvlText w:val="•"/>
      <w:lvlJc w:val="left"/>
      <w:pPr>
        <w:ind w:left="3040" w:hanging="361"/>
      </w:pPr>
      <w:rPr>
        <w:rFonts w:hint="default"/>
        <w:lang w:val="en-US" w:eastAsia="en-US" w:bidi="ar-SA"/>
      </w:rPr>
    </w:lvl>
    <w:lvl w:ilvl="5" w:tplc="7F848E94">
      <w:numFmt w:val="bullet"/>
      <w:lvlText w:val="•"/>
      <w:lvlJc w:val="left"/>
      <w:pPr>
        <w:ind w:left="3685" w:hanging="361"/>
      </w:pPr>
      <w:rPr>
        <w:rFonts w:hint="default"/>
        <w:lang w:val="en-US" w:eastAsia="en-US" w:bidi="ar-SA"/>
      </w:rPr>
    </w:lvl>
    <w:lvl w:ilvl="6" w:tplc="70AABCD6">
      <w:numFmt w:val="bullet"/>
      <w:lvlText w:val="•"/>
      <w:lvlJc w:val="left"/>
      <w:pPr>
        <w:ind w:left="4330" w:hanging="361"/>
      </w:pPr>
      <w:rPr>
        <w:rFonts w:hint="default"/>
        <w:lang w:val="en-US" w:eastAsia="en-US" w:bidi="ar-SA"/>
      </w:rPr>
    </w:lvl>
    <w:lvl w:ilvl="7" w:tplc="134EEE0E">
      <w:numFmt w:val="bullet"/>
      <w:lvlText w:val="•"/>
      <w:lvlJc w:val="left"/>
      <w:pPr>
        <w:ind w:left="4975" w:hanging="361"/>
      </w:pPr>
      <w:rPr>
        <w:rFonts w:hint="default"/>
        <w:lang w:val="en-US" w:eastAsia="en-US" w:bidi="ar-SA"/>
      </w:rPr>
    </w:lvl>
    <w:lvl w:ilvl="8" w:tplc="43082004">
      <w:numFmt w:val="bullet"/>
      <w:lvlText w:val="•"/>
      <w:lvlJc w:val="left"/>
      <w:pPr>
        <w:ind w:left="5620" w:hanging="361"/>
      </w:pPr>
      <w:rPr>
        <w:rFonts w:hint="default"/>
        <w:lang w:val="en-US" w:eastAsia="en-US" w:bidi="ar-SA"/>
      </w:rPr>
    </w:lvl>
  </w:abstractNum>
  <w:abstractNum w:abstractNumId="26" w15:restartNumberingAfterBreak="0">
    <w:nsid w:val="39442056"/>
    <w:multiLevelType w:val="hybridMultilevel"/>
    <w:tmpl w:val="85A0E4C4"/>
    <w:lvl w:ilvl="0" w:tplc="E94A6AFE">
      <w:numFmt w:val="bullet"/>
      <w:lvlText w:val=""/>
      <w:lvlJc w:val="left"/>
      <w:pPr>
        <w:ind w:left="468" w:hanging="361"/>
      </w:pPr>
      <w:rPr>
        <w:rFonts w:ascii="Symbol" w:eastAsia="Symbol" w:hAnsi="Symbol" w:cs="Symbol" w:hint="default"/>
        <w:w w:val="100"/>
        <w:sz w:val="22"/>
        <w:szCs w:val="22"/>
        <w:lang w:val="en-US" w:eastAsia="en-US" w:bidi="ar-SA"/>
      </w:rPr>
    </w:lvl>
    <w:lvl w:ilvl="1" w:tplc="15E422C2">
      <w:numFmt w:val="bullet"/>
      <w:lvlText w:val="•"/>
      <w:lvlJc w:val="left"/>
      <w:pPr>
        <w:ind w:left="1105" w:hanging="361"/>
      </w:pPr>
      <w:rPr>
        <w:rFonts w:hint="default"/>
        <w:lang w:val="en-US" w:eastAsia="en-US" w:bidi="ar-SA"/>
      </w:rPr>
    </w:lvl>
    <w:lvl w:ilvl="2" w:tplc="CCAC97D2">
      <w:numFmt w:val="bullet"/>
      <w:lvlText w:val="•"/>
      <w:lvlJc w:val="left"/>
      <w:pPr>
        <w:ind w:left="1750" w:hanging="361"/>
      </w:pPr>
      <w:rPr>
        <w:rFonts w:hint="default"/>
        <w:lang w:val="en-US" w:eastAsia="en-US" w:bidi="ar-SA"/>
      </w:rPr>
    </w:lvl>
    <w:lvl w:ilvl="3" w:tplc="C9AA0036">
      <w:numFmt w:val="bullet"/>
      <w:lvlText w:val="•"/>
      <w:lvlJc w:val="left"/>
      <w:pPr>
        <w:ind w:left="2395" w:hanging="361"/>
      </w:pPr>
      <w:rPr>
        <w:rFonts w:hint="default"/>
        <w:lang w:val="en-US" w:eastAsia="en-US" w:bidi="ar-SA"/>
      </w:rPr>
    </w:lvl>
    <w:lvl w:ilvl="4" w:tplc="7FE8878E">
      <w:numFmt w:val="bullet"/>
      <w:lvlText w:val="•"/>
      <w:lvlJc w:val="left"/>
      <w:pPr>
        <w:ind w:left="3040" w:hanging="361"/>
      </w:pPr>
      <w:rPr>
        <w:rFonts w:hint="default"/>
        <w:lang w:val="en-US" w:eastAsia="en-US" w:bidi="ar-SA"/>
      </w:rPr>
    </w:lvl>
    <w:lvl w:ilvl="5" w:tplc="BCE400CE">
      <w:numFmt w:val="bullet"/>
      <w:lvlText w:val="•"/>
      <w:lvlJc w:val="left"/>
      <w:pPr>
        <w:ind w:left="3685" w:hanging="361"/>
      </w:pPr>
      <w:rPr>
        <w:rFonts w:hint="default"/>
        <w:lang w:val="en-US" w:eastAsia="en-US" w:bidi="ar-SA"/>
      </w:rPr>
    </w:lvl>
    <w:lvl w:ilvl="6" w:tplc="44E8F15A">
      <w:numFmt w:val="bullet"/>
      <w:lvlText w:val="•"/>
      <w:lvlJc w:val="left"/>
      <w:pPr>
        <w:ind w:left="4330" w:hanging="361"/>
      </w:pPr>
      <w:rPr>
        <w:rFonts w:hint="default"/>
        <w:lang w:val="en-US" w:eastAsia="en-US" w:bidi="ar-SA"/>
      </w:rPr>
    </w:lvl>
    <w:lvl w:ilvl="7" w:tplc="9F502910">
      <w:numFmt w:val="bullet"/>
      <w:lvlText w:val="•"/>
      <w:lvlJc w:val="left"/>
      <w:pPr>
        <w:ind w:left="4975" w:hanging="361"/>
      </w:pPr>
      <w:rPr>
        <w:rFonts w:hint="default"/>
        <w:lang w:val="en-US" w:eastAsia="en-US" w:bidi="ar-SA"/>
      </w:rPr>
    </w:lvl>
    <w:lvl w:ilvl="8" w:tplc="C9BE09AA">
      <w:numFmt w:val="bullet"/>
      <w:lvlText w:val="•"/>
      <w:lvlJc w:val="left"/>
      <w:pPr>
        <w:ind w:left="5620" w:hanging="361"/>
      </w:pPr>
      <w:rPr>
        <w:rFonts w:hint="default"/>
        <w:lang w:val="en-US" w:eastAsia="en-US" w:bidi="ar-SA"/>
      </w:rPr>
    </w:lvl>
  </w:abstractNum>
  <w:abstractNum w:abstractNumId="27" w15:restartNumberingAfterBreak="0">
    <w:nsid w:val="39F402CE"/>
    <w:multiLevelType w:val="hybridMultilevel"/>
    <w:tmpl w:val="8C02A638"/>
    <w:lvl w:ilvl="0" w:tplc="1F58C1CE">
      <w:start w:val="1"/>
      <w:numFmt w:val="decimal"/>
      <w:lvlText w:val="%1."/>
      <w:lvlJc w:val="left"/>
      <w:pPr>
        <w:ind w:left="1070" w:hanging="425"/>
      </w:pPr>
      <w:rPr>
        <w:rFonts w:ascii="Calibri" w:eastAsia="Calibri" w:hAnsi="Calibri" w:cs="Calibri" w:hint="default"/>
        <w:w w:val="100"/>
        <w:sz w:val="22"/>
        <w:szCs w:val="22"/>
        <w:lang w:val="en-US" w:eastAsia="en-US" w:bidi="ar-SA"/>
      </w:rPr>
    </w:lvl>
    <w:lvl w:ilvl="1" w:tplc="B7361490">
      <w:numFmt w:val="bullet"/>
      <w:lvlText w:val="•"/>
      <w:lvlJc w:val="left"/>
      <w:pPr>
        <w:ind w:left="1998" w:hanging="425"/>
      </w:pPr>
      <w:rPr>
        <w:rFonts w:hint="default"/>
        <w:lang w:val="en-US" w:eastAsia="en-US" w:bidi="ar-SA"/>
      </w:rPr>
    </w:lvl>
    <w:lvl w:ilvl="2" w:tplc="1A1E74A2">
      <w:numFmt w:val="bullet"/>
      <w:lvlText w:val="•"/>
      <w:lvlJc w:val="left"/>
      <w:pPr>
        <w:ind w:left="2917" w:hanging="425"/>
      </w:pPr>
      <w:rPr>
        <w:rFonts w:hint="default"/>
        <w:lang w:val="en-US" w:eastAsia="en-US" w:bidi="ar-SA"/>
      </w:rPr>
    </w:lvl>
    <w:lvl w:ilvl="3" w:tplc="F372258C">
      <w:numFmt w:val="bullet"/>
      <w:lvlText w:val="•"/>
      <w:lvlJc w:val="left"/>
      <w:pPr>
        <w:ind w:left="3835" w:hanging="425"/>
      </w:pPr>
      <w:rPr>
        <w:rFonts w:hint="default"/>
        <w:lang w:val="en-US" w:eastAsia="en-US" w:bidi="ar-SA"/>
      </w:rPr>
    </w:lvl>
    <w:lvl w:ilvl="4" w:tplc="F042CFF4">
      <w:numFmt w:val="bullet"/>
      <w:lvlText w:val="•"/>
      <w:lvlJc w:val="left"/>
      <w:pPr>
        <w:ind w:left="4754" w:hanging="425"/>
      </w:pPr>
      <w:rPr>
        <w:rFonts w:hint="default"/>
        <w:lang w:val="en-US" w:eastAsia="en-US" w:bidi="ar-SA"/>
      </w:rPr>
    </w:lvl>
    <w:lvl w:ilvl="5" w:tplc="7A54538E">
      <w:numFmt w:val="bullet"/>
      <w:lvlText w:val="•"/>
      <w:lvlJc w:val="left"/>
      <w:pPr>
        <w:ind w:left="5673" w:hanging="425"/>
      </w:pPr>
      <w:rPr>
        <w:rFonts w:hint="default"/>
        <w:lang w:val="en-US" w:eastAsia="en-US" w:bidi="ar-SA"/>
      </w:rPr>
    </w:lvl>
    <w:lvl w:ilvl="6" w:tplc="DF60EE50">
      <w:numFmt w:val="bullet"/>
      <w:lvlText w:val="•"/>
      <w:lvlJc w:val="left"/>
      <w:pPr>
        <w:ind w:left="6591" w:hanging="425"/>
      </w:pPr>
      <w:rPr>
        <w:rFonts w:hint="default"/>
        <w:lang w:val="en-US" w:eastAsia="en-US" w:bidi="ar-SA"/>
      </w:rPr>
    </w:lvl>
    <w:lvl w:ilvl="7" w:tplc="0F7C84D6">
      <w:numFmt w:val="bullet"/>
      <w:lvlText w:val="•"/>
      <w:lvlJc w:val="left"/>
      <w:pPr>
        <w:ind w:left="7510" w:hanging="425"/>
      </w:pPr>
      <w:rPr>
        <w:rFonts w:hint="default"/>
        <w:lang w:val="en-US" w:eastAsia="en-US" w:bidi="ar-SA"/>
      </w:rPr>
    </w:lvl>
    <w:lvl w:ilvl="8" w:tplc="6EA665BA">
      <w:numFmt w:val="bullet"/>
      <w:lvlText w:val="•"/>
      <w:lvlJc w:val="left"/>
      <w:pPr>
        <w:ind w:left="8429" w:hanging="425"/>
      </w:pPr>
      <w:rPr>
        <w:rFonts w:hint="default"/>
        <w:lang w:val="en-US" w:eastAsia="en-US" w:bidi="ar-SA"/>
      </w:rPr>
    </w:lvl>
  </w:abstractNum>
  <w:abstractNum w:abstractNumId="28" w15:restartNumberingAfterBreak="0">
    <w:nsid w:val="3C89011F"/>
    <w:multiLevelType w:val="hybridMultilevel"/>
    <w:tmpl w:val="6248BB72"/>
    <w:lvl w:ilvl="0" w:tplc="A13C02E8">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B9AC727C">
      <w:numFmt w:val="bullet"/>
      <w:lvlText w:val="•"/>
      <w:lvlJc w:val="left"/>
      <w:pPr>
        <w:ind w:left="1872" w:hanging="360"/>
      </w:pPr>
      <w:rPr>
        <w:rFonts w:hint="default"/>
        <w:lang w:val="en-US" w:eastAsia="en-US" w:bidi="ar-SA"/>
      </w:rPr>
    </w:lvl>
    <w:lvl w:ilvl="2" w:tplc="7A800D3E">
      <w:numFmt w:val="bullet"/>
      <w:lvlText w:val="•"/>
      <w:lvlJc w:val="left"/>
      <w:pPr>
        <w:ind w:left="2805" w:hanging="360"/>
      </w:pPr>
      <w:rPr>
        <w:rFonts w:hint="default"/>
        <w:lang w:val="en-US" w:eastAsia="en-US" w:bidi="ar-SA"/>
      </w:rPr>
    </w:lvl>
    <w:lvl w:ilvl="3" w:tplc="7D0229E2">
      <w:numFmt w:val="bullet"/>
      <w:lvlText w:val="•"/>
      <w:lvlJc w:val="left"/>
      <w:pPr>
        <w:ind w:left="3737" w:hanging="360"/>
      </w:pPr>
      <w:rPr>
        <w:rFonts w:hint="default"/>
        <w:lang w:val="en-US" w:eastAsia="en-US" w:bidi="ar-SA"/>
      </w:rPr>
    </w:lvl>
    <w:lvl w:ilvl="4" w:tplc="5010EB70">
      <w:numFmt w:val="bullet"/>
      <w:lvlText w:val="•"/>
      <w:lvlJc w:val="left"/>
      <w:pPr>
        <w:ind w:left="4670" w:hanging="360"/>
      </w:pPr>
      <w:rPr>
        <w:rFonts w:hint="default"/>
        <w:lang w:val="en-US" w:eastAsia="en-US" w:bidi="ar-SA"/>
      </w:rPr>
    </w:lvl>
    <w:lvl w:ilvl="5" w:tplc="A61E6FC4">
      <w:numFmt w:val="bullet"/>
      <w:lvlText w:val="•"/>
      <w:lvlJc w:val="left"/>
      <w:pPr>
        <w:ind w:left="5603" w:hanging="360"/>
      </w:pPr>
      <w:rPr>
        <w:rFonts w:hint="default"/>
        <w:lang w:val="en-US" w:eastAsia="en-US" w:bidi="ar-SA"/>
      </w:rPr>
    </w:lvl>
    <w:lvl w:ilvl="6" w:tplc="3718F2C0">
      <w:numFmt w:val="bullet"/>
      <w:lvlText w:val="•"/>
      <w:lvlJc w:val="left"/>
      <w:pPr>
        <w:ind w:left="6535" w:hanging="360"/>
      </w:pPr>
      <w:rPr>
        <w:rFonts w:hint="default"/>
        <w:lang w:val="en-US" w:eastAsia="en-US" w:bidi="ar-SA"/>
      </w:rPr>
    </w:lvl>
    <w:lvl w:ilvl="7" w:tplc="64C2EAB6">
      <w:numFmt w:val="bullet"/>
      <w:lvlText w:val="•"/>
      <w:lvlJc w:val="left"/>
      <w:pPr>
        <w:ind w:left="7468" w:hanging="360"/>
      </w:pPr>
      <w:rPr>
        <w:rFonts w:hint="default"/>
        <w:lang w:val="en-US" w:eastAsia="en-US" w:bidi="ar-SA"/>
      </w:rPr>
    </w:lvl>
    <w:lvl w:ilvl="8" w:tplc="D7602188">
      <w:numFmt w:val="bullet"/>
      <w:lvlText w:val="•"/>
      <w:lvlJc w:val="left"/>
      <w:pPr>
        <w:ind w:left="8401" w:hanging="360"/>
      </w:pPr>
      <w:rPr>
        <w:rFonts w:hint="default"/>
        <w:lang w:val="en-US" w:eastAsia="en-US" w:bidi="ar-SA"/>
      </w:rPr>
    </w:lvl>
  </w:abstractNum>
  <w:abstractNum w:abstractNumId="29" w15:restartNumberingAfterBreak="0">
    <w:nsid w:val="3EED3E11"/>
    <w:multiLevelType w:val="hybridMultilevel"/>
    <w:tmpl w:val="C6F43514"/>
    <w:lvl w:ilvl="0" w:tplc="B7CA708A">
      <w:start w:val="1"/>
      <w:numFmt w:val="decimal"/>
      <w:lvlText w:val="%1."/>
      <w:lvlJc w:val="left"/>
      <w:pPr>
        <w:ind w:left="938" w:hanging="360"/>
      </w:pPr>
      <w:rPr>
        <w:rFonts w:hint="default"/>
        <w:w w:val="100"/>
        <w:lang w:val="en-US" w:eastAsia="en-US" w:bidi="ar-SA"/>
      </w:rPr>
    </w:lvl>
    <w:lvl w:ilvl="1" w:tplc="D7ECFACE">
      <w:numFmt w:val="bullet"/>
      <w:lvlText w:val="•"/>
      <w:lvlJc w:val="left"/>
      <w:pPr>
        <w:ind w:left="1872" w:hanging="360"/>
      </w:pPr>
      <w:rPr>
        <w:rFonts w:hint="default"/>
        <w:lang w:val="en-US" w:eastAsia="en-US" w:bidi="ar-SA"/>
      </w:rPr>
    </w:lvl>
    <w:lvl w:ilvl="2" w:tplc="3DA8D5AA">
      <w:numFmt w:val="bullet"/>
      <w:lvlText w:val="•"/>
      <w:lvlJc w:val="left"/>
      <w:pPr>
        <w:ind w:left="2805" w:hanging="360"/>
      </w:pPr>
      <w:rPr>
        <w:rFonts w:hint="default"/>
        <w:lang w:val="en-US" w:eastAsia="en-US" w:bidi="ar-SA"/>
      </w:rPr>
    </w:lvl>
    <w:lvl w:ilvl="3" w:tplc="7D1AB356">
      <w:numFmt w:val="bullet"/>
      <w:lvlText w:val="•"/>
      <w:lvlJc w:val="left"/>
      <w:pPr>
        <w:ind w:left="3737" w:hanging="360"/>
      </w:pPr>
      <w:rPr>
        <w:rFonts w:hint="default"/>
        <w:lang w:val="en-US" w:eastAsia="en-US" w:bidi="ar-SA"/>
      </w:rPr>
    </w:lvl>
    <w:lvl w:ilvl="4" w:tplc="6EA64ECA">
      <w:numFmt w:val="bullet"/>
      <w:lvlText w:val="•"/>
      <w:lvlJc w:val="left"/>
      <w:pPr>
        <w:ind w:left="4670" w:hanging="360"/>
      </w:pPr>
      <w:rPr>
        <w:rFonts w:hint="default"/>
        <w:lang w:val="en-US" w:eastAsia="en-US" w:bidi="ar-SA"/>
      </w:rPr>
    </w:lvl>
    <w:lvl w:ilvl="5" w:tplc="255EF274">
      <w:numFmt w:val="bullet"/>
      <w:lvlText w:val="•"/>
      <w:lvlJc w:val="left"/>
      <w:pPr>
        <w:ind w:left="5603" w:hanging="360"/>
      </w:pPr>
      <w:rPr>
        <w:rFonts w:hint="default"/>
        <w:lang w:val="en-US" w:eastAsia="en-US" w:bidi="ar-SA"/>
      </w:rPr>
    </w:lvl>
    <w:lvl w:ilvl="6" w:tplc="0ABC5234">
      <w:numFmt w:val="bullet"/>
      <w:lvlText w:val="•"/>
      <w:lvlJc w:val="left"/>
      <w:pPr>
        <w:ind w:left="6535" w:hanging="360"/>
      </w:pPr>
      <w:rPr>
        <w:rFonts w:hint="default"/>
        <w:lang w:val="en-US" w:eastAsia="en-US" w:bidi="ar-SA"/>
      </w:rPr>
    </w:lvl>
    <w:lvl w:ilvl="7" w:tplc="2138BCB4">
      <w:numFmt w:val="bullet"/>
      <w:lvlText w:val="•"/>
      <w:lvlJc w:val="left"/>
      <w:pPr>
        <w:ind w:left="7468" w:hanging="360"/>
      </w:pPr>
      <w:rPr>
        <w:rFonts w:hint="default"/>
        <w:lang w:val="en-US" w:eastAsia="en-US" w:bidi="ar-SA"/>
      </w:rPr>
    </w:lvl>
    <w:lvl w:ilvl="8" w:tplc="F56A810E">
      <w:numFmt w:val="bullet"/>
      <w:lvlText w:val="•"/>
      <w:lvlJc w:val="left"/>
      <w:pPr>
        <w:ind w:left="8401" w:hanging="360"/>
      </w:pPr>
      <w:rPr>
        <w:rFonts w:hint="default"/>
        <w:lang w:val="en-US" w:eastAsia="en-US" w:bidi="ar-SA"/>
      </w:rPr>
    </w:lvl>
  </w:abstractNum>
  <w:abstractNum w:abstractNumId="30" w15:restartNumberingAfterBreak="0">
    <w:nsid w:val="40193348"/>
    <w:multiLevelType w:val="hybridMultilevel"/>
    <w:tmpl w:val="3C669A3A"/>
    <w:lvl w:ilvl="0" w:tplc="3C981268">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78945D62">
      <w:numFmt w:val="bullet"/>
      <w:lvlText w:val="•"/>
      <w:lvlJc w:val="left"/>
      <w:pPr>
        <w:ind w:left="1872" w:hanging="360"/>
      </w:pPr>
      <w:rPr>
        <w:rFonts w:hint="default"/>
        <w:lang w:val="en-US" w:eastAsia="en-US" w:bidi="ar-SA"/>
      </w:rPr>
    </w:lvl>
    <w:lvl w:ilvl="2" w:tplc="D6E4A220">
      <w:numFmt w:val="bullet"/>
      <w:lvlText w:val="•"/>
      <w:lvlJc w:val="left"/>
      <w:pPr>
        <w:ind w:left="2805" w:hanging="360"/>
      </w:pPr>
      <w:rPr>
        <w:rFonts w:hint="default"/>
        <w:lang w:val="en-US" w:eastAsia="en-US" w:bidi="ar-SA"/>
      </w:rPr>
    </w:lvl>
    <w:lvl w:ilvl="3" w:tplc="334E9DB0">
      <w:numFmt w:val="bullet"/>
      <w:lvlText w:val="•"/>
      <w:lvlJc w:val="left"/>
      <w:pPr>
        <w:ind w:left="3737" w:hanging="360"/>
      </w:pPr>
      <w:rPr>
        <w:rFonts w:hint="default"/>
        <w:lang w:val="en-US" w:eastAsia="en-US" w:bidi="ar-SA"/>
      </w:rPr>
    </w:lvl>
    <w:lvl w:ilvl="4" w:tplc="CE9819FA">
      <w:numFmt w:val="bullet"/>
      <w:lvlText w:val="•"/>
      <w:lvlJc w:val="left"/>
      <w:pPr>
        <w:ind w:left="4670" w:hanging="360"/>
      </w:pPr>
      <w:rPr>
        <w:rFonts w:hint="default"/>
        <w:lang w:val="en-US" w:eastAsia="en-US" w:bidi="ar-SA"/>
      </w:rPr>
    </w:lvl>
    <w:lvl w:ilvl="5" w:tplc="CCA69992">
      <w:numFmt w:val="bullet"/>
      <w:lvlText w:val="•"/>
      <w:lvlJc w:val="left"/>
      <w:pPr>
        <w:ind w:left="5603" w:hanging="360"/>
      </w:pPr>
      <w:rPr>
        <w:rFonts w:hint="default"/>
        <w:lang w:val="en-US" w:eastAsia="en-US" w:bidi="ar-SA"/>
      </w:rPr>
    </w:lvl>
    <w:lvl w:ilvl="6" w:tplc="1F4053E0">
      <w:numFmt w:val="bullet"/>
      <w:lvlText w:val="•"/>
      <w:lvlJc w:val="left"/>
      <w:pPr>
        <w:ind w:left="6535" w:hanging="360"/>
      </w:pPr>
      <w:rPr>
        <w:rFonts w:hint="default"/>
        <w:lang w:val="en-US" w:eastAsia="en-US" w:bidi="ar-SA"/>
      </w:rPr>
    </w:lvl>
    <w:lvl w:ilvl="7" w:tplc="3D68163C">
      <w:numFmt w:val="bullet"/>
      <w:lvlText w:val="•"/>
      <w:lvlJc w:val="left"/>
      <w:pPr>
        <w:ind w:left="7468" w:hanging="360"/>
      </w:pPr>
      <w:rPr>
        <w:rFonts w:hint="default"/>
        <w:lang w:val="en-US" w:eastAsia="en-US" w:bidi="ar-SA"/>
      </w:rPr>
    </w:lvl>
    <w:lvl w:ilvl="8" w:tplc="625E4F9E">
      <w:numFmt w:val="bullet"/>
      <w:lvlText w:val="•"/>
      <w:lvlJc w:val="left"/>
      <w:pPr>
        <w:ind w:left="8401" w:hanging="360"/>
      </w:pPr>
      <w:rPr>
        <w:rFonts w:hint="default"/>
        <w:lang w:val="en-US" w:eastAsia="en-US" w:bidi="ar-SA"/>
      </w:rPr>
    </w:lvl>
  </w:abstractNum>
  <w:abstractNum w:abstractNumId="31" w15:restartNumberingAfterBreak="0">
    <w:nsid w:val="41372CF3"/>
    <w:multiLevelType w:val="hybridMultilevel"/>
    <w:tmpl w:val="3D24D994"/>
    <w:lvl w:ilvl="0" w:tplc="BBB251C6">
      <w:numFmt w:val="bullet"/>
      <w:lvlText w:val=""/>
      <w:lvlJc w:val="left"/>
      <w:pPr>
        <w:ind w:left="468" w:hanging="361"/>
      </w:pPr>
      <w:rPr>
        <w:rFonts w:ascii="Symbol" w:eastAsia="Symbol" w:hAnsi="Symbol" w:cs="Symbol" w:hint="default"/>
        <w:w w:val="100"/>
        <w:sz w:val="22"/>
        <w:szCs w:val="22"/>
        <w:lang w:val="en-US" w:eastAsia="en-US" w:bidi="ar-SA"/>
      </w:rPr>
    </w:lvl>
    <w:lvl w:ilvl="1" w:tplc="6936A006">
      <w:numFmt w:val="bullet"/>
      <w:lvlText w:val="•"/>
      <w:lvlJc w:val="left"/>
      <w:pPr>
        <w:ind w:left="1105" w:hanging="361"/>
      </w:pPr>
      <w:rPr>
        <w:rFonts w:hint="default"/>
        <w:lang w:val="en-US" w:eastAsia="en-US" w:bidi="ar-SA"/>
      </w:rPr>
    </w:lvl>
    <w:lvl w:ilvl="2" w:tplc="A852CBD2">
      <w:numFmt w:val="bullet"/>
      <w:lvlText w:val="•"/>
      <w:lvlJc w:val="left"/>
      <w:pPr>
        <w:ind w:left="1750" w:hanging="361"/>
      </w:pPr>
      <w:rPr>
        <w:rFonts w:hint="default"/>
        <w:lang w:val="en-US" w:eastAsia="en-US" w:bidi="ar-SA"/>
      </w:rPr>
    </w:lvl>
    <w:lvl w:ilvl="3" w:tplc="ED8832FE">
      <w:numFmt w:val="bullet"/>
      <w:lvlText w:val="•"/>
      <w:lvlJc w:val="left"/>
      <w:pPr>
        <w:ind w:left="2395" w:hanging="361"/>
      </w:pPr>
      <w:rPr>
        <w:rFonts w:hint="default"/>
        <w:lang w:val="en-US" w:eastAsia="en-US" w:bidi="ar-SA"/>
      </w:rPr>
    </w:lvl>
    <w:lvl w:ilvl="4" w:tplc="BF2EF226">
      <w:numFmt w:val="bullet"/>
      <w:lvlText w:val="•"/>
      <w:lvlJc w:val="left"/>
      <w:pPr>
        <w:ind w:left="3040" w:hanging="361"/>
      </w:pPr>
      <w:rPr>
        <w:rFonts w:hint="default"/>
        <w:lang w:val="en-US" w:eastAsia="en-US" w:bidi="ar-SA"/>
      </w:rPr>
    </w:lvl>
    <w:lvl w:ilvl="5" w:tplc="4F0838EA">
      <w:numFmt w:val="bullet"/>
      <w:lvlText w:val="•"/>
      <w:lvlJc w:val="left"/>
      <w:pPr>
        <w:ind w:left="3685" w:hanging="361"/>
      </w:pPr>
      <w:rPr>
        <w:rFonts w:hint="default"/>
        <w:lang w:val="en-US" w:eastAsia="en-US" w:bidi="ar-SA"/>
      </w:rPr>
    </w:lvl>
    <w:lvl w:ilvl="6" w:tplc="E5D26C80">
      <w:numFmt w:val="bullet"/>
      <w:lvlText w:val="•"/>
      <w:lvlJc w:val="left"/>
      <w:pPr>
        <w:ind w:left="4330" w:hanging="361"/>
      </w:pPr>
      <w:rPr>
        <w:rFonts w:hint="default"/>
        <w:lang w:val="en-US" w:eastAsia="en-US" w:bidi="ar-SA"/>
      </w:rPr>
    </w:lvl>
    <w:lvl w:ilvl="7" w:tplc="F370BE66">
      <w:numFmt w:val="bullet"/>
      <w:lvlText w:val="•"/>
      <w:lvlJc w:val="left"/>
      <w:pPr>
        <w:ind w:left="4975" w:hanging="361"/>
      </w:pPr>
      <w:rPr>
        <w:rFonts w:hint="default"/>
        <w:lang w:val="en-US" w:eastAsia="en-US" w:bidi="ar-SA"/>
      </w:rPr>
    </w:lvl>
    <w:lvl w:ilvl="8" w:tplc="F230A76A">
      <w:numFmt w:val="bullet"/>
      <w:lvlText w:val="•"/>
      <w:lvlJc w:val="left"/>
      <w:pPr>
        <w:ind w:left="5620" w:hanging="361"/>
      </w:pPr>
      <w:rPr>
        <w:rFonts w:hint="default"/>
        <w:lang w:val="en-US" w:eastAsia="en-US" w:bidi="ar-SA"/>
      </w:rPr>
    </w:lvl>
  </w:abstractNum>
  <w:abstractNum w:abstractNumId="32" w15:restartNumberingAfterBreak="0">
    <w:nsid w:val="445667D8"/>
    <w:multiLevelType w:val="hybridMultilevel"/>
    <w:tmpl w:val="0CBCCB74"/>
    <w:lvl w:ilvl="0" w:tplc="9FB6A65A">
      <w:numFmt w:val="bullet"/>
      <w:lvlText w:val=""/>
      <w:lvlJc w:val="left"/>
      <w:pPr>
        <w:ind w:left="468" w:hanging="360"/>
      </w:pPr>
      <w:rPr>
        <w:rFonts w:ascii="Symbol" w:eastAsia="Symbol" w:hAnsi="Symbol" w:cs="Symbol" w:hint="default"/>
        <w:w w:val="100"/>
        <w:sz w:val="22"/>
        <w:szCs w:val="22"/>
        <w:lang w:val="en-US" w:eastAsia="en-US" w:bidi="ar-SA"/>
      </w:rPr>
    </w:lvl>
    <w:lvl w:ilvl="1" w:tplc="540CDCD4">
      <w:numFmt w:val="bullet"/>
      <w:lvlText w:val="•"/>
      <w:lvlJc w:val="left"/>
      <w:pPr>
        <w:ind w:left="1175" w:hanging="360"/>
      </w:pPr>
      <w:rPr>
        <w:rFonts w:hint="default"/>
        <w:lang w:val="en-US" w:eastAsia="en-US" w:bidi="ar-SA"/>
      </w:rPr>
    </w:lvl>
    <w:lvl w:ilvl="2" w:tplc="4DD414A6">
      <w:numFmt w:val="bullet"/>
      <w:lvlText w:val="•"/>
      <w:lvlJc w:val="left"/>
      <w:pPr>
        <w:ind w:left="1891" w:hanging="360"/>
      </w:pPr>
      <w:rPr>
        <w:rFonts w:hint="default"/>
        <w:lang w:val="en-US" w:eastAsia="en-US" w:bidi="ar-SA"/>
      </w:rPr>
    </w:lvl>
    <w:lvl w:ilvl="3" w:tplc="9B52FD88">
      <w:numFmt w:val="bullet"/>
      <w:lvlText w:val="•"/>
      <w:lvlJc w:val="left"/>
      <w:pPr>
        <w:ind w:left="2607" w:hanging="360"/>
      </w:pPr>
      <w:rPr>
        <w:rFonts w:hint="default"/>
        <w:lang w:val="en-US" w:eastAsia="en-US" w:bidi="ar-SA"/>
      </w:rPr>
    </w:lvl>
    <w:lvl w:ilvl="4" w:tplc="EB688C00">
      <w:numFmt w:val="bullet"/>
      <w:lvlText w:val="•"/>
      <w:lvlJc w:val="left"/>
      <w:pPr>
        <w:ind w:left="3323" w:hanging="360"/>
      </w:pPr>
      <w:rPr>
        <w:rFonts w:hint="default"/>
        <w:lang w:val="en-US" w:eastAsia="en-US" w:bidi="ar-SA"/>
      </w:rPr>
    </w:lvl>
    <w:lvl w:ilvl="5" w:tplc="85E0718A">
      <w:numFmt w:val="bullet"/>
      <w:lvlText w:val="•"/>
      <w:lvlJc w:val="left"/>
      <w:pPr>
        <w:ind w:left="4039" w:hanging="360"/>
      </w:pPr>
      <w:rPr>
        <w:rFonts w:hint="default"/>
        <w:lang w:val="en-US" w:eastAsia="en-US" w:bidi="ar-SA"/>
      </w:rPr>
    </w:lvl>
    <w:lvl w:ilvl="6" w:tplc="1E18D220">
      <w:numFmt w:val="bullet"/>
      <w:lvlText w:val="•"/>
      <w:lvlJc w:val="left"/>
      <w:pPr>
        <w:ind w:left="4754" w:hanging="360"/>
      </w:pPr>
      <w:rPr>
        <w:rFonts w:hint="default"/>
        <w:lang w:val="en-US" w:eastAsia="en-US" w:bidi="ar-SA"/>
      </w:rPr>
    </w:lvl>
    <w:lvl w:ilvl="7" w:tplc="C1BE48C0">
      <w:numFmt w:val="bullet"/>
      <w:lvlText w:val="•"/>
      <w:lvlJc w:val="left"/>
      <w:pPr>
        <w:ind w:left="5470" w:hanging="360"/>
      </w:pPr>
      <w:rPr>
        <w:rFonts w:hint="default"/>
        <w:lang w:val="en-US" w:eastAsia="en-US" w:bidi="ar-SA"/>
      </w:rPr>
    </w:lvl>
    <w:lvl w:ilvl="8" w:tplc="6ABE5C88">
      <w:numFmt w:val="bullet"/>
      <w:lvlText w:val="•"/>
      <w:lvlJc w:val="left"/>
      <w:pPr>
        <w:ind w:left="6186" w:hanging="360"/>
      </w:pPr>
      <w:rPr>
        <w:rFonts w:hint="default"/>
        <w:lang w:val="en-US" w:eastAsia="en-US" w:bidi="ar-SA"/>
      </w:rPr>
    </w:lvl>
  </w:abstractNum>
  <w:abstractNum w:abstractNumId="33" w15:restartNumberingAfterBreak="0">
    <w:nsid w:val="464A364E"/>
    <w:multiLevelType w:val="hybridMultilevel"/>
    <w:tmpl w:val="0492923A"/>
    <w:lvl w:ilvl="0" w:tplc="611E2AE8">
      <w:numFmt w:val="bullet"/>
      <w:lvlText w:val=""/>
      <w:lvlJc w:val="left"/>
      <w:pPr>
        <w:ind w:left="465" w:hanging="360"/>
      </w:pPr>
      <w:rPr>
        <w:rFonts w:ascii="Symbol" w:eastAsia="Symbol" w:hAnsi="Symbol" w:cs="Symbol" w:hint="default"/>
        <w:w w:val="100"/>
        <w:sz w:val="22"/>
        <w:szCs w:val="22"/>
        <w:lang w:val="en-US" w:eastAsia="en-US" w:bidi="ar-SA"/>
      </w:rPr>
    </w:lvl>
    <w:lvl w:ilvl="1" w:tplc="80526DF2">
      <w:numFmt w:val="bullet"/>
      <w:lvlText w:val="o"/>
      <w:lvlJc w:val="left"/>
      <w:pPr>
        <w:ind w:left="1185" w:hanging="360"/>
      </w:pPr>
      <w:rPr>
        <w:rFonts w:ascii="Courier New" w:eastAsia="Courier New" w:hAnsi="Courier New" w:cs="Courier New" w:hint="default"/>
        <w:w w:val="100"/>
        <w:sz w:val="22"/>
        <w:szCs w:val="22"/>
        <w:lang w:val="en-US" w:eastAsia="en-US" w:bidi="ar-SA"/>
      </w:rPr>
    </w:lvl>
    <w:lvl w:ilvl="2" w:tplc="6040FC50">
      <w:numFmt w:val="bullet"/>
      <w:lvlText w:val="•"/>
      <w:lvlJc w:val="left"/>
      <w:pPr>
        <w:ind w:left="1769" w:hanging="360"/>
      </w:pPr>
      <w:rPr>
        <w:rFonts w:hint="default"/>
        <w:lang w:val="en-US" w:eastAsia="en-US" w:bidi="ar-SA"/>
      </w:rPr>
    </w:lvl>
    <w:lvl w:ilvl="3" w:tplc="33EAE918">
      <w:numFmt w:val="bullet"/>
      <w:lvlText w:val="•"/>
      <w:lvlJc w:val="left"/>
      <w:pPr>
        <w:ind w:left="2358" w:hanging="360"/>
      </w:pPr>
      <w:rPr>
        <w:rFonts w:hint="default"/>
        <w:lang w:val="en-US" w:eastAsia="en-US" w:bidi="ar-SA"/>
      </w:rPr>
    </w:lvl>
    <w:lvl w:ilvl="4" w:tplc="DBF263BE">
      <w:numFmt w:val="bullet"/>
      <w:lvlText w:val="•"/>
      <w:lvlJc w:val="left"/>
      <w:pPr>
        <w:ind w:left="2947" w:hanging="360"/>
      </w:pPr>
      <w:rPr>
        <w:rFonts w:hint="default"/>
        <w:lang w:val="en-US" w:eastAsia="en-US" w:bidi="ar-SA"/>
      </w:rPr>
    </w:lvl>
    <w:lvl w:ilvl="5" w:tplc="D6983166">
      <w:numFmt w:val="bullet"/>
      <w:lvlText w:val="•"/>
      <w:lvlJc w:val="left"/>
      <w:pPr>
        <w:ind w:left="3536" w:hanging="360"/>
      </w:pPr>
      <w:rPr>
        <w:rFonts w:hint="default"/>
        <w:lang w:val="en-US" w:eastAsia="en-US" w:bidi="ar-SA"/>
      </w:rPr>
    </w:lvl>
    <w:lvl w:ilvl="6" w:tplc="696E4170">
      <w:numFmt w:val="bullet"/>
      <w:lvlText w:val="•"/>
      <w:lvlJc w:val="left"/>
      <w:pPr>
        <w:ind w:left="4126" w:hanging="360"/>
      </w:pPr>
      <w:rPr>
        <w:rFonts w:hint="default"/>
        <w:lang w:val="en-US" w:eastAsia="en-US" w:bidi="ar-SA"/>
      </w:rPr>
    </w:lvl>
    <w:lvl w:ilvl="7" w:tplc="E202105C">
      <w:numFmt w:val="bullet"/>
      <w:lvlText w:val="•"/>
      <w:lvlJc w:val="left"/>
      <w:pPr>
        <w:ind w:left="4715" w:hanging="360"/>
      </w:pPr>
      <w:rPr>
        <w:rFonts w:hint="default"/>
        <w:lang w:val="en-US" w:eastAsia="en-US" w:bidi="ar-SA"/>
      </w:rPr>
    </w:lvl>
    <w:lvl w:ilvl="8" w:tplc="F7422790">
      <w:numFmt w:val="bullet"/>
      <w:lvlText w:val="•"/>
      <w:lvlJc w:val="left"/>
      <w:pPr>
        <w:ind w:left="5304" w:hanging="360"/>
      </w:pPr>
      <w:rPr>
        <w:rFonts w:hint="default"/>
        <w:lang w:val="en-US" w:eastAsia="en-US" w:bidi="ar-SA"/>
      </w:rPr>
    </w:lvl>
  </w:abstractNum>
  <w:abstractNum w:abstractNumId="34" w15:restartNumberingAfterBreak="0">
    <w:nsid w:val="4E247139"/>
    <w:multiLevelType w:val="hybridMultilevel"/>
    <w:tmpl w:val="ED34916E"/>
    <w:lvl w:ilvl="0" w:tplc="A9162E8E">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695C65D4">
      <w:numFmt w:val="bullet"/>
      <w:lvlText w:val="•"/>
      <w:lvlJc w:val="left"/>
      <w:pPr>
        <w:ind w:left="1872" w:hanging="360"/>
      </w:pPr>
      <w:rPr>
        <w:rFonts w:hint="default"/>
        <w:lang w:val="en-US" w:eastAsia="en-US" w:bidi="ar-SA"/>
      </w:rPr>
    </w:lvl>
    <w:lvl w:ilvl="2" w:tplc="E9F04588">
      <w:numFmt w:val="bullet"/>
      <w:lvlText w:val="•"/>
      <w:lvlJc w:val="left"/>
      <w:pPr>
        <w:ind w:left="2805" w:hanging="360"/>
      </w:pPr>
      <w:rPr>
        <w:rFonts w:hint="default"/>
        <w:lang w:val="en-US" w:eastAsia="en-US" w:bidi="ar-SA"/>
      </w:rPr>
    </w:lvl>
    <w:lvl w:ilvl="3" w:tplc="060EC824">
      <w:numFmt w:val="bullet"/>
      <w:lvlText w:val="•"/>
      <w:lvlJc w:val="left"/>
      <w:pPr>
        <w:ind w:left="3737" w:hanging="360"/>
      </w:pPr>
      <w:rPr>
        <w:rFonts w:hint="default"/>
        <w:lang w:val="en-US" w:eastAsia="en-US" w:bidi="ar-SA"/>
      </w:rPr>
    </w:lvl>
    <w:lvl w:ilvl="4" w:tplc="AB6A9334">
      <w:numFmt w:val="bullet"/>
      <w:lvlText w:val="•"/>
      <w:lvlJc w:val="left"/>
      <w:pPr>
        <w:ind w:left="4670" w:hanging="360"/>
      </w:pPr>
      <w:rPr>
        <w:rFonts w:hint="default"/>
        <w:lang w:val="en-US" w:eastAsia="en-US" w:bidi="ar-SA"/>
      </w:rPr>
    </w:lvl>
    <w:lvl w:ilvl="5" w:tplc="9AD45886">
      <w:numFmt w:val="bullet"/>
      <w:lvlText w:val="•"/>
      <w:lvlJc w:val="left"/>
      <w:pPr>
        <w:ind w:left="5603" w:hanging="360"/>
      </w:pPr>
      <w:rPr>
        <w:rFonts w:hint="default"/>
        <w:lang w:val="en-US" w:eastAsia="en-US" w:bidi="ar-SA"/>
      </w:rPr>
    </w:lvl>
    <w:lvl w:ilvl="6" w:tplc="A438632C">
      <w:numFmt w:val="bullet"/>
      <w:lvlText w:val="•"/>
      <w:lvlJc w:val="left"/>
      <w:pPr>
        <w:ind w:left="6535" w:hanging="360"/>
      </w:pPr>
      <w:rPr>
        <w:rFonts w:hint="default"/>
        <w:lang w:val="en-US" w:eastAsia="en-US" w:bidi="ar-SA"/>
      </w:rPr>
    </w:lvl>
    <w:lvl w:ilvl="7" w:tplc="F9DE70DE">
      <w:numFmt w:val="bullet"/>
      <w:lvlText w:val="•"/>
      <w:lvlJc w:val="left"/>
      <w:pPr>
        <w:ind w:left="7468" w:hanging="360"/>
      </w:pPr>
      <w:rPr>
        <w:rFonts w:hint="default"/>
        <w:lang w:val="en-US" w:eastAsia="en-US" w:bidi="ar-SA"/>
      </w:rPr>
    </w:lvl>
    <w:lvl w:ilvl="8" w:tplc="51CA3228">
      <w:numFmt w:val="bullet"/>
      <w:lvlText w:val="•"/>
      <w:lvlJc w:val="left"/>
      <w:pPr>
        <w:ind w:left="8401" w:hanging="360"/>
      </w:pPr>
      <w:rPr>
        <w:rFonts w:hint="default"/>
        <w:lang w:val="en-US" w:eastAsia="en-US" w:bidi="ar-SA"/>
      </w:rPr>
    </w:lvl>
  </w:abstractNum>
  <w:abstractNum w:abstractNumId="35" w15:restartNumberingAfterBreak="0">
    <w:nsid w:val="525E2D2B"/>
    <w:multiLevelType w:val="hybridMultilevel"/>
    <w:tmpl w:val="F02432F8"/>
    <w:lvl w:ilvl="0" w:tplc="D43A52BC">
      <w:numFmt w:val="bullet"/>
      <w:lvlText w:val=""/>
      <w:lvlJc w:val="left"/>
      <w:pPr>
        <w:ind w:left="468" w:hanging="360"/>
      </w:pPr>
      <w:rPr>
        <w:rFonts w:ascii="Symbol" w:eastAsia="Symbol" w:hAnsi="Symbol" w:cs="Symbol" w:hint="default"/>
        <w:w w:val="100"/>
        <w:sz w:val="22"/>
        <w:szCs w:val="22"/>
        <w:lang w:val="en-US" w:eastAsia="en-US" w:bidi="ar-SA"/>
      </w:rPr>
    </w:lvl>
    <w:lvl w:ilvl="1" w:tplc="52E0AAAA">
      <w:numFmt w:val="bullet"/>
      <w:lvlText w:val="•"/>
      <w:lvlJc w:val="left"/>
      <w:pPr>
        <w:ind w:left="1175" w:hanging="360"/>
      </w:pPr>
      <w:rPr>
        <w:rFonts w:hint="default"/>
        <w:lang w:val="en-US" w:eastAsia="en-US" w:bidi="ar-SA"/>
      </w:rPr>
    </w:lvl>
    <w:lvl w:ilvl="2" w:tplc="C00C2B90">
      <w:numFmt w:val="bullet"/>
      <w:lvlText w:val="•"/>
      <w:lvlJc w:val="left"/>
      <w:pPr>
        <w:ind w:left="1891" w:hanging="360"/>
      </w:pPr>
      <w:rPr>
        <w:rFonts w:hint="default"/>
        <w:lang w:val="en-US" w:eastAsia="en-US" w:bidi="ar-SA"/>
      </w:rPr>
    </w:lvl>
    <w:lvl w:ilvl="3" w:tplc="A1FA955A">
      <w:numFmt w:val="bullet"/>
      <w:lvlText w:val="•"/>
      <w:lvlJc w:val="left"/>
      <w:pPr>
        <w:ind w:left="2607" w:hanging="360"/>
      </w:pPr>
      <w:rPr>
        <w:rFonts w:hint="default"/>
        <w:lang w:val="en-US" w:eastAsia="en-US" w:bidi="ar-SA"/>
      </w:rPr>
    </w:lvl>
    <w:lvl w:ilvl="4" w:tplc="1FC05B0E">
      <w:numFmt w:val="bullet"/>
      <w:lvlText w:val="•"/>
      <w:lvlJc w:val="left"/>
      <w:pPr>
        <w:ind w:left="3323" w:hanging="360"/>
      </w:pPr>
      <w:rPr>
        <w:rFonts w:hint="default"/>
        <w:lang w:val="en-US" w:eastAsia="en-US" w:bidi="ar-SA"/>
      </w:rPr>
    </w:lvl>
    <w:lvl w:ilvl="5" w:tplc="8C5C3060">
      <w:numFmt w:val="bullet"/>
      <w:lvlText w:val="•"/>
      <w:lvlJc w:val="left"/>
      <w:pPr>
        <w:ind w:left="4039" w:hanging="360"/>
      </w:pPr>
      <w:rPr>
        <w:rFonts w:hint="default"/>
        <w:lang w:val="en-US" w:eastAsia="en-US" w:bidi="ar-SA"/>
      </w:rPr>
    </w:lvl>
    <w:lvl w:ilvl="6" w:tplc="34D662C6">
      <w:numFmt w:val="bullet"/>
      <w:lvlText w:val="•"/>
      <w:lvlJc w:val="left"/>
      <w:pPr>
        <w:ind w:left="4754" w:hanging="360"/>
      </w:pPr>
      <w:rPr>
        <w:rFonts w:hint="default"/>
        <w:lang w:val="en-US" w:eastAsia="en-US" w:bidi="ar-SA"/>
      </w:rPr>
    </w:lvl>
    <w:lvl w:ilvl="7" w:tplc="C0424B9C">
      <w:numFmt w:val="bullet"/>
      <w:lvlText w:val="•"/>
      <w:lvlJc w:val="left"/>
      <w:pPr>
        <w:ind w:left="5470" w:hanging="360"/>
      </w:pPr>
      <w:rPr>
        <w:rFonts w:hint="default"/>
        <w:lang w:val="en-US" w:eastAsia="en-US" w:bidi="ar-SA"/>
      </w:rPr>
    </w:lvl>
    <w:lvl w:ilvl="8" w:tplc="1E0624B2">
      <w:numFmt w:val="bullet"/>
      <w:lvlText w:val="•"/>
      <w:lvlJc w:val="left"/>
      <w:pPr>
        <w:ind w:left="6186" w:hanging="360"/>
      </w:pPr>
      <w:rPr>
        <w:rFonts w:hint="default"/>
        <w:lang w:val="en-US" w:eastAsia="en-US" w:bidi="ar-SA"/>
      </w:rPr>
    </w:lvl>
  </w:abstractNum>
  <w:abstractNum w:abstractNumId="36" w15:restartNumberingAfterBreak="0">
    <w:nsid w:val="5283445E"/>
    <w:multiLevelType w:val="hybridMultilevel"/>
    <w:tmpl w:val="F702B538"/>
    <w:lvl w:ilvl="0" w:tplc="94809F0A">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C5CE127E">
      <w:numFmt w:val="bullet"/>
      <w:lvlText w:val="•"/>
      <w:lvlJc w:val="left"/>
      <w:pPr>
        <w:ind w:left="1872" w:hanging="360"/>
      </w:pPr>
      <w:rPr>
        <w:rFonts w:hint="default"/>
        <w:lang w:val="en-US" w:eastAsia="en-US" w:bidi="ar-SA"/>
      </w:rPr>
    </w:lvl>
    <w:lvl w:ilvl="2" w:tplc="ECD2E4E4">
      <w:numFmt w:val="bullet"/>
      <w:lvlText w:val="•"/>
      <w:lvlJc w:val="left"/>
      <w:pPr>
        <w:ind w:left="2805" w:hanging="360"/>
      </w:pPr>
      <w:rPr>
        <w:rFonts w:hint="default"/>
        <w:lang w:val="en-US" w:eastAsia="en-US" w:bidi="ar-SA"/>
      </w:rPr>
    </w:lvl>
    <w:lvl w:ilvl="3" w:tplc="C576B984">
      <w:numFmt w:val="bullet"/>
      <w:lvlText w:val="•"/>
      <w:lvlJc w:val="left"/>
      <w:pPr>
        <w:ind w:left="3737" w:hanging="360"/>
      </w:pPr>
      <w:rPr>
        <w:rFonts w:hint="default"/>
        <w:lang w:val="en-US" w:eastAsia="en-US" w:bidi="ar-SA"/>
      </w:rPr>
    </w:lvl>
    <w:lvl w:ilvl="4" w:tplc="8D988C48">
      <w:numFmt w:val="bullet"/>
      <w:lvlText w:val="•"/>
      <w:lvlJc w:val="left"/>
      <w:pPr>
        <w:ind w:left="4670" w:hanging="360"/>
      </w:pPr>
      <w:rPr>
        <w:rFonts w:hint="default"/>
        <w:lang w:val="en-US" w:eastAsia="en-US" w:bidi="ar-SA"/>
      </w:rPr>
    </w:lvl>
    <w:lvl w:ilvl="5" w:tplc="3BB86520">
      <w:numFmt w:val="bullet"/>
      <w:lvlText w:val="•"/>
      <w:lvlJc w:val="left"/>
      <w:pPr>
        <w:ind w:left="5603" w:hanging="360"/>
      </w:pPr>
      <w:rPr>
        <w:rFonts w:hint="default"/>
        <w:lang w:val="en-US" w:eastAsia="en-US" w:bidi="ar-SA"/>
      </w:rPr>
    </w:lvl>
    <w:lvl w:ilvl="6" w:tplc="DBBE9EB8">
      <w:numFmt w:val="bullet"/>
      <w:lvlText w:val="•"/>
      <w:lvlJc w:val="left"/>
      <w:pPr>
        <w:ind w:left="6535" w:hanging="360"/>
      </w:pPr>
      <w:rPr>
        <w:rFonts w:hint="default"/>
        <w:lang w:val="en-US" w:eastAsia="en-US" w:bidi="ar-SA"/>
      </w:rPr>
    </w:lvl>
    <w:lvl w:ilvl="7" w:tplc="A8E03BF6">
      <w:numFmt w:val="bullet"/>
      <w:lvlText w:val="•"/>
      <w:lvlJc w:val="left"/>
      <w:pPr>
        <w:ind w:left="7468" w:hanging="360"/>
      </w:pPr>
      <w:rPr>
        <w:rFonts w:hint="default"/>
        <w:lang w:val="en-US" w:eastAsia="en-US" w:bidi="ar-SA"/>
      </w:rPr>
    </w:lvl>
    <w:lvl w:ilvl="8" w:tplc="C0E0CD82">
      <w:numFmt w:val="bullet"/>
      <w:lvlText w:val="•"/>
      <w:lvlJc w:val="left"/>
      <w:pPr>
        <w:ind w:left="8401" w:hanging="360"/>
      </w:pPr>
      <w:rPr>
        <w:rFonts w:hint="default"/>
        <w:lang w:val="en-US" w:eastAsia="en-US" w:bidi="ar-SA"/>
      </w:rPr>
    </w:lvl>
  </w:abstractNum>
  <w:abstractNum w:abstractNumId="37" w15:restartNumberingAfterBreak="0">
    <w:nsid w:val="53A76AB9"/>
    <w:multiLevelType w:val="hybridMultilevel"/>
    <w:tmpl w:val="EE24655C"/>
    <w:lvl w:ilvl="0" w:tplc="E8CA2336">
      <w:numFmt w:val="bullet"/>
      <w:lvlText w:val=""/>
      <w:lvlJc w:val="left"/>
      <w:pPr>
        <w:ind w:left="468" w:hanging="360"/>
      </w:pPr>
      <w:rPr>
        <w:rFonts w:ascii="Symbol" w:eastAsia="Symbol" w:hAnsi="Symbol" w:cs="Symbol" w:hint="default"/>
        <w:w w:val="100"/>
        <w:sz w:val="22"/>
        <w:szCs w:val="22"/>
        <w:lang w:val="en-US" w:eastAsia="en-US" w:bidi="ar-SA"/>
      </w:rPr>
    </w:lvl>
    <w:lvl w:ilvl="1" w:tplc="453EEB18">
      <w:numFmt w:val="bullet"/>
      <w:lvlText w:val="•"/>
      <w:lvlJc w:val="left"/>
      <w:pPr>
        <w:ind w:left="1175" w:hanging="360"/>
      </w:pPr>
      <w:rPr>
        <w:rFonts w:hint="default"/>
        <w:lang w:val="en-US" w:eastAsia="en-US" w:bidi="ar-SA"/>
      </w:rPr>
    </w:lvl>
    <w:lvl w:ilvl="2" w:tplc="8294D614">
      <w:numFmt w:val="bullet"/>
      <w:lvlText w:val="•"/>
      <w:lvlJc w:val="left"/>
      <w:pPr>
        <w:ind w:left="1891" w:hanging="360"/>
      </w:pPr>
      <w:rPr>
        <w:rFonts w:hint="default"/>
        <w:lang w:val="en-US" w:eastAsia="en-US" w:bidi="ar-SA"/>
      </w:rPr>
    </w:lvl>
    <w:lvl w:ilvl="3" w:tplc="55365EB4">
      <w:numFmt w:val="bullet"/>
      <w:lvlText w:val="•"/>
      <w:lvlJc w:val="left"/>
      <w:pPr>
        <w:ind w:left="2607" w:hanging="360"/>
      </w:pPr>
      <w:rPr>
        <w:rFonts w:hint="default"/>
        <w:lang w:val="en-US" w:eastAsia="en-US" w:bidi="ar-SA"/>
      </w:rPr>
    </w:lvl>
    <w:lvl w:ilvl="4" w:tplc="7F266040">
      <w:numFmt w:val="bullet"/>
      <w:lvlText w:val="•"/>
      <w:lvlJc w:val="left"/>
      <w:pPr>
        <w:ind w:left="3323" w:hanging="360"/>
      </w:pPr>
      <w:rPr>
        <w:rFonts w:hint="default"/>
        <w:lang w:val="en-US" w:eastAsia="en-US" w:bidi="ar-SA"/>
      </w:rPr>
    </w:lvl>
    <w:lvl w:ilvl="5" w:tplc="EB8E5E62">
      <w:numFmt w:val="bullet"/>
      <w:lvlText w:val="•"/>
      <w:lvlJc w:val="left"/>
      <w:pPr>
        <w:ind w:left="4039" w:hanging="360"/>
      </w:pPr>
      <w:rPr>
        <w:rFonts w:hint="default"/>
        <w:lang w:val="en-US" w:eastAsia="en-US" w:bidi="ar-SA"/>
      </w:rPr>
    </w:lvl>
    <w:lvl w:ilvl="6" w:tplc="676AE778">
      <w:numFmt w:val="bullet"/>
      <w:lvlText w:val="•"/>
      <w:lvlJc w:val="left"/>
      <w:pPr>
        <w:ind w:left="4754" w:hanging="360"/>
      </w:pPr>
      <w:rPr>
        <w:rFonts w:hint="default"/>
        <w:lang w:val="en-US" w:eastAsia="en-US" w:bidi="ar-SA"/>
      </w:rPr>
    </w:lvl>
    <w:lvl w:ilvl="7" w:tplc="88AA48B8">
      <w:numFmt w:val="bullet"/>
      <w:lvlText w:val="•"/>
      <w:lvlJc w:val="left"/>
      <w:pPr>
        <w:ind w:left="5470" w:hanging="360"/>
      </w:pPr>
      <w:rPr>
        <w:rFonts w:hint="default"/>
        <w:lang w:val="en-US" w:eastAsia="en-US" w:bidi="ar-SA"/>
      </w:rPr>
    </w:lvl>
    <w:lvl w:ilvl="8" w:tplc="17FA105E">
      <w:numFmt w:val="bullet"/>
      <w:lvlText w:val="•"/>
      <w:lvlJc w:val="left"/>
      <w:pPr>
        <w:ind w:left="6186" w:hanging="360"/>
      </w:pPr>
      <w:rPr>
        <w:rFonts w:hint="default"/>
        <w:lang w:val="en-US" w:eastAsia="en-US" w:bidi="ar-SA"/>
      </w:rPr>
    </w:lvl>
  </w:abstractNum>
  <w:abstractNum w:abstractNumId="38" w15:restartNumberingAfterBreak="0">
    <w:nsid w:val="57FA4E58"/>
    <w:multiLevelType w:val="hybridMultilevel"/>
    <w:tmpl w:val="8CD0B210"/>
    <w:lvl w:ilvl="0" w:tplc="C20CECEE">
      <w:numFmt w:val="bullet"/>
      <w:lvlText w:val=""/>
      <w:lvlJc w:val="left"/>
      <w:pPr>
        <w:ind w:left="468" w:hanging="361"/>
      </w:pPr>
      <w:rPr>
        <w:rFonts w:ascii="Symbol" w:eastAsia="Symbol" w:hAnsi="Symbol" w:cs="Symbol" w:hint="default"/>
        <w:w w:val="100"/>
        <w:sz w:val="22"/>
        <w:szCs w:val="22"/>
        <w:lang w:val="en-US" w:eastAsia="en-US" w:bidi="ar-SA"/>
      </w:rPr>
    </w:lvl>
    <w:lvl w:ilvl="1" w:tplc="18B4058A">
      <w:numFmt w:val="bullet"/>
      <w:lvlText w:val="•"/>
      <w:lvlJc w:val="left"/>
      <w:pPr>
        <w:ind w:left="1105" w:hanging="361"/>
      </w:pPr>
      <w:rPr>
        <w:rFonts w:hint="default"/>
        <w:lang w:val="en-US" w:eastAsia="en-US" w:bidi="ar-SA"/>
      </w:rPr>
    </w:lvl>
    <w:lvl w:ilvl="2" w:tplc="DB5A9472">
      <w:numFmt w:val="bullet"/>
      <w:lvlText w:val="•"/>
      <w:lvlJc w:val="left"/>
      <w:pPr>
        <w:ind w:left="1750" w:hanging="361"/>
      </w:pPr>
      <w:rPr>
        <w:rFonts w:hint="default"/>
        <w:lang w:val="en-US" w:eastAsia="en-US" w:bidi="ar-SA"/>
      </w:rPr>
    </w:lvl>
    <w:lvl w:ilvl="3" w:tplc="48DC7182">
      <w:numFmt w:val="bullet"/>
      <w:lvlText w:val="•"/>
      <w:lvlJc w:val="left"/>
      <w:pPr>
        <w:ind w:left="2395" w:hanging="361"/>
      </w:pPr>
      <w:rPr>
        <w:rFonts w:hint="default"/>
        <w:lang w:val="en-US" w:eastAsia="en-US" w:bidi="ar-SA"/>
      </w:rPr>
    </w:lvl>
    <w:lvl w:ilvl="4" w:tplc="F32C87F8">
      <w:numFmt w:val="bullet"/>
      <w:lvlText w:val="•"/>
      <w:lvlJc w:val="left"/>
      <w:pPr>
        <w:ind w:left="3040" w:hanging="361"/>
      </w:pPr>
      <w:rPr>
        <w:rFonts w:hint="default"/>
        <w:lang w:val="en-US" w:eastAsia="en-US" w:bidi="ar-SA"/>
      </w:rPr>
    </w:lvl>
    <w:lvl w:ilvl="5" w:tplc="9CC27038">
      <w:numFmt w:val="bullet"/>
      <w:lvlText w:val="•"/>
      <w:lvlJc w:val="left"/>
      <w:pPr>
        <w:ind w:left="3685" w:hanging="361"/>
      </w:pPr>
      <w:rPr>
        <w:rFonts w:hint="default"/>
        <w:lang w:val="en-US" w:eastAsia="en-US" w:bidi="ar-SA"/>
      </w:rPr>
    </w:lvl>
    <w:lvl w:ilvl="6" w:tplc="A0263E38">
      <w:numFmt w:val="bullet"/>
      <w:lvlText w:val="•"/>
      <w:lvlJc w:val="left"/>
      <w:pPr>
        <w:ind w:left="4330" w:hanging="361"/>
      </w:pPr>
      <w:rPr>
        <w:rFonts w:hint="default"/>
        <w:lang w:val="en-US" w:eastAsia="en-US" w:bidi="ar-SA"/>
      </w:rPr>
    </w:lvl>
    <w:lvl w:ilvl="7" w:tplc="6B0AF00C">
      <w:numFmt w:val="bullet"/>
      <w:lvlText w:val="•"/>
      <w:lvlJc w:val="left"/>
      <w:pPr>
        <w:ind w:left="4975" w:hanging="361"/>
      </w:pPr>
      <w:rPr>
        <w:rFonts w:hint="default"/>
        <w:lang w:val="en-US" w:eastAsia="en-US" w:bidi="ar-SA"/>
      </w:rPr>
    </w:lvl>
    <w:lvl w:ilvl="8" w:tplc="92C4F69C">
      <w:numFmt w:val="bullet"/>
      <w:lvlText w:val="•"/>
      <w:lvlJc w:val="left"/>
      <w:pPr>
        <w:ind w:left="5620" w:hanging="361"/>
      </w:pPr>
      <w:rPr>
        <w:rFonts w:hint="default"/>
        <w:lang w:val="en-US" w:eastAsia="en-US" w:bidi="ar-SA"/>
      </w:rPr>
    </w:lvl>
  </w:abstractNum>
  <w:abstractNum w:abstractNumId="39" w15:restartNumberingAfterBreak="0">
    <w:nsid w:val="58806F9E"/>
    <w:multiLevelType w:val="hybridMultilevel"/>
    <w:tmpl w:val="80A2566E"/>
    <w:lvl w:ilvl="0" w:tplc="226E17FC">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9FA88A5E">
      <w:numFmt w:val="bullet"/>
      <w:lvlText w:val="•"/>
      <w:lvlJc w:val="left"/>
      <w:pPr>
        <w:ind w:left="1872" w:hanging="360"/>
      </w:pPr>
      <w:rPr>
        <w:rFonts w:hint="default"/>
        <w:lang w:val="en-US" w:eastAsia="en-US" w:bidi="ar-SA"/>
      </w:rPr>
    </w:lvl>
    <w:lvl w:ilvl="2" w:tplc="B7469DC8">
      <w:numFmt w:val="bullet"/>
      <w:lvlText w:val="•"/>
      <w:lvlJc w:val="left"/>
      <w:pPr>
        <w:ind w:left="2805" w:hanging="360"/>
      </w:pPr>
      <w:rPr>
        <w:rFonts w:hint="default"/>
        <w:lang w:val="en-US" w:eastAsia="en-US" w:bidi="ar-SA"/>
      </w:rPr>
    </w:lvl>
    <w:lvl w:ilvl="3" w:tplc="7980901C">
      <w:numFmt w:val="bullet"/>
      <w:lvlText w:val="•"/>
      <w:lvlJc w:val="left"/>
      <w:pPr>
        <w:ind w:left="3737" w:hanging="360"/>
      </w:pPr>
      <w:rPr>
        <w:rFonts w:hint="default"/>
        <w:lang w:val="en-US" w:eastAsia="en-US" w:bidi="ar-SA"/>
      </w:rPr>
    </w:lvl>
    <w:lvl w:ilvl="4" w:tplc="2C32C25A">
      <w:numFmt w:val="bullet"/>
      <w:lvlText w:val="•"/>
      <w:lvlJc w:val="left"/>
      <w:pPr>
        <w:ind w:left="4670" w:hanging="360"/>
      </w:pPr>
      <w:rPr>
        <w:rFonts w:hint="default"/>
        <w:lang w:val="en-US" w:eastAsia="en-US" w:bidi="ar-SA"/>
      </w:rPr>
    </w:lvl>
    <w:lvl w:ilvl="5" w:tplc="7A76A52C">
      <w:numFmt w:val="bullet"/>
      <w:lvlText w:val="•"/>
      <w:lvlJc w:val="left"/>
      <w:pPr>
        <w:ind w:left="5603" w:hanging="360"/>
      </w:pPr>
      <w:rPr>
        <w:rFonts w:hint="default"/>
        <w:lang w:val="en-US" w:eastAsia="en-US" w:bidi="ar-SA"/>
      </w:rPr>
    </w:lvl>
    <w:lvl w:ilvl="6" w:tplc="03505898">
      <w:numFmt w:val="bullet"/>
      <w:lvlText w:val="•"/>
      <w:lvlJc w:val="left"/>
      <w:pPr>
        <w:ind w:left="6535" w:hanging="360"/>
      </w:pPr>
      <w:rPr>
        <w:rFonts w:hint="default"/>
        <w:lang w:val="en-US" w:eastAsia="en-US" w:bidi="ar-SA"/>
      </w:rPr>
    </w:lvl>
    <w:lvl w:ilvl="7" w:tplc="3264AEF2">
      <w:numFmt w:val="bullet"/>
      <w:lvlText w:val="•"/>
      <w:lvlJc w:val="left"/>
      <w:pPr>
        <w:ind w:left="7468" w:hanging="360"/>
      </w:pPr>
      <w:rPr>
        <w:rFonts w:hint="default"/>
        <w:lang w:val="en-US" w:eastAsia="en-US" w:bidi="ar-SA"/>
      </w:rPr>
    </w:lvl>
    <w:lvl w:ilvl="8" w:tplc="023050AA">
      <w:numFmt w:val="bullet"/>
      <w:lvlText w:val="•"/>
      <w:lvlJc w:val="left"/>
      <w:pPr>
        <w:ind w:left="8401" w:hanging="360"/>
      </w:pPr>
      <w:rPr>
        <w:rFonts w:hint="default"/>
        <w:lang w:val="en-US" w:eastAsia="en-US" w:bidi="ar-SA"/>
      </w:rPr>
    </w:lvl>
  </w:abstractNum>
  <w:abstractNum w:abstractNumId="40" w15:restartNumberingAfterBreak="0">
    <w:nsid w:val="5919641B"/>
    <w:multiLevelType w:val="multilevel"/>
    <w:tmpl w:val="D624E54E"/>
    <w:lvl w:ilvl="0">
      <w:start w:val="6"/>
      <w:numFmt w:val="decimal"/>
      <w:lvlText w:val="%1"/>
      <w:lvlJc w:val="left"/>
      <w:pPr>
        <w:ind w:left="217" w:hanging="329"/>
      </w:pPr>
      <w:rPr>
        <w:rFonts w:hint="default"/>
        <w:lang w:val="en-US" w:eastAsia="en-US" w:bidi="ar-SA"/>
      </w:rPr>
    </w:lvl>
    <w:lvl w:ilvl="1">
      <w:numFmt w:val="decimal"/>
      <w:lvlText w:val="%1.%2"/>
      <w:lvlJc w:val="left"/>
      <w:pPr>
        <w:ind w:left="217" w:hanging="329"/>
      </w:pPr>
      <w:rPr>
        <w:rFonts w:ascii="Calibri" w:eastAsia="Calibri" w:hAnsi="Calibri" w:cs="Calibri" w:hint="default"/>
        <w:spacing w:val="-1"/>
        <w:w w:val="100"/>
        <w:sz w:val="22"/>
        <w:szCs w:val="22"/>
        <w:lang w:val="en-US" w:eastAsia="en-US" w:bidi="ar-SA"/>
      </w:rPr>
    </w:lvl>
    <w:lvl w:ilvl="2">
      <w:start w:val="1"/>
      <w:numFmt w:val="decimal"/>
      <w:lvlText w:val="%3."/>
      <w:lvlJc w:val="left"/>
      <w:pPr>
        <w:ind w:left="938" w:hanging="360"/>
      </w:pPr>
      <w:rPr>
        <w:rFonts w:ascii="Calibri" w:eastAsia="Calibri" w:hAnsi="Calibri" w:cs="Calibri" w:hint="default"/>
        <w:w w:val="100"/>
        <w:sz w:val="22"/>
        <w:szCs w:val="22"/>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2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41" w15:restartNumberingAfterBreak="0">
    <w:nsid w:val="599B6B6C"/>
    <w:multiLevelType w:val="hybridMultilevel"/>
    <w:tmpl w:val="A29A97D8"/>
    <w:lvl w:ilvl="0" w:tplc="B58C321A">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701E8A1A">
      <w:numFmt w:val="bullet"/>
      <w:lvlText w:val="•"/>
      <w:lvlJc w:val="left"/>
      <w:pPr>
        <w:ind w:left="1872" w:hanging="360"/>
      </w:pPr>
      <w:rPr>
        <w:rFonts w:hint="default"/>
        <w:lang w:val="en-US" w:eastAsia="en-US" w:bidi="ar-SA"/>
      </w:rPr>
    </w:lvl>
    <w:lvl w:ilvl="2" w:tplc="739C8F3E">
      <w:numFmt w:val="bullet"/>
      <w:lvlText w:val="•"/>
      <w:lvlJc w:val="left"/>
      <w:pPr>
        <w:ind w:left="2805" w:hanging="360"/>
      </w:pPr>
      <w:rPr>
        <w:rFonts w:hint="default"/>
        <w:lang w:val="en-US" w:eastAsia="en-US" w:bidi="ar-SA"/>
      </w:rPr>
    </w:lvl>
    <w:lvl w:ilvl="3" w:tplc="D28CD8F2">
      <w:numFmt w:val="bullet"/>
      <w:lvlText w:val="•"/>
      <w:lvlJc w:val="left"/>
      <w:pPr>
        <w:ind w:left="3737" w:hanging="360"/>
      </w:pPr>
      <w:rPr>
        <w:rFonts w:hint="default"/>
        <w:lang w:val="en-US" w:eastAsia="en-US" w:bidi="ar-SA"/>
      </w:rPr>
    </w:lvl>
    <w:lvl w:ilvl="4" w:tplc="4112B47E">
      <w:numFmt w:val="bullet"/>
      <w:lvlText w:val="•"/>
      <w:lvlJc w:val="left"/>
      <w:pPr>
        <w:ind w:left="4670" w:hanging="360"/>
      </w:pPr>
      <w:rPr>
        <w:rFonts w:hint="default"/>
        <w:lang w:val="en-US" w:eastAsia="en-US" w:bidi="ar-SA"/>
      </w:rPr>
    </w:lvl>
    <w:lvl w:ilvl="5" w:tplc="E280F276">
      <w:numFmt w:val="bullet"/>
      <w:lvlText w:val="•"/>
      <w:lvlJc w:val="left"/>
      <w:pPr>
        <w:ind w:left="5603" w:hanging="360"/>
      </w:pPr>
      <w:rPr>
        <w:rFonts w:hint="default"/>
        <w:lang w:val="en-US" w:eastAsia="en-US" w:bidi="ar-SA"/>
      </w:rPr>
    </w:lvl>
    <w:lvl w:ilvl="6" w:tplc="1864F9D6">
      <w:numFmt w:val="bullet"/>
      <w:lvlText w:val="•"/>
      <w:lvlJc w:val="left"/>
      <w:pPr>
        <w:ind w:left="6535" w:hanging="360"/>
      </w:pPr>
      <w:rPr>
        <w:rFonts w:hint="default"/>
        <w:lang w:val="en-US" w:eastAsia="en-US" w:bidi="ar-SA"/>
      </w:rPr>
    </w:lvl>
    <w:lvl w:ilvl="7" w:tplc="388CCF54">
      <w:numFmt w:val="bullet"/>
      <w:lvlText w:val="•"/>
      <w:lvlJc w:val="left"/>
      <w:pPr>
        <w:ind w:left="7468" w:hanging="360"/>
      </w:pPr>
      <w:rPr>
        <w:rFonts w:hint="default"/>
        <w:lang w:val="en-US" w:eastAsia="en-US" w:bidi="ar-SA"/>
      </w:rPr>
    </w:lvl>
    <w:lvl w:ilvl="8" w:tplc="4BF4210A">
      <w:numFmt w:val="bullet"/>
      <w:lvlText w:val="•"/>
      <w:lvlJc w:val="left"/>
      <w:pPr>
        <w:ind w:left="8401" w:hanging="360"/>
      </w:pPr>
      <w:rPr>
        <w:rFonts w:hint="default"/>
        <w:lang w:val="en-US" w:eastAsia="en-US" w:bidi="ar-SA"/>
      </w:rPr>
    </w:lvl>
  </w:abstractNum>
  <w:abstractNum w:abstractNumId="42" w15:restartNumberingAfterBreak="0">
    <w:nsid w:val="59B3762E"/>
    <w:multiLevelType w:val="hybridMultilevel"/>
    <w:tmpl w:val="2CBEF58C"/>
    <w:lvl w:ilvl="0" w:tplc="96D2A06C">
      <w:numFmt w:val="bullet"/>
      <w:lvlText w:val=""/>
      <w:lvlJc w:val="left"/>
      <w:pPr>
        <w:ind w:left="1222" w:hanging="358"/>
      </w:pPr>
      <w:rPr>
        <w:rFonts w:ascii="Symbol" w:eastAsia="Symbol" w:hAnsi="Symbol" w:cs="Symbol" w:hint="default"/>
        <w:w w:val="100"/>
        <w:sz w:val="24"/>
        <w:szCs w:val="24"/>
        <w:lang w:val="en-US" w:eastAsia="en-US" w:bidi="ar-SA"/>
      </w:rPr>
    </w:lvl>
    <w:lvl w:ilvl="1" w:tplc="D44012F4">
      <w:numFmt w:val="bullet"/>
      <w:lvlText w:val="•"/>
      <w:lvlJc w:val="left"/>
      <w:pPr>
        <w:ind w:left="2000" w:hanging="358"/>
      </w:pPr>
      <w:rPr>
        <w:rFonts w:hint="default"/>
        <w:lang w:val="en-US" w:eastAsia="en-US" w:bidi="ar-SA"/>
      </w:rPr>
    </w:lvl>
    <w:lvl w:ilvl="2" w:tplc="9C2E123C">
      <w:numFmt w:val="bullet"/>
      <w:lvlText w:val="•"/>
      <w:lvlJc w:val="left"/>
      <w:pPr>
        <w:ind w:left="2781" w:hanging="358"/>
      </w:pPr>
      <w:rPr>
        <w:rFonts w:hint="default"/>
        <w:lang w:val="en-US" w:eastAsia="en-US" w:bidi="ar-SA"/>
      </w:rPr>
    </w:lvl>
    <w:lvl w:ilvl="3" w:tplc="EA6AA8BA">
      <w:numFmt w:val="bullet"/>
      <w:lvlText w:val="•"/>
      <w:lvlJc w:val="left"/>
      <w:pPr>
        <w:ind w:left="3562" w:hanging="358"/>
      </w:pPr>
      <w:rPr>
        <w:rFonts w:hint="default"/>
        <w:lang w:val="en-US" w:eastAsia="en-US" w:bidi="ar-SA"/>
      </w:rPr>
    </w:lvl>
    <w:lvl w:ilvl="4" w:tplc="82E40E6A">
      <w:numFmt w:val="bullet"/>
      <w:lvlText w:val="•"/>
      <w:lvlJc w:val="left"/>
      <w:pPr>
        <w:ind w:left="4343" w:hanging="358"/>
      </w:pPr>
      <w:rPr>
        <w:rFonts w:hint="default"/>
        <w:lang w:val="en-US" w:eastAsia="en-US" w:bidi="ar-SA"/>
      </w:rPr>
    </w:lvl>
    <w:lvl w:ilvl="5" w:tplc="434C0C4E">
      <w:numFmt w:val="bullet"/>
      <w:lvlText w:val="•"/>
      <w:lvlJc w:val="left"/>
      <w:pPr>
        <w:ind w:left="5124" w:hanging="358"/>
      </w:pPr>
      <w:rPr>
        <w:rFonts w:hint="default"/>
        <w:lang w:val="en-US" w:eastAsia="en-US" w:bidi="ar-SA"/>
      </w:rPr>
    </w:lvl>
    <w:lvl w:ilvl="6" w:tplc="6D20EC32">
      <w:numFmt w:val="bullet"/>
      <w:lvlText w:val="•"/>
      <w:lvlJc w:val="left"/>
      <w:pPr>
        <w:ind w:left="5905" w:hanging="358"/>
      </w:pPr>
      <w:rPr>
        <w:rFonts w:hint="default"/>
        <w:lang w:val="en-US" w:eastAsia="en-US" w:bidi="ar-SA"/>
      </w:rPr>
    </w:lvl>
    <w:lvl w:ilvl="7" w:tplc="F20A0A52">
      <w:numFmt w:val="bullet"/>
      <w:lvlText w:val="•"/>
      <w:lvlJc w:val="left"/>
      <w:pPr>
        <w:ind w:left="6686" w:hanging="358"/>
      </w:pPr>
      <w:rPr>
        <w:rFonts w:hint="default"/>
        <w:lang w:val="en-US" w:eastAsia="en-US" w:bidi="ar-SA"/>
      </w:rPr>
    </w:lvl>
    <w:lvl w:ilvl="8" w:tplc="31CA6EF2">
      <w:numFmt w:val="bullet"/>
      <w:lvlText w:val="•"/>
      <w:lvlJc w:val="left"/>
      <w:pPr>
        <w:ind w:left="7467" w:hanging="358"/>
      </w:pPr>
      <w:rPr>
        <w:rFonts w:hint="default"/>
        <w:lang w:val="en-US" w:eastAsia="en-US" w:bidi="ar-SA"/>
      </w:rPr>
    </w:lvl>
  </w:abstractNum>
  <w:abstractNum w:abstractNumId="43" w15:restartNumberingAfterBreak="0">
    <w:nsid w:val="5B076268"/>
    <w:multiLevelType w:val="hybridMultilevel"/>
    <w:tmpl w:val="0038E380"/>
    <w:lvl w:ilvl="0" w:tplc="3B0E05CA">
      <w:numFmt w:val="bullet"/>
      <w:lvlText w:val=""/>
      <w:lvlJc w:val="left"/>
      <w:pPr>
        <w:ind w:left="468" w:hanging="360"/>
      </w:pPr>
      <w:rPr>
        <w:rFonts w:ascii="Symbol" w:eastAsia="Symbol" w:hAnsi="Symbol" w:cs="Symbol" w:hint="default"/>
        <w:w w:val="100"/>
        <w:sz w:val="22"/>
        <w:szCs w:val="22"/>
        <w:lang w:val="en-US" w:eastAsia="en-US" w:bidi="ar-SA"/>
      </w:rPr>
    </w:lvl>
    <w:lvl w:ilvl="1" w:tplc="83EA0D96">
      <w:numFmt w:val="bullet"/>
      <w:lvlText w:val="•"/>
      <w:lvlJc w:val="left"/>
      <w:pPr>
        <w:ind w:left="1175" w:hanging="360"/>
      </w:pPr>
      <w:rPr>
        <w:rFonts w:hint="default"/>
        <w:lang w:val="en-US" w:eastAsia="en-US" w:bidi="ar-SA"/>
      </w:rPr>
    </w:lvl>
    <w:lvl w:ilvl="2" w:tplc="7B783AFE">
      <w:numFmt w:val="bullet"/>
      <w:lvlText w:val="•"/>
      <w:lvlJc w:val="left"/>
      <w:pPr>
        <w:ind w:left="1891" w:hanging="360"/>
      </w:pPr>
      <w:rPr>
        <w:rFonts w:hint="default"/>
        <w:lang w:val="en-US" w:eastAsia="en-US" w:bidi="ar-SA"/>
      </w:rPr>
    </w:lvl>
    <w:lvl w:ilvl="3" w:tplc="7F0ED6F8">
      <w:numFmt w:val="bullet"/>
      <w:lvlText w:val="•"/>
      <w:lvlJc w:val="left"/>
      <w:pPr>
        <w:ind w:left="2607" w:hanging="360"/>
      </w:pPr>
      <w:rPr>
        <w:rFonts w:hint="default"/>
        <w:lang w:val="en-US" w:eastAsia="en-US" w:bidi="ar-SA"/>
      </w:rPr>
    </w:lvl>
    <w:lvl w:ilvl="4" w:tplc="A010F3AA">
      <w:numFmt w:val="bullet"/>
      <w:lvlText w:val="•"/>
      <w:lvlJc w:val="left"/>
      <w:pPr>
        <w:ind w:left="3323" w:hanging="360"/>
      </w:pPr>
      <w:rPr>
        <w:rFonts w:hint="default"/>
        <w:lang w:val="en-US" w:eastAsia="en-US" w:bidi="ar-SA"/>
      </w:rPr>
    </w:lvl>
    <w:lvl w:ilvl="5" w:tplc="7494DAE0">
      <w:numFmt w:val="bullet"/>
      <w:lvlText w:val="•"/>
      <w:lvlJc w:val="left"/>
      <w:pPr>
        <w:ind w:left="4039" w:hanging="360"/>
      </w:pPr>
      <w:rPr>
        <w:rFonts w:hint="default"/>
        <w:lang w:val="en-US" w:eastAsia="en-US" w:bidi="ar-SA"/>
      </w:rPr>
    </w:lvl>
    <w:lvl w:ilvl="6" w:tplc="786641EA">
      <w:numFmt w:val="bullet"/>
      <w:lvlText w:val="•"/>
      <w:lvlJc w:val="left"/>
      <w:pPr>
        <w:ind w:left="4754" w:hanging="360"/>
      </w:pPr>
      <w:rPr>
        <w:rFonts w:hint="default"/>
        <w:lang w:val="en-US" w:eastAsia="en-US" w:bidi="ar-SA"/>
      </w:rPr>
    </w:lvl>
    <w:lvl w:ilvl="7" w:tplc="4482B78E">
      <w:numFmt w:val="bullet"/>
      <w:lvlText w:val="•"/>
      <w:lvlJc w:val="left"/>
      <w:pPr>
        <w:ind w:left="5470" w:hanging="360"/>
      </w:pPr>
      <w:rPr>
        <w:rFonts w:hint="default"/>
        <w:lang w:val="en-US" w:eastAsia="en-US" w:bidi="ar-SA"/>
      </w:rPr>
    </w:lvl>
    <w:lvl w:ilvl="8" w:tplc="5EDC9DF4">
      <w:numFmt w:val="bullet"/>
      <w:lvlText w:val="•"/>
      <w:lvlJc w:val="left"/>
      <w:pPr>
        <w:ind w:left="6186" w:hanging="360"/>
      </w:pPr>
      <w:rPr>
        <w:rFonts w:hint="default"/>
        <w:lang w:val="en-US" w:eastAsia="en-US" w:bidi="ar-SA"/>
      </w:rPr>
    </w:lvl>
  </w:abstractNum>
  <w:abstractNum w:abstractNumId="44" w15:restartNumberingAfterBreak="0">
    <w:nsid w:val="5B440B68"/>
    <w:multiLevelType w:val="multilevel"/>
    <w:tmpl w:val="895AB8E4"/>
    <w:lvl w:ilvl="0">
      <w:start w:val="5"/>
      <w:numFmt w:val="decimal"/>
      <w:lvlText w:val="%1"/>
      <w:lvlJc w:val="left"/>
      <w:pPr>
        <w:ind w:left="217" w:hanging="329"/>
      </w:pPr>
      <w:rPr>
        <w:rFonts w:hint="default"/>
        <w:lang w:val="en-US" w:eastAsia="en-US" w:bidi="ar-SA"/>
      </w:rPr>
    </w:lvl>
    <w:lvl w:ilvl="1">
      <w:start w:val="1"/>
      <w:numFmt w:val="decimal"/>
      <w:lvlText w:val="%1.%2"/>
      <w:lvlJc w:val="left"/>
      <w:pPr>
        <w:ind w:left="217" w:hanging="329"/>
      </w:pPr>
      <w:rPr>
        <w:rFonts w:ascii="Calibri" w:eastAsia="Calibri" w:hAnsi="Calibri" w:cs="Calibri" w:hint="default"/>
        <w:spacing w:val="-1"/>
        <w:w w:val="100"/>
        <w:sz w:val="22"/>
        <w:szCs w:val="22"/>
        <w:lang w:val="en-US" w:eastAsia="en-US" w:bidi="ar-SA"/>
      </w:rPr>
    </w:lvl>
    <w:lvl w:ilvl="2">
      <w:start w:val="1"/>
      <w:numFmt w:val="decimal"/>
      <w:lvlText w:val="%3."/>
      <w:lvlJc w:val="left"/>
      <w:pPr>
        <w:ind w:left="938" w:hanging="360"/>
      </w:pPr>
      <w:rPr>
        <w:rFonts w:ascii="Calibri" w:eastAsia="Calibri" w:hAnsi="Calibri" w:cs="Calibri" w:hint="default"/>
        <w:w w:val="100"/>
        <w:sz w:val="22"/>
        <w:szCs w:val="22"/>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2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45" w15:restartNumberingAfterBreak="0">
    <w:nsid w:val="5D7517EF"/>
    <w:multiLevelType w:val="hybridMultilevel"/>
    <w:tmpl w:val="CB3AE3AE"/>
    <w:lvl w:ilvl="0" w:tplc="4656A12E">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CE16CD1C">
      <w:numFmt w:val="bullet"/>
      <w:lvlText w:val="•"/>
      <w:lvlJc w:val="left"/>
      <w:pPr>
        <w:ind w:left="1872" w:hanging="360"/>
      </w:pPr>
      <w:rPr>
        <w:rFonts w:hint="default"/>
        <w:lang w:val="en-US" w:eastAsia="en-US" w:bidi="ar-SA"/>
      </w:rPr>
    </w:lvl>
    <w:lvl w:ilvl="2" w:tplc="36E423AC">
      <w:numFmt w:val="bullet"/>
      <w:lvlText w:val="•"/>
      <w:lvlJc w:val="left"/>
      <w:pPr>
        <w:ind w:left="2805" w:hanging="360"/>
      </w:pPr>
      <w:rPr>
        <w:rFonts w:hint="default"/>
        <w:lang w:val="en-US" w:eastAsia="en-US" w:bidi="ar-SA"/>
      </w:rPr>
    </w:lvl>
    <w:lvl w:ilvl="3" w:tplc="FEA8FB10">
      <w:numFmt w:val="bullet"/>
      <w:lvlText w:val="•"/>
      <w:lvlJc w:val="left"/>
      <w:pPr>
        <w:ind w:left="3737" w:hanging="360"/>
      </w:pPr>
      <w:rPr>
        <w:rFonts w:hint="default"/>
        <w:lang w:val="en-US" w:eastAsia="en-US" w:bidi="ar-SA"/>
      </w:rPr>
    </w:lvl>
    <w:lvl w:ilvl="4" w:tplc="55703E76">
      <w:numFmt w:val="bullet"/>
      <w:lvlText w:val="•"/>
      <w:lvlJc w:val="left"/>
      <w:pPr>
        <w:ind w:left="4670" w:hanging="360"/>
      </w:pPr>
      <w:rPr>
        <w:rFonts w:hint="default"/>
        <w:lang w:val="en-US" w:eastAsia="en-US" w:bidi="ar-SA"/>
      </w:rPr>
    </w:lvl>
    <w:lvl w:ilvl="5" w:tplc="99CCB920">
      <w:numFmt w:val="bullet"/>
      <w:lvlText w:val="•"/>
      <w:lvlJc w:val="left"/>
      <w:pPr>
        <w:ind w:left="5603" w:hanging="360"/>
      </w:pPr>
      <w:rPr>
        <w:rFonts w:hint="default"/>
        <w:lang w:val="en-US" w:eastAsia="en-US" w:bidi="ar-SA"/>
      </w:rPr>
    </w:lvl>
    <w:lvl w:ilvl="6" w:tplc="746CCD9C">
      <w:numFmt w:val="bullet"/>
      <w:lvlText w:val="•"/>
      <w:lvlJc w:val="left"/>
      <w:pPr>
        <w:ind w:left="6535" w:hanging="360"/>
      </w:pPr>
      <w:rPr>
        <w:rFonts w:hint="default"/>
        <w:lang w:val="en-US" w:eastAsia="en-US" w:bidi="ar-SA"/>
      </w:rPr>
    </w:lvl>
    <w:lvl w:ilvl="7" w:tplc="8424F0C2">
      <w:numFmt w:val="bullet"/>
      <w:lvlText w:val="•"/>
      <w:lvlJc w:val="left"/>
      <w:pPr>
        <w:ind w:left="7468" w:hanging="360"/>
      </w:pPr>
      <w:rPr>
        <w:rFonts w:hint="default"/>
        <w:lang w:val="en-US" w:eastAsia="en-US" w:bidi="ar-SA"/>
      </w:rPr>
    </w:lvl>
    <w:lvl w:ilvl="8" w:tplc="CC62784E">
      <w:numFmt w:val="bullet"/>
      <w:lvlText w:val="•"/>
      <w:lvlJc w:val="left"/>
      <w:pPr>
        <w:ind w:left="8401" w:hanging="360"/>
      </w:pPr>
      <w:rPr>
        <w:rFonts w:hint="default"/>
        <w:lang w:val="en-US" w:eastAsia="en-US" w:bidi="ar-SA"/>
      </w:rPr>
    </w:lvl>
  </w:abstractNum>
  <w:abstractNum w:abstractNumId="46" w15:restartNumberingAfterBreak="0">
    <w:nsid w:val="5E4A018A"/>
    <w:multiLevelType w:val="hybridMultilevel"/>
    <w:tmpl w:val="6C7C326E"/>
    <w:lvl w:ilvl="0" w:tplc="24BE1080">
      <w:numFmt w:val="bullet"/>
      <w:lvlText w:val=""/>
      <w:lvlJc w:val="left"/>
      <w:pPr>
        <w:ind w:left="1223" w:hanging="358"/>
      </w:pPr>
      <w:rPr>
        <w:rFonts w:ascii="Symbol" w:eastAsia="Symbol" w:hAnsi="Symbol" w:cs="Symbol" w:hint="default"/>
        <w:w w:val="100"/>
        <w:sz w:val="24"/>
        <w:szCs w:val="24"/>
        <w:lang w:val="en-US" w:eastAsia="en-US" w:bidi="ar-SA"/>
      </w:rPr>
    </w:lvl>
    <w:lvl w:ilvl="1" w:tplc="5630DD20">
      <w:numFmt w:val="bullet"/>
      <w:lvlText w:val="•"/>
      <w:lvlJc w:val="left"/>
      <w:pPr>
        <w:ind w:left="1978" w:hanging="358"/>
      </w:pPr>
      <w:rPr>
        <w:rFonts w:hint="default"/>
        <w:lang w:val="en-US" w:eastAsia="en-US" w:bidi="ar-SA"/>
      </w:rPr>
    </w:lvl>
    <w:lvl w:ilvl="2" w:tplc="C248E12E">
      <w:numFmt w:val="bullet"/>
      <w:lvlText w:val="•"/>
      <w:lvlJc w:val="left"/>
      <w:pPr>
        <w:ind w:left="2737" w:hanging="358"/>
      </w:pPr>
      <w:rPr>
        <w:rFonts w:hint="default"/>
        <w:lang w:val="en-US" w:eastAsia="en-US" w:bidi="ar-SA"/>
      </w:rPr>
    </w:lvl>
    <w:lvl w:ilvl="3" w:tplc="4290E6DE">
      <w:numFmt w:val="bullet"/>
      <w:lvlText w:val="•"/>
      <w:lvlJc w:val="left"/>
      <w:pPr>
        <w:ind w:left="3495" w:hanging="358"/>
      </w:pPr>
      <w:rPr>
        <w:rFonts w:hint="default"/>
        <w:lang w:val="en-US" w:eastAsia="en-US" w:bidi="ar-SA"/>
      </w:rPr>
    </w:lvl>
    <w:lvl w:ilvl="4" w:tplc="52A644FC">
      <w:numFmt w:val="bullet"/>
      <w:lvlText w:val="•"/>
      <w:lvlJc w:val="left"/>
      <w:pPr>
        <w:ind w:left="4254" w:hanging="358"/>
      </w:pPr>
      <w:rPr>
        <w:rFonts w:hint="default"/>
        <w:lang w:val="en-US" w:eastAsia="en-US" w:bidi="ar-SA"/>
      </w:rPr>
    </w:lvl>
    <w:lvl w:ilvl="5" w:tplc="E9F4CEE4">
      <w:numFmt w:val="bullet"/>
      <w:lvlText w:val="•"/>
      <w:lvlJc w:val="left"/>
      <w:pPr>
        <w:ind w:left="5012" w:hanging="358"/>
      </w:pPr>
      <w:rPr>
        <w:rFonts w:hint="default"/>
        <w:lang w:val="en-US" w:eastAsia="en-US" w:bidi="ar-SA"/>
      </w:rPr>
    </w:lvl>
    <w:lvl w:ilvl="6" w:tplc="ADCC1A9E">
      <w:numFmt w:val="bullet"/>
      <w:lvlText w:val="•"/>
      <w:lvlJc w:val="left"/>
      <w:pPr>
        <w:ind w:left="5771" w:hanging="358"/>
      </w:pPr>
      <w:rPr>
        <w:rFonts w:hint="default"/>
        <w:lang w:val="en-US" w:eastAsia="en-US" w:bidi="ar-SA"/>
      </w:rPr>
    </w:lvl>
    <w:lvl w:ilvl="7" w:tplc="848688A4">
      <w:numFmt w:val="bullet"/>
      <w:lvlText w:val="•"/>
      <w:lvlJc w:val="left"/>
      <w:pPr>
        <w:ind w:left="6529" w:hanging="358"/>
      </w:pPr>
      <w:rPr>
        <w:rFonts w:hint="default"/>
        <w:lang w:val="en-US" w:eastAsia="en-US" w:bidi="ar-SA"/>
      </w:rPr>
    </w:lvl>
    <w:lvl w:ilvl="8" w:tplc="6644C124">
      <w:numFmt w:val="bullet"/>
      <w:lvlText w:val="•"/>
      <w:lvlJc w:val="left"/>
      <w:pPr>
        <w:ind w:left="7288" w:hanging="358"/>
      </w:pPr>
      <w:rPr>
        <w:rFonts w:hint="default"/>
        <w:lang w:val="en-US" w:eastAsia="en-US" w:bidi="ar-SA"/>
      </w:rPr>
    </w:lvl>
  </w:abstractNum>
  <w:abstractNum w:abstractNumId="47" w15:restartNumberingAfterBreak="0">
    <w:nsid w:val="61747074"/>
    <w:multiLevelType w:val="multilevel"/>
    <w:tmpl w:val="9200828C"/>
    <w:lvl w:ilvl="0">
      <w:start w:val="5"/>
      <w:numFmt w:val="decimal"/>
      <w:lvlText w:val="%1"/>
      <w:lvlJc w:val="left"/>
      <w:pPr>
        <w:ind w:left="217" w:hanging="330"/>
      </w:pPr>
      <w:rPr>
        <w:rFonts w:hint="default"/>
        <w:lang w:val="en-US" w:eastAsia="en-US" w:bidi="ar-SA"/>
      </w:rPr>
    </w:lvl>
    <w:lvl w:ilvl="1">
      <w:start w:val="5"/>
      <w:numFmt w:val="decimal"/>
      <w:lvlText w:val="%1.%2"/>
      <w:lvlJc w:val="left"/>
      <w:pPr>
        <w:ind w:left="217" w:hanging="330"/>
      </w:pPr>
      <w:rPr>
        <w:rFonts w:ascii="Calibri" w:eastAsia="Calibri" w:hAnsi="Calibri" w:cs="Calibri" w:hint="default"/>
        <w:spacing w:val="-1"/>
        <w:w w:val="100"/>
        <w:sz w:val="22"/>
        <w:szCs w:val="22"/>
        <w:lang w:val="en-US" w:eastAsia="en-US" w:bidi="ar-SA"/>
      </w:rPr>
    </w:lvl>
    <w:lvl w:ilvl="2">
      <w:start w:val="1"/>
      <w:numFmt w:val="decimal"/>
      <w:lvlText w:val="%3."/>
      <w:lvlJc w:val="left"/>
      <w:pPr>
        <w:ind w:left="938" w:hanging="360"/>
      </w:pPr>
      <w:rPr>
        <w:rFonts w:ascii="Calibri" w:eastAsia="Calibri" w:hAnsi="Calibri" w:cs="Calibri" w:hint="default"/>
        <w:w w:val="100"/>
        <w:sz w:val="22"/>
        <w:szCs w:val="22"/>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2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48" w15:restartNumberingAfterBreak="0">
    <w:nsid w:val="631C6FC9"/>
    <w:multiLevelType w:val="hybridMultilevel"/>
    <w:tmpl w:val="7A602FE2"/>
    <w:lvl w:ilvl="0" w:tplc="5756EDFA">
      <w:numFmt w:val="bullet"/>
      <w:lvlText w:val=""/>
      <w:lvlJc w:val="left"/>
      <w:pPr>
        <w:ind w:left="468" w:hanging="361"/>
      </w:pPr>
      <w:rPr>
        <w:rFonts w:ascii="Symbol" w:eastAsia="Symbol" w:hAnsi="Symbol" w:cs="Symbol" w:hint="default"/>
        <w:w w:val="100"/>
        <w:sz w:val="22"/>
        <w:szCs w:val="22"/>
        <w:lang w:val="en-US" w:eastAsia="en-US" w:bidi="ar-SA"/>
      </w:rPr>
    </w:lvl>
    <w:lvl w:ilvl="1" w:tplc="3F749EA4">
      <w:numFmt w:val="bullet"/>
      <w:lvlText w:val="•"/>
      <w:lvlJc w:val="left"/>
      <w:pPr>
        <w:ind w:left="1105" w:hanging="361"/>
      </w:pPr>
      <w:rPr>
        <w:rFonts w:hint="default"/>
        <w:lang w:val="en-US" w:eastAsia="en-US" w:bidi="ar-SA"/>
      </w:rPr>
    </w:lvl>
    <w:lvl w:ilvl="2" w:tplc="84B480BA">
      <w:numFmt w:val="bullet"/>
      <w:lvlText w:val="•"/>
      <w:lvlJc w:val="left"/>
      <w:pPr>
        <w:ind w:left="1750" w:hanging="361"/>
      </w:pPr>
      <w:rPr>
        <w:rFonts w:hint="default"/>
        <w:lang w:val="en-US" w:eastAsia="en-US" w:bidi="ar-SA"/>
      </w:rPr>
    </w:lvl>
    <w:lvl w:ilvl="3" w:tplc="EC9E0946">
      <w:numFmt w:val="bullet"/>
      <w:lvlText w:val="•"/>
      <w:lvlJc w:val="left"/>
      <w:pPr>
        <w:ind w:left="2395" w:hanging="361"/>
      </w:pPr>
      <w:rPr>
        <w:rFonts w:hint="default"/>
        <w:lang w:val="en-US" w:eastAsia="en-US" w:bidi="ar-SA"/>
      </w:rPr>
    </w:lvl>
    <w:lvl w:ilvl="4" w:tplc="45BE167A">
      <w:numFmt w:val="bullet"/>
      <w:lvlText w:val="•"/>
      <w:lvlJc w:val="left"/>
      <w:pPr>
        <w:ind w:left="3040" w:hanging="361"/>
      </w:pPr>
      <w:rPr>
        <w:rFonts w:hint="default"/>
        <w:lang w:val="en-US" w:eastAsia="en-US" w:bidi="ar-SA"/>
      </w:rPr>
    </w:lvl>
    <w:lvl w:ilvl="5" w:tplc="AEF0E3CC">
      <w:numFmt w:val="bullet"/>
      <w:lvlText w:val="•"/>
      <w:lvlJc w:val="left"/>
      <w:pPr>
        <w:ind w:left="3685" w:hanging="361"/>
      </w:pPr>
      <w:rPr>
        <w:rFonts w:hint="default"/>
        <w:lang w:val="en-US" w:eastAsia="en-US" w:bidi="ar-SA"/>
      </w:rPr>
    </w:lvl>
    <w:lvl w:ilvl="6" w:tplc="9A368FCA">
      <w:numFmt w:val="bullet"/>
      <w:lvlText w:val="•"/>
      <w:lvlJc w:val="left"/>
      <w:pPr>
        <w:ind w:left="4330" w:hanging="361"/>
      </w:pPr>
      <w:rPr>
        <w:rFonts w:hint="default"/>
        <w:lang w:val="en-US" w:eastAsia="en-US" w:bidi="ar-SA"/>
      </w:rPr>
    </w:lvl>
    <w:lvl w:ilvl="7" w:tplc="B4F0F52A">
      <w:numFmt w:val="bullet"/>
      <w:lvlText w:val="•"/>
      <w:lvlJc w:val="left"/>
      <w:pPr>
        <w:ind w:left="4975" w:hanging="361"/>
      </w:pPr>
      <w:rPr>
        <w:rFonts w:hint="default"/>
        <w:lang w:val="en-US" w:eastAsia="en-US" w:bidi="ar-SA"/>
      </w:rPr>
    </w:lvl>
    <w:lvl w:ilvl="8" w:tplc="CC68608C">
      <w:numFmt w:val="bullet"/>
      <w:lvlText w:val="•"/>
      <w:lvlJc w:val="left"/>
      <w:pPr>
        <w:ind w:left="5620" w:hanging="361"/>
      </w:pPr>
      <w:rPr>
        <w:rFonts w:hint="default"/>
        <w:lang w:val="en-US" w:eastAsia="en-US" w:bidi="ar-SA"/>
      </w:rPr>
    </w:lvl>
  </w:abstractNum>
  <w:abstractNum w:abstractNumId="49" w15:restartNumberingAfterBreak="0">
    <w:nsid w:val="65D86862"/>
    <w:multiLevelType w:val="hybridMultilevel"/>
    <w:tmpl w:val="996663D0"/>
    <w:lvl w:ilvl="0" w:tplc="BAE4684C">
      <w:numFmt w:val="bullet"/>
      <w:lvlText w:val=""/>
      <w:lvlJc w:val="left"/>
      <w:pPr>
        <w:ind w:left="864" w:hanging="361"/>
      </w:pPr>
      <w:rPr>
        <w:rFonts w:ascii="Symbol" w:eastAsia="Symbol" w:hAnsi="Symbol" w:cs="Symbol" w:hint="default"/>
        <w:w w:val="100"/>
        <w:sz w:val="24"/>
        <w:szCs w:val="24"/>
        <w:lang w:val="en-US" w:eastAsia="en-US" w:bidi="ar-SA"/>
      </w:rPr>
    </w:lvl>
    <w:lvl w:ilvl="1" w:tplc="8AA2FA36">
      <w:numFmt w:val="bullet"/>
      <w:lvlText w:val="•"/>
      <w:lvlJc w:val="left"/>
      <w:pPr>
        <w:ind w:left="1373" w:hanging="361"/>
      </w:pPr>
      <w:rPr>
        <w:rFonts w:hint="default"/>
        <w:lang w:val="en-US" w:eastAsia="en-US" w:bidi="ar-SA"/>
      </w:rPr>
    </w:lvl>
    <w:lvl w:ilvl="2" w:tplc="6FFEFF74">
      <w:numFmt w:val="bullet"/>
      <w:lvlText w:val="•"/>
      <w:lvlJc w:val="left"/>
      <w:pPr>
        <w:ind w:left="1887" w:hanging="361"/>
      </w:pPr>
      <w:rPr>
        <w:rFonts w:hint="default"/>
        <w:lang w:val="en-US" w:eastAsia="en-US" w:bidi="ar-SA"/>
      </w:rPr>
    </w:lvl>
    <w:lvl w:ilvl="3" w:tplc="BECC31D6">
      <w:numFmt w:val="bullet"/>
      <w:lvlText w:val="•"/>
      <w:lvlJc w:val="left"/>
      <w:pPr>
        <w:ind w:left="2400" w:hanging="361"/>
      </w:pPr>
      <w:rPr>
        <w:rFonts w:hint="default"/>
        <w:lang w:val="en-US" w:eastAsia="en-US" w:bidi="ar-SA"/>
      </w:rPr>
    </w:lvl>
    <w:lvl w:ilvl="4" w:tplc="384C3884">
      <w:numFmt w:val="bullet"/>
      <w:lvlText w:val="•"/>
      <w:lvlJc w:val="left"/>
      <w:pPr>
        <w:ind w:left="2914" w:hanging="361"/>
      </w:pPr>
      <w:rPr>
        <w:rFonts w:hint="default"/>
        <w:lang w:val="en-US" w:eastAsia="en-US" w:bidi="ar-SA"/>
      </w:rPr>
    </w:lvl>
    <w:lvl w:ilvl="5" w:tplc="A8C627E6">
      <w:numFmt w:val="bullet"/>
      <w:lvlText w:val="•"/>
      <w:lvlJc w:val="left"/>
      <w:pPr>
        <w:ind w:left="3427" w:hanging="361"/>
      </w:pPr>
      <w:rPr>
        <w:rFonts w:hint="default"/>
        <w:lang w:val="en-US" w:eastAsia="en-US" w:bidi="ar-SA"/>
      </w:rPr>
    </w:lvl>
    <w:lvl w:ilvl="6" w:tplc="12C8EA7E">
      <w:numFmt w:val="bullet"/>
      <w:lvlText w:val="•"/>
      <w:lvlJc w:val="left"/>
      <w:pPr>
        <w:ind w:left="3941" w:hanging="361"/>
      </w:pPr>
      <w:rPr>
        <w:rFonts w:hint="default"/>
        <w:lang w:val="en-US" w:eastAsia="en-US" w:bidi="ar-SA"/>
      </w:rPr>
    </w:lvl>
    <w:lvl w:ilvl="7" w:tplc="76FE7760">
      <w:numFmt w:val="bullet"/>
      <w:lvlText w:val="•"/>
      <w:lvlJc w:val="left"/>
      <w:pPr>
        <w:ind w:left="4454" w:hanging="361"/>
      </w:pPr>
      <w:rPr>
        <w:rFonts w:hint="default"/>
        <w:lang w:val="en-US" w:eastAsia="en-US" w:bidi="ar-SA"/>
      </w:rPr>
    </w:lvl>
    <w:lvl w:ilvl="8" w:tplc="F8FC9C32">
      <w:numFmt w:val="bullet"/>
      <w:lvlText w:val="•"/>
      <w:lvlJc w:val="left"/>
      <w:pPr>
        <w:ind w:left="4968" w:hanging="361"/>
      </w:pPr>
      <w:rPr>
        <w:rFonts w:hint="default"/>
        <w:lang w:val="en-US" w:eastAsia="en-US" w:bidi="ar-SA"/>
      </w:rPr>
    </w:lvl>
  </w:abstractNum>
  <w:abstractNum w:abstractNumId="50" w15:restartNumberingAfterBreak="0">
    <w:nsid w:val="674C1AC9"/>
    <w:multiLevelType w:val="hybridMultilevel"/>
    <w:tmpl w:val="6A408FAA"/>
    <w:lvl w:ilvl="0" w:tplc="D75210F8">
      <w:numFmt w:val="bullet"/>
      <w:lvlText w:val=""/>
      <w:lvlJc w:val="left"/>
      <w:pPr>
        <w:ind w:left="468" w:hanging="361"/>
      </w:pPr>
      <w:rPr>
        <w:rFonts w:ascii="Symbol" w:eastAsia="Symbol" w:hAnsi="Symbol" w:cs="Symbol" w:hint="default"/>
        <w:w w:val="100"/>
        <w:sz w:val="22"/>
        <w:szCs w:val="22"/>
        <w:lang w:val="en-US" w:eastAsia="en-US" w:bidi="ar-SA"/>
      </w:rPr>
    </w:lvl>
    <w:lvl w:ilvl="1" w:tplc="7EAC2E56">
      <w:numFmt w:val="bullet"/>
      <w:lvlText w:val="•"/>
      <w:lvlJc w:val="left"/>
      <w:pPr>
        <w:ind w:left="1105" w:hanging="361"/>
      </w:pPr>
      <w:rPr>
        <w:rFonts w:hint="default"/>
        <w:lang w:val="en-US" w:eastAsia="en-US" w:bidi="ar-SA"/>
      </w:rPr>
    </w:lvl>
    <w:lvl w:ilvl="2" w:tplc="E794C31A">
      <w:numFmt w:val="bullet"/>
      <w:lvlText w:val="•"/>
      <w:lvlJc w:val="left"/>
      <w:pPr>
        <w:ind w:left="1750" w:hanging="361"/>
      </w:pPr>
      <w:rPr>
        <w:rFonts w:hint="default"/>
        <w:lang w:val="en-US" w:eastAsia="en-US" w:bidi="ar-SA"/>
      </w:rPr>
    </w:lvl>
    <w:lvl w:ilvl="3" w:tplc="6298D942">
      <w:numFmt w:val="bullet"/>
      <w:lvlText w:val="•"/>
      <w:lvlJc w:val="left"/>
      <w:pPr>
        <w:ind w:left="2395" w:hanging="361"/>
      </w:pPr>
      <w:rPr>
        <w:rFonts w:hint="default"/>
        <w:lang w:val="en-US" w:eastAsia="en-US" w:bidi="ar-SA"/>
      </w:rPr>
    </w:lvl>
    <w:lvl w:ilvl="4" w:tplc="347CC452">
      <w:numFmt w:val="bullet"/>
      <w:lvlText w:val="•"/>
      <w:lvlJc w:val="left"/>
      <w:pPr>
        <w:ind w:left="3040" w:hanging="361"/>
      </w:pPr>
      <w:rPr>
        <w:rFonts w:hint="default"/>
        <w:lang w:val="en-US" w:eastAsia="en-US" w:bidi="ar-SA"/>
      </w:rPr>
    </w:lvl>
    <w:lvl w:ilvl="5" w:tplc="0BB0B6D4">
      <w:numFmt w:val="bullet"/>
      <w:lvlText w:val="•"/>
      <w:lvlJc w:val="left"/>
      <w:pPr>
        <w:ind w:left="3685" w:hanging="361"/>
      </w:pPr>
      <w:rPr>
        <w:rFonts w:hint="default"/>
        <w:lang w:val="en-US" w:eastAsia="en-US" w:bidi="ar-SA"/>
      </w:rPr>
    </w:lvl>
    <w:lvl w:ilvl="6" w:tplc="653E7C14">
      <w:numFmt w:val="bullet"/>
      <w:lvlText w:val="•"/>
      <w:lvlJc w:val="left"/>
      <w:pPr>
        <w:ind w:left="4330" w:hanging="361"/>
      </w:pPr>
      <w:rPr>
        <w:rFonts w:hint="default"/>
        <w:lang w:val="en-US" w:eastAsia="en-US" w:bidi="ar-SA"/>
      </w:rPr>
    </w:lvl>
    <w:lvl w:ilvl="7" w:tplc="B1B86A56">
      <w:numFmt w:val="bullet"/>
      <w:lvlText w:val="•"/>
      <w:lvlJc w:val="left"/>
      <w:pPr>
        <w:ind w:left="4975" w:hanging="361"/>
      </w:pPr>
      <w:rPr>
        <w:rFonts w:hint="default"/>
        <w:lang w:val="en-US" w:eastAsia="en-US" w:bidi="ar-SA"/>
      </w:rPr>
    </w:lvl>
    <w:lvl w:ilvl="8" w:tplc="C598D80A">
      <w:numFmt w:val="bullet"/>
      <w:lvlText w:val="•"/>
      <w:lvlJc w:val="left"/>
      <w:pPr>
        <w:ind w:left="5620" w:hanging="361"/>
      </w:pPr>
      <w:rPr>
        <w:rFonts w:hint="default"/>
        <w:lang w:val="en-US" w:eastAsia="en-US" w:bidi="ar-SA"/>
      </w:rPr>
    </w:lvl>
  </w:abstractNum>
  <w:abstractNum w:abstractNumId="51" w15:restartNumberingAfterBreak="0">
    <w:nsid w:val="699C5A6D"/>
    <w:multiLevelType w:val="hybridMultilevel"/>
    <w:tmpl w:val="A198D14A"/>
    <w:lvl w:ilvl="0" w:tplc="A34AE11E">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CE32F964">
      <w:numFmt w:val="bullet"/>
      <w:lvlText w:val="•"/>
      <w:lvlJc w:val="left"/>
      <w:pPr>
        <w:ind w:left="1872" w:hanging="360"/>
      </w:pPr>
      <w:rPr>
        <w:rFonts w:hint="default"/>
        <w:lang w:val="en-US" w:eastAsia="en-US" w:bidi="ar-SA"/>
      </w:rPr>
    </w:lvl>
    <w:lvl w:ilvl="2" w:tplc="2F0C6288">
      <w:numFmt w:val="bullet"/>
      <w:lvlText w:val="•"/>
      <w:lvlJc w:val="left"/>
      <w:pPr>
        <w:ind w:left="2805" w:hanging="360"/>
      </w:pPr>
      <w:rPr>
        <w:rFonts w:hint="default"/>
        <w:lang w:val="en-US" w:eastAsia="en-US" w:bidi="ar-SA"/>
      </w:rPr>
    </w:lvl>
    <w:lvl w:ilvl="3" w:tplc="7A8A5E98">
      <w:numFmt w:val="bullet"/>
      <w:lvlText w:val="•"/>
      <w:lvlJc w:val="left"/>
      <w:pPr>
        <w:ind w:left="3737" w:hanging="360"/>
      </w:pPr>
      <w:rPr>
        <w:rFonts w:hint="default"/>
        <w:lang w:val="en-US" w:eastAsia="en-US" w:bidi="ar-SA"/>
      </w:rPr>
    </w:lvl>
    <w:lvl w:ilvl="4" w:tplc="8158A36A">
      <w:numFmt w:val="bullet"/>
      <w:lvlText w:val="•"/>
      <w:lvlJc w:val="left"/>
      <w:pPr>
        <w:ind w:left="4670" w:hanging="360"/>
      </w:pPr>
      <w:rPr>
        <w:rFonts w:hint="default"/>
        <w:lang w:val="en-US" w:eastAsia="en-US" w:bidi="ar-SA"/>
      </w:rPr>
    </w:lvl>
    <w:lvl w:ilvl="5" w:tplc="99C80E2C">
      <w:numFmt w:val="bullet"/>
      <w:lvlText w:val="•"/>
      <w:lvlJc w:val="left"/>
      <w:pPr>
        <w:ind w:left="5603" w:hanging="360"/>
      </w:pPr>
      <w:rPr>
        <w:rFonts w:hint="default"/>
        <w:lang w:val="en-US" w:eastAsia="en-US" w:bidi="ar-SA"/>
      </w:rPr>
    </w:lvl>
    <w:lvl w:ilvl="6" w:tplc="2E107F6E">
      <w:numFmt w:val="bullet"/>
      <w:lvlText w:val="•"/>
      <w:lvlJc w:val="left"/>
      <w:pPr>
        <w:ind w:left="6535" w:hanging="360"/>
      </w:pPr>
      <w:rPr>
        <w:rFonts w:hint="default"/>
        <w:lang w:val="en-US" w:eastAsia="en-US" w:bidi="ar-SA"/>
      </w:rPr>
    </w:lvl>
    <w:lvl w:ilvl="7" w:tplc="FC82B648">
      <w:numFmt w:val="bullet"/>
      <w:lvlText w:val="•"/>
      <w:lvlJc w:val="left"/>
      <w:pPr>
        <w:ind w:left="7468" w:hanging="360"/>
      </w:pPr>
      <w:rPr>
        <w:rFonts w:hint="default"/>
        <w:lang w:val="en-US" w:eastAsia="en-US" w:bidi="ar-SA"/>
      </w:rPr>
    </w:lvl>
    <w:lvl w:ilvl="8" w:tplc="8EC24F92">
      <w:numFmt w:val="bullet"/>
      <w:lvlText w:val="•"/>
      <w:lvlJc w:val="left"/>
      <w:pPr>
        <w:ind w:left="8401" w:hanging="360"/>
      </w:pPr>
      <w:rPr>
        <w:rFonts w:hint="default"/>
        <w:lang w:val="en-US" w:eastAsia="en-US" w:bidi="ar-SA"/>
      </w:rPr>
    </w:lvl>
  </w:abstractNum>
  <w:abstractNum w:abstractNumId="52" w15:restartNumberingAfterBreak="0">
    <w:nsid w:val="69B221B1"/>
    <w:multiLevelType w:val="hybridMultilevel"/>
    <w:tmpl w:val="95D80856"/>
    <w:lvl w:ilvl="0" w:tplc="29309AF2">
      <w:numFmt w:val="bullet"/>
      <w:lvlText w:val=""/>
      <w:lvlJc w:val="left"/>
      <w:pPr>
        <w:ind w:left="465" w:hanging="360"/>
      </w:pPr>
      <w:rPr>
        <w:rFonts w:ascii="Symbol" w:eastAsia="Symbol" w:hAnsi="Symbol" w:cs="Symbol" w:hint="default"/>
        <w:w w:val="100"/>
        <w:sz w:val="22"/>
        <w:szCs w:val="22"/>
        <w:lang w:val="en-US" w:eastAsia="en-US" w:bidi="ar-SA"/>
      </w:rPr>
    </w:lvl>
    <w:lvl w:ilvl="1" w:tplc="D74050CC">
      <w:numFmt w:val="bullet"/>
      <w:lvlText w:val="•"/>
      <w:lvlJc w:val="left"/>
      <w:pPr>
        <w:ind w:left="1062" w:hanging="360"/>
      </w:pPr>
      <w:rPr>
        <w:rFonts w:hint="default"/>
        <w:lang w:val="en-US" w:eastAsia="en-US" w:bidi="ar-SA"/>
      </w:rPr>
    </w:lvl>
    <w:lvl w:ilvl="2" w:tplc="2EA27336">
      <w:numFmt w:val="bullet"/>
      <w:lvlText w:val="•"/>
      <w:lvlJc w:val="left"/>
      <w:pPr>
        <w:ind w:left="1664" w:hanging="360"/>
      </w:pPr>
      <w:rPr>
        <w:rFonts w:hint="default"/>
        <w:lang w:val="en-US" w:eastAsia="en-US" w:bidi="ar-SA"/>
      </w:rPr>
    </w:lvl>
    <w:lvl w:ilvl="3" w:tplc="4AF651FE">
      <w:numFmt w:val="bullet"/>
      <w:lvlText w:val="•"/>
      <w:lvlJc w:val="left"/>
      <w:pPr>
        <w:ind w:left="2266" w:hanging="360"/>
      </w:pPr>
      <w:rPr>
        <w:rFonts w:hint="default"/>
        <w:lang w:val="en-US" w:eastAsia="en-US" w:bidi="ar-SA"/>
      </w:rPr>
    </w:lvl>
    <w:lvl w:ilvl="4" w:tplc="0F20981E">
      <w:numFmt w:val="bullet"/>
      <w:lvlText w:val="•"/>
      <w:lvlJc w:val="left"/>
      <w:pPr>
        <w:ind w:left="2869" w:hanging="360"/>
      </w:pPr>
      <w:rPr>
        <w:rFonts w:hint="default"/>
        <w:lang w:val="en-US" w:eastAsia="en-US" w:bidi="ar-SA"/>
      </w:rPr>
    </w:lvl>
    <w:lvl w:ilvl="5" w:tplc="24D4203C">
      <w:numFmt w:val="bullet"/>
      <w:lvlText w:val="•"/>
      <w:lvlJc w:val="left"/>
      <w:pPr>
        <w:ind w:left="3471" w:hanging="360"/>
      </w:pPr>
      <w:rPr>
        <w:rFonts w:hint="default"/>
        <w:lang w:val="en-US" w:eastAsia="en-US" w:bidi="ar-SA"/>
      </w:rPr>
    </w:lvl>
    <w:lvl w:ilvl="6" w:tplc="21C85842">
      <w:numFmt w:val="bullet"/>
      <w:lvlText w:val="•"/>
      <w:lvlJc w:val="left"/>
      <w:pPr>
        <w:ind w:left="4073" w:hanging="360"/>
      </w:pPr>
      <w:rPr>
        <w:rFonts w:hint="default"/>
        <w:lang w:val="en-US" w:eastAsia="en-US" w:bidi="ar-SA"/>
      </w:rPr>
    </w:lvl>
    <w:lvl w:ilvl="7" w:tplc="450E78DE">
      <w:numFmt w:val="bullet"/>
      <w:lvlText w:val="•"/>
      <w:lvlJc w:val="left"/>
      <w:pPr>
        <w:ind w:left="4676" w:hanging="360"/>
      </w:pPr>
      <w:rPr>
        <w:rFonts w:hint="default"/>
        <w:lang w:val="en-US" w:eastAsia="en-US" w:bidi="ar-SA"/>
      </w:rPr>
    </w:lvl>
    <w:lvl w:ilvl="8" w:tplc="6DE694C4">
      <w:numFmt w:val="bullet"/>
      <w:lvlText w:val="•"/>
      <w:lvlJc w:val="left"/>
      <w:pPr>
        <w:ind w:left="5278" w:hanging="360"/>
      </w:pPr>
      <w:rPr>
        <w:rFonts w:hint="default"/>
        <w:lang w:val="en-US" w:eastAsia="en-US" w:bidi="ar-SA"/>
      </w:rPr>
    </w:lvl>
  </w:abstractNum>
  <w:abstractNum w:abstractNumId="53" w15:restartNumberingAfterBreak="0">
    <w:nsid w:val="6DB464AC"/>
    <w:multiLevelType w:val="hybridMultilevel"/>
    <w:tmpl w:val="E6A60CBE"/>
    <w:lvl w:ilvl="0" w:tplc="55AE4886">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AD1234EA">
      <w:numFmt w:val="bullet"/>
      <w:lvlText w:val="•"/>
      <w:lvlJc w:val="left"/>
      <w:pPr>
        <w:ind w:left="1872" w:hanging="360"/>
      </w:pPr>
      <w:rPr>
        <w:rFonts w:hint="default"/>
        <w:lang w:val="en-US" w:eastAsia="en-US" w:bidi="ar-SA"/>
      </w:rPr>
    </w:lvl>
    <w:lvl w:ilvl="2" w:tplc="80EC6048">
      <w:numFmt w:val="bullet"/>
      <w:lvlText w:val="•"/>
      <w:lvlJc w:val="left"/>
      <w:pPr>
        <w:ind w:left="2805" w:hanging="360"/>
      </w:pPr>
      <w:rPr>
        <w:rFonts w:hint="default"/>
        <w:lang w:val="en-US" w:eastAsia="en-US" w:bidi="ar-SA"/>
      </w:rPr>
    </w:lvl>
    <w:lvl w:ilvl="3" w:tplc="319E008C">
      <w:numFmt w:val="bullet"/>
      <w:lvlText w:val="•"/>
      <w:lvlJc w:val="left"/>
      <w:pPr>
        <w:ind w:left="3737" w:hanging="360"/>
      </w:pPr>
      <w:rPr>
        <w:rFonts w:hint="default"/>
        <w:lang w:val="en-US" w:eastAsia="en-US" w:bidi="ar-SA"/>
      </w:rPr>
    </w:lvl>
    <w:lvl w:ilvl="4" w:tplc="5AEA4586">
      <w:numFmt w:val="bullet"/>
      <w:lvlText w:val="•"/>
      <w:lvlJc w:val="left"/>
      <w:pPr>
        <w:ind w:left="4670" w:hanging="360"/>
      </w:pPr>
      <w:rPr>
        <w:rFonts w:hint="default"/>
        <w:lang w:val="en-US" w:eastAsia="en-US" w:bidi="ar-SA"/>
      </w:rPr>
    </w:lvl>
    <w:lvl w:ilvl="5" w:tplc="72B871AE">
      <w:numFmt w:val="bullet"/>
      <w:lvlText w:val="•"/>
      <w:lvlJc w:val="left"/>
      <w:pPr>
        <w:ind w:left="5603" w:hanging="360"/>
      </w:pPr>
      <w:rPr>
        <w:rFonts w:hint="default"/>
        <w:lang w:val="en-US" w:eastAsia="en-US" w:bidi="ar-SA"/>
      </w:rPr>
    </w:lvl>
    <w:lvl w:ilvl="6" w:tplc="C3F62638">
      <w:numFmt w:val="bullet"/>
      <w:lvlText w:val="•"/>
      <w:lvlJc w:val="left"/>
      <w:pPr>
        <w:ind w:left="6535" w:hanging="360"/>
      </w:pPr>
      <w:rPr>
        <w:rFonts w:hint="default"/>
        <w:lang w:val="en-US" w:eastAsia="en-US" w:bidi="ar-SA"/>
      </w:rPr>
    </w:lvl>
    <w:lvl w:ilvl="7" w:tplc="89027554">
      <w:numFmt w:val="bullet"/>
      <w:lvlText w:val="•"/>
      <w:lvlJc w:val="left"/>
      <w:pPr>
        <w:ind w:left="7468" w:hanging="360"/>
      </w:pPr>
      <w:rPr>
        <w:rFonts w:hint="default"/>
        <w:lang w:val="en-US" w:eastAsia="en-US" w:bidi="ar-SA"/>
      </w:rPr>
    </w:lvl>
    <w:lvl w:ilvl="8" w:tplc="91F4AD92">
      <w:numFmt w:val="bullet"/>
      <w:lvlText w:val="•"/>
      <w:lvlJc w:val="left"/>
      <w:pPr>
        <w:ind w:left="8401" w:hanging="360"/>
      </w:pPr>
      <w:rPr>
        <w:rFonts w:hint="default"/>
        <w:lang w:val="en-US" w:eastAsia="en-US" w:bidi="ar-SA"/>
      </w:rPr>
    </w:lvl>
  </w:abstractNum>
  <w:abstractNum w:abstractNumId="54" w15:restartNumberingAfterBreak="0">
    <w:nsid w:val="71CC609B"/>
    <w:multiLevelType w:val="hybridMultilevel"/>
    <w:tmpl w:val="D00A8604"/>
    <w:lvl w:ilvl="0" w:tplc="C9009EEA">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1ADE0F7A">
      <w:numFmt w:val="bullet"/>
      <w:lvlText w:val="•"/>
      <w:lvlJc w:val="left"/>
      <w:pPr>
        <w:ind w:left="1872" w:hanging="360"/>
      </w:pPr>
      <w:rPr>
        <w:rFonts w:hint="default"/>
        <w:lang w:val="en-US" w:eastAsia="en-US" w:bidi="ar-SA"/>
      </w:rPr>
    </w:lvl>
    <w:lvl w:ilvl="2" w:tplc="F70C4878">
      <w:numFmt w:val="bullet"/>
      <w:lvlText w:val="•"/>
      <w:lvlJc w:val="left"/>
      <w:pPr>
        <w:ind w:left="2805" w:hanging="360"/>
      </w:pPr>
      <w:rPr>
        <w:rFonts w:hint="default"/>
        <w:lang w:val="en-US" w:eastAsia="en-US" w:bidi="ar-SA"/>
      </w:rPr>
    </w:lvl>
    <w:lvl w:ilvl="3" w:tplc="BB0E8446">
      <w:numFmt w:val="bullet"/>
      <w:lvlText w:val="•"/>
      <w:lvlJc w:val="left"/>
      <w:pPr>
        <w:ind w:left="3737" w:hanging="360"/>
      </w:pPr>
      <w:rPr>
        <w:rFonts w:hint="default"/>
        <w:lang w:val="en-US" w:eastAsia="en-US" w:bidi="ar-SA"/>
      </w:rPr>
    </w:lvl>
    <w:lvl w:ilvl="4" w:tplc="DBE4489C">
      <w:numFmt w:val="bullet"/>
      <w:lvlText w:val="•"/>
      <w:lvlJc w:val="left"/>
      <w:pPr>
        <w:ind w:left="4670" w:hanging="360"/>
      </w:pPr>
      <w:rPr>
        <w:rFonts w:hint="default"/>
        <w:lang w:val="en-US" w:eastAsia="en-US" w:bidi="ar-SA"/>
      </w:rPr>
    </w:lvl>
    <w:lvl w:ilvl="5" w:tplc="F8187A88">
      <w:numFmt w:val="bullet"/>
      <w:lvlText w:val="•"/>
      <w:lvlJc w:val="left"/>
      <w:pPr>
        <w:ind w:left="5603" w:hanging="360"/>
      </w:pPr>
      <w:rPr>
        <w:rFonts w:hint="default"/>
        <w:lang w:val="en-US" w:eastAsia="en-US" w:bidi="ar-SA"/>
      </w:rPr>
    </w:lvl>
    <w:lvl w:ilvl="6" w:tplc="42AE5D52">
      <w:numFmt w:val="bullet"/>
      <w:lvlText w:val="•"/>
      <w:lvlJc w:val="left"/>
      <w:pPr>
        <w:ind w:left="6535" w:hanging="360"/>
      </w:pPr>
      <w:rPr>
        <w:rFonts w:hint="default"/>
        <w:lang w:val="en-US" w:eastAsia="en-US" w:bidi="ar-SA"/>
      </w:rPr>
    </w:lvl>
    <w:lvl w:ilvl="7" w:tplc="7092EE04">
      <w:numFmt w:val="bullet"/>
      <w:lvlText w:val="•"/>
      <w:lvlJc w:val="left"/>
      <w:pPr>
        <w:ind w:left="7468" w:hanging="360"/>
      </w:pPr>
      <w:rPr>
        <w:rFonts w:hint="default"/>
        <w:lang w:val="en-US" w:eastAsia="en-US" w:bidi="ar-SA"/>
      </w:rPr>
    </w:lvl>
    <w:lvl w:ilvl="8" w:tplc="9E6406A6">
      <w:numFmt w:val="bullet"/>
      <w:lvlText w:val="•"/>
      <w:lvlJc w:val="left"/>
      <w:pPr>
        <w:ind w:left="8401" w:hanging="360"/>
      </w:pPr>
      <w:rPr>
        <w:rFonts w:hint="default"/>
        <w:lang w:val="en-US" w:eastAsia="en-US" w:bidi="ar-SA"/>
      </w:rPr>
    </w:lvl>
  </w:abstractNum>
  <w:abstractNum w:abstractNumId="55" w15:restartNumberingAfterBreak="0">
    <w:nsid w:val="756C72FE"/>
    <w:multiLevelType w:val="hybridMultilevel"/>
    <w:tmpl w:val="B84239D2"/>
    <w:lvl w:ilvl="0" w:tplc="7EDC61B8">
      <w:numFmt w:val="bullet"/>
      <w:lvlText w:val=""/>
      <w:lvlJc w:val="left"/>
      <w:pPr>
        <w:ind w:left="468" w:hanging="361"/>
      </w:pPr>
      <w:rPr>
        <w:rFonts w:ascii="Symbol" w:eastAsia="Symbol" w:hAnsi="Symbol" w:cs="Symbol" w:hint="default"/>
        <w:w w:val="100"/>
        <w:sz w:val="22"/>
        <w:szCs w:val="22"/>
        <w:lang w:val="en-US" w:eastAsia="en-US" w:bidi="ar-SA"/>
      </w:rPr>
    </w:lvl>
    <w:lvl w:ilvl="1" w:tplc="263876C2">
      <w:numFmt w:val="bullet"/>
      <w:lvlText w:val="•"/>
      <w:lvlJc w:val="left"/>
      <w:pPr>
        <w:ind w:left="1105" w:hanging="361"/>
      </w:pPr>
      <w:rPr>
        <w:rFonts w:hint="default"/>
        <w:lang w:val="en-US" w:eastAsia="en-US" w:bidi="ar-SA"/>
      </w:rPr>
    </w:lvl>
    <w:lvl w:ilvl="2" w:tplc="6630BB3A">
      <w:numFmt w:val="bullet"/>
      <w:lvlText w:val="•"/>
      <w:lvlJc w:val="left"/>
      <w:pPr>
        <w:ind w:left="1750" w:hanging="361"/>
      </w:pPr>
      <w:rPr>
        <w:rFonts w:hint="default"/>
        <w:lang w:val="en-US" w:eastAsia="en-US" w:bidi="ar-SA"/>
      </w:rPr>
    </w:lvl>
    <w:lvl w:ilvl="3" w:tplc="3EFCC2E8">
      <w:numFmt w:val="bullet"/>
      <w:lvlText w:val="•"/>
      <w:lvlJc w:val="left"/>
      <w:pPr>
        <w:ind w:left="2395" w:hanging="361"/>
      </w:pPr>
      <w:rPr>
        <w:rFonts w:hint="default"/>
        <w:lang w:val="en-US" w:eastAsia="en-US" w:bidi="ar-SA"/>
      </w:rPr>
    </w:lvl>
    <w:lvl w:ilvl="4" w:tplc="D5EEBA5E">
      <w:numFmt w:val="bullet"/>
      <w:lvlText w:val="•"/>
      <w:lvlJc w:val="left"/>
      <w:pPr>
        <w:ind w:left="3040" w:hanging="361"/>
      </w:pPr>
      <w:rPr>
        <w:rFonts w:hint="default"/>
        <w:lang w:val="en-US" w:eastAsia="en-US" w:bidi="ar-SA"/>
      </w:rPr>
    </w:lvl>
    <w:lvl w:ilvl="5" w:tplc="2A684DE4">
      <w:numFmt w:val="bullet"/>
      <w:lvlText w:val="•"/>
      <w:lvlJc w:val="left"/>
      <w:pPr>
        <w:ind w:left="3685" w:hanging="361"/>
      </w:pPr>
      <w:rPr>
        <w:rFonts w:hint="default"/>
        <w:lang w:val="en-US" w:eastAsia="en-US" w:bidi="ar-SA"/>
      </w:rPr>
    </w:lvl>
    <w:lvl w:ilvl="6" w:tplc="8D5EF866">
      <w:numFmt w:val="bullet"/>
      <w:lvlText w:val="•"/>
      <w:lvlJc w:val="left"/>
      <w:pPr>
        <w:ind w:left="4330" w:hanging="361"/>
      </w:pPr>
      <w:rPr>
        <w:rFonts w:hint="default"/>
        <w:lang w:val="en-US" w:eastAsia="en-US" w:bidi="ar-SA"/>
      </w:rPr>
    </w:lvl>
    <w:lvl w:ilvl="7" w:tplc="FC5C1304">
      <w:numFmt w:val="bullet"/>
      <w:lvlText w:val="•"/>
      <w:lvlJc w:val="left"/>
      <w:pPr>
        <w:ind w:left="4975" w:hanging="361"/>
      </w:pPr>
      <w:rPr>
        <w:rFonts w:hint="default"/>
        <w:lang w:val="en-US" w:eastAsia="en-US" w:bidi="ar-SA"/>
      </w:rPr>
    </w:lvl>
    <w:lvl w:ilvl="8" w:tplc="04F20DB2">
      <w:numFmt w:val="bullet"/>
      <w:lvlText w:val="•"/>
      <w:lvlJc w:val="left"/>
      <w:pPr>
        <w:ind w:left="5620" w:hanging="361"/>
      </w:pPr>
      <w:rPr>
        <w:rFonts w:hint="default"/>
        <w:lang w:val="en-US" w:eastAsia="en-US" w:bidi="ar-SA"/>
      </w:rPr>
    </w:lvl>
  </w:abstractNum>
  <w:abstractNum w:abstractNumId="56" w15:restartNumberingAfterBreak="0">
    <w:nsid w:val="76295370"/>
    <w:multiLevelType w:val="multilevel"/>
    <w:tmpl w:val="B192D22A"/>
    <w:lvl w:ilvl="0">
      <w:start w:val="3"/>
      <w:numFmt w:val="decimal"/>
      <w:lvlText w:val="%1"/>
      <w:lvlJc w:val="left"/>
      <w:pPr>
        <w:ind w:left="217" w:hanging="330"/>
      </w:pPr>
      <w:rPr>
        <w:rFonts w:hint="default"/>
        <w:lang w:val="en-US" w:eastAsia="en-US" w:bidi="ar-SA"/>
      </w:rPr>
    </w:lvl>
    <w:lvl w:ilvl="1">
      <w:start w:val="4"/>
      <w:numFmt w:val="decimal"/>
      <w:lvlText w:val="%1.%2"/>
      <w:lvlJc w:val="left"/>
      <w:pPr>
        <w:ind w:left="217" w:hanging="330"/>
      </w:pPr>
      <w:rPr>
        <w:rFonts w:ascii="Calibri" w:eastAsia="Calibri" w:hAnsi="Calibri" w:cs="Calibri" w:hint="default"/>
        <w:spacing w:val="-1"/>
        <w:w w:val="100"/>
        <w:sz w:val="22"/>
        <w:szCs w:val="22"/>
        <w:lang w:val="en-US" w:eastAsia="en-US" w:bidi="ar-SA"/>
      </w:rPr>
    </w:lvl>
    <w:lvl w:ilvl="2">
      <w:start w:val="1"/>
      <w:numFmt w:val="decimal"/>
      <w:lvlText w:val="%3."/>
      <w:lvlJc w:val="left"/>
      <w:pPr>
        <w:ind w:left="938" w:hanging="360"/>
      </w:pPr>
      <w:rPr>
        <w:rFonts w:ascii="Calibri" w:eastAsia="Calibri" w:hAnsi="Calibri" w:cs="Calibri" w:hint="default"/>
        <w:w w:val="100"/>
        <w:sz w:val="22"/>
        <w:szCs w:val="22"/>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2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57" w15:restartNumberingAfterBreak="0">
    <w:nsid w:val="77CE5E1B"/>
    <w:multiLevelType w:val="hybridMultilevel"/>
    <w:tmpl w:val="03F40F4E"/>
    <w:lvl w:ilvl="0" w:tplc="792AB47C">
      <w:numFmt w:val="bullet"/>
      <w:lvlText w:val=""/>
      <w:lvlJc w:val="left"/>
      <w:pPr>
        <w:ind w:left="864" w:hanging="360"/>
      </w:pPr>
      <w:rPr>
        <w:rFonts w:ascii="Symbol" w:eastAsia="Symbol" w:hAnsi="Symbol" w:cs="Symbol" w:hint="default"/>
        <w:w w:val="100"/>
        <w:sz w:val="24"/>
        <w:szCs w:val="24"/>
        <w:lang w:val="en-US" w:eastAsia="en-US" w:bidi="ar-SA"/>
      </w:rPr>
    </w:lvl>
    <w:lvl w:ilvl="1" w:tplc="6B9CB17E">
      <w:numFmt w:val="bullet"/>
      <w:lvlText w:val="•"/>
      <w:lvlJc w:val="left"/>
      <w:pPr>
        <w:ind w:left="1695" w:hanging="360"/>
      </w:pPr>
      <w:rPr>
        <w:rFonts w:hint="default"/>
        <w:lang w:val="en-US" w:eastAsia="en-US" w:bidi="ar-SA"/>
      </w:rPr>
    </w:lvl>
    <w:lvl w:ilvl="2" w:tplc="AB320E8C">
      <w:numFmt w:val="bullet"/>
      <w:lvlText w:val="•"/>
      <w:lvlJc w:val="left"/>
      <w:pPr>
        <w:ind w:left="2531" w:hanging="360"/>
      </w:pPr>
      <w:rPr>
        <w:rFonts w:hint="default"/>
        <w:lang w:val="en-US" w:eastAsia="en-US" w:bidi="ar-SA"/>
      </w:rPr>
    </w:lvl>
    <w:lvl w:ilvl="3" w:tplc="6B0C2A3C">
      <w:numFmt w:val="bullet"/>
      <w:lvlText w:val="•"/>
      <w:lvlJc w:val="left"/>
      <w:pPr>
        <w:ind w:left="3366" w:hanging="360"/>
      </w:pPr>
      <w:rPr>
        <w:rFonts w:hint="default"/>
        <w:lang w:val="en-US" w:eastAsia="en-US" w:bidi="ar-SA"/>
      </w:rPr>
    </w:lvl>
    <w:lvl w:ilvl="4" w:tplc="876A890E">
      <w:numFmt w:val="bullet"/>
      <w:lvlText w:val="•"/>
      <w:lvlJc w:val="left"/>
      <w:pPr>
        <w:ind w:left="4202" w:hanging="360"/>
      </w:pPr>
      <w:rPr>
        <w:rFonts w:hint="default"/>
        <w:lang w:val="en-US" w:eastAsia="en-US" w:bidi="ar-SA"/>
      </w:rPr>
    </w:lvl>
    <w:lvl w:ilvl="5" w:tplc="62C24602">
      <w:numFmt w:val="bullet"/>
      <w:lvlText w:val="•"/>
      <w:lvlJc w:val="left"/>
      <w:pPr>
        <w:ind w:left="5037" w:hanging="360"/>
      </w:pPr>
      <w:rPr>
        <w:rFonts w:hint="default"/>
        <w:lang w:val="en-US" w:eastAsia="en-US" w:bidi="ar-SA"/>
      </w:rPr>
    </w:lvl>
    <w:lvl w:ilvl="6" w:tplc="4A4A83FA">
      <w:numFmt w:val="bullet"/>
      <w:lvlText w:val="•"/>
      <w:lvlJc w:val="left"/>
      <w:pPr>
        <w:ind w:left="5873" w:hanging="360"/>
      </w:pPr>
      <w:rPr>
        <w:rFonts w:hint="default"/>
        <w:lang w:val="en-US" w:eastAsia="en-US" w:bidi="ar-SA"/>
      </w:rPr>
    </w:lvl>
    <w:lvl w:ilvl="7" w:tplc="A03E0E8E">
      <w:numFmt w:val="bullet"/>
      <w:lvlText w:val="•"/>
      <w:lvlJc w:val="left"/>
      <w:pPr>
        <w:ind w:left="6708" w:hanging="360"/>
      </w:pPr>
      <w:rPr>
        <w:rFonts w:hint="default"/>
        <w:lang w:val="en-US" w:eastAsia="en-US" w:bidi="ar-SA"/>
      </w:rPr>
    </w:lvl>
    <w:lvl w:ilvl="8" w:tplc="C7B64A96">
      <w:numFmt w:val="bullet"/>
      <w:lvlText w:val="•"/>
      <w:lvlJc w:val="left"/>
      <w:pPr>
        <w:ind w:left="7544" w:hanging="360"/>
      </w:pPr>
      <w:rPr>
        <w:rFonts w:hint="default"/>
        <w:lang w:val="en-US" w:eastAsia="en-US" w:bidi="ar-SA"/>
      </w:rPr>
    </w:lvl>
  </w:abstractNum>
  <w:abstractNum w:abstractNumId="58" w15:restartNumberingAfterBreak="0">
    <w:nsid w:val="799E7920"/>
    <w:multiLevelType w:val="hybridMultilevel"/>
    <w:tmpl w:val="3BBCFFC8"/>
    <w:lvl w:ilvl="0" w:tplc="248A1FDA">
      <w:numFmt w:val="bullet"/>
      <w:lvlText w:val=""/>
      <w:lvlJc w:val="left"/>
      <w:pPr>
        <w:ind w:left="468" w:hanging="360"/>
      </w:pPr>
      <w:rPr>
        <w:rFonts w:ascii="Symbol" w:eastAsia="Symbol" w:hAnsi="Symbol" w:cs="Symbol" w:hint="default"/>
        <w:w w:val="100"/>
        <w:sz w:val="22"/>
        <w:szCs w:val="22"/>
        <w:lang w:val="en-US" w:eastAsia="en-US" w:bidi="ar-SA"/>
      </w:rPr>
    </w:lvl>
    <w:lvl w:ilvl="1" w:tplc="5A106B26">
      <w:numFmt w:val="bullet"/>
      <w:lvlText w:val="•"/>
      <w:lvlJc w:val="left"/>
      <w:pPr>
        <w:ind w:left="1079" w:hanging="360"/>
      </w:pPr>
      <w:rPr>
        <w:rFonts w:hint="default"/>
        <w:lang w:val="en-US" w:eastAsia="en-US" w:bidi="ar-SA"/>
      </w:rPr>
    </w:lvl>
    <w:lvl w:ilvl="2" w:tplc="02C6DC96">
      <w:numFmt w:val="bullet"/>
      <w:lvlText w:val="•"/>
      <w:lvlJc w:val="left"/>
      <w:pPr>
        <w:ind w:left="1699" w:hanging="360"/>
      </w:pPr>
      <w:rPr>
        <w:rFonts w:hint="default"/>
        <w:lang w:val="en-US" w:eastAsia="en-US" w:bidi="ar-SA"/>
      </w:rPr>
    </w:lvl>
    <w:lvl w:ilvl="3" w:tplc="21949840">
      <w:numFmt w:val="bullet"/>
      <w:lvlText w:val="•"/>
      <w:lvlJc w:val="left"/>
      <w:pPr>
        <w:ind w:left="2318" w:hanging="360"/>
      </w:pPr>
      <w:rPr>
        <w:rFonts w:hint="default"/>
        <w:lang w:val="en-US" w:eastAsia="en-US" w:bidi="ar-SA"/>
      </w:rPr>
    </w:lvl>
    <w:lvl w:ilvl="4" w:tplc="5D2CC1C6">
      <w:numFmt w:val="bullet"/>
      <w:lvlText w:val="•"/>
      <w:lvlJc w:val="left"/>
      <w:pPr>
        <w:ind w:left="2938" w:hanging="360"/>
      </w:pPr>
      <w:rPr>
        <w:rFonts w:hint="default"/>
        <w:lang w:val="en-US" w:eastAsia="en-US" w:bidi="ar-SA"/>
      </w:rPr>
    </w:lvl>
    <w:lvl w:ilvl="5" w:tplc="41549282">
      <w:numFmt w:val="bullet"/>
      <w:lvlText w:val="•"/>
      <w:lvlJc w:val="left"/>
      <w:pPr>
        <w:ind w:left="3557" w:hanging="360"/>
      </w:pPr>
      <w:rPr>
        <w:rFonts w:hint="default"/>
        <w:lang w:val="en-US" w:eastAsia="en-US" w:bidi="ar-SA"/>
      </w:rPr>
    </w:lvl>
    <w:lvl w:ilvl="6" w:tplc="F68615D8">
      <w:numFmt w:val="bullet"/>
      <w:lvlText w:val="•"/>
      <w:lvlJc w:val="left"/>
      <w:pPr>
        <w:ind w:left="4177" w:hanging="360"/>
      </w:pPr>
      <w:rPr>
        <w:rFonts w:hint="default"/>
        <w:lang w:val="en-US" w:eastAsia="en-US" w:bidi="ar-SA"/>
      </w:rPr>
    </w:lvl>
    <w:lvl w:ilvl="7" w:tplc="7BFCEC80">
      <w:numFmt w:val="bullet"/>
      <w:lvlText w:val="•"/>
      <w:lvlJc w:val="left"/>
      <w:pPr>
        <w:ind w:left="4796" w:hanging="360"/>
      </w:pPr>
      <w:rPr>
        <w:rFonts w:hint="default"/>
        <w:lang w:val="en-US" w:eastAsia="en-US" w:bidi="ar-SA"/>
      </w:rPr>
    </w:lvl>
    <w:lvl w:ilvl="8" w:tplc="68C48AF6">
      <w:numFmt w:val="bullet"/>
      <w:lvlText w:val="•"/>
      <w:lvlJc w:val="left"/>
      <w:pPr>
        <w:ind w:left="5416" w:hanging="360"/>
      </w:pPr>
      <w:rPr>
        <w:rFonts w:hint="default"/>
        <w:lang w:val="en-US" w:eastAsia="en-US" w:bidi="ar-SA"/>
      </w:rPr>
    </w:lvl>
  </w:abstractNum>
  <w:abstractNum w:abstractNumId="59" w15:restartNumberingAfterBreak="0">
    <w:nsid w:val="79DE0822"/>
    <w:multiLevelType w:val="hybridMultilevel"/>
    <w:tmpl w:val="725A60F2"/>
    <w:lvl w:ilvl="0" w:tplc="83B4352E">
      <w:start w:val="1"/>
      <w:numFmt w:val="decimal"/>
      <w:lvlText w:val="%1."/>
      <w:lvlJc w:val="left"/>
      <w:pPr>
        <w:ind w:left="1070" w:hanging="425"/>
      </w:pPr>
      <w:rPr>
        <w:rFonts w:ascii="Calibri" w:eastAsia="Calibri" w:hAnsi="Calibri" w:cs="Calibri" w:hint="default"/>
        <w:w w:val="100"/>
        <w:sz w:val="22"/>
        <w:szCs w:val="22"/>
        <w:lang w:val="en-US" w:eastAsia="en-US" w:bidi="ar-SA"/>
      </w:rPr>
    </w:lvl>
    <w:lvl w:ilvl="1" w:tplc="A5985BBE">
      <w:numFmt w:val="bullet"/>
      <w:lvlText w:val="•"/>
      <w:lvlJc w:val="left"/>
      <w:pPr>
        <w:ind w:left="1998" w:hanging="425"/>
      </w:pPr>
      <w:rPr>
        <w:rFonts w:hint="default"/>
        <w:lang w:val="en-US" w:eastAsia="en-US" w:bidi="ar-SA"/>
      </w:rPr>
    </w:lvl>
    <w:lvl w:ilvl="2" w:tplc="25CEDB7A">
      <w:numFmt w:val="bullet"/>
      <w:lvlText w:val="•"/>
      <w:lvlJc w:val="left"/>
      <w:pPr>
        <w:ind w:left="2917" w:hanging="425"/>
      </w:pPr>
      <w:rPr>
        <w:rFonts w:hint="default"/>
        <w:lang w:val="en-US" w:eastAsia="en-US" w:bidi="ar-SA"/>
      </w:rPr>
    </w:lvl>
    <w:lvl w:ilvl="3" w:tplc="6DAC00FA">
      <w:numFmt w:val="bullet"/>
      <w:lvlText w:val="•"/>
      <w:lvlJc w:val="left"/>
      <w:pPr>
        <w:ind w:left="3835" w:hanging="425"/>
      </w:pPr>
      <w:rPr>
        <w:rFonts w:hint="default"/>
        <w:lang w:val="en-US" w:eastAsia="en-US" w:bidi="ar-SA"/>
      </w:rPr>
    </w:lvl>
    <w:lvl w:ilvl="4" w:tplc="F4A604A4">
      <w:numFmt w:val="bullet"/>
      <w:lvlText w:val="•"/>
      <w:lvlJc w:val="left"/>
      <w:pPr>
        <w:ind w:left="4754" w:hanging="425"/>
      </w:pPr>
      <w:rPr>
        <w:rFonts w:hint="default"/>
        <w:lang w:val="en-US" w:eastAsia="en-US" w:bidi="ar-SA"/>
      </w:rPr>
    </w:lvl>
    <w:lvl w:ilvl="5" w:tplc="73C02562">
      <w:numFmt w:val="bullet"/>
      <w:lvlText w:val="•"/>
      <w:lvlJc w:val="left"/>
      <w:pPr>
        <w:ind w:left="5673" w:hanging="425"/>
      </w:pPr>
      <w:rPr>
        <w:rFonts w:hint="default"/>
        <w:lang w:val="en-US" w:eastAsia="en-US" w:bidi="ar-SA"/>
      </w:rPr>
    </w:lvl>
    <w:lvl w:ilvl="6" w:tplc="6C64C1CE">
      <w:numFmt w:val="bullet"/>
      <w:lvlText w:val="•"/>
      <w:lvlJc w:val="left"/>
      <w:pPr>
        <w:ind w:left="6591" w:hanging="425"/>
      </w:pPr>
      <w:rPr>
        <w:rFonts w:hint="default"/>
        <w:lang w:val="en-US" w:eastAsia="en-US" w:bidi="ar-SA"/>
      </w:rPr>
    </w:lvl>
    <w:lvl w:ilvl="7" w:tplc="91C6BFBC">
      <w:numFmt w:val="bullet"/>
      <w:lvlText w:val="•"/>
      <w:lvlJc w:val="left"/>
      <w:pPr>
        <w:ind w:left="7510" w:hanging="425"/>
      </w:pPr>
      <w:rPr>
        <w:rFonts w:hint="default"/>
        <w:lang w:val="en-US" w:eastAsia="en-US" w:bidi="ar-SA"/>
      </w:rPr>
    </w:lvl>
    <w:lvl w:ilvl="8" w:tplc="2D8CE356">
      <w:numFmt w:val="bullet"/>
      <w:lvlText w:val="•"/>
      <w:lvlJc w:val="left"/>
      <w:pPr>
        <w:ind w:left="8429" w:hanging="425"/>
      </w:pPr>
      <w:rPr>
        <w:rFonts w:hint="default"/>
        <w:lang w:val="en-US" w:eastAsia="en-US" w:bidi="ar-SA"/>
      </w:rPr>
    </w:lvl>
  </w:abstractNum>
  <w:abstractNum w:abstractNumId="60" w15:restartNumberingAfterBreak="0">
    <w:nsid w:val="7B9855E8"/>
    <w:multiLevelType w:val="multilevel"/>
    <w:tmpl w:val="28BAEFC8"/>
    <w:lvl w:ilvl="0">
      <w:start w:val="5"/>
      <w:numFmt w:val="decimal"/>
      <w:lvlText w:val="%1"/>
      <w:lvlJc w:val="left"/>
      <w:pPr>
        <w:ind w:left="217" w:hanging="329"/>
      </w:pPr>
      <w:rPr>
        <w:rFonts w:hint="default"/>
        <w:lang w:val="en-US" w:eastAsia="en-US" w:bidi="ar-SA"/>
      </w:rPr>
    </w:lvl>
    <w:lvl w:ilvl="1">
      <w:start w:val="8"/>
      <w:numFmt w:val="decimal"/>
      <w:lvlText w:val="%1.%2"/>
      <w:lvlJc w:val="left"/>
      <w:pPr>
        <w:ind w:left="217" w:hanging="329"/>
      </w:pPr>
      <w:rPr>
        <w:rFonts w:ascii="Calibri" w:eastAsia="Calibri" w:hAnsi="Calibri" w:cs="Calibri" w:hint="default"/>
        <w:spacing w:val="-1"/>
        <w:w w:val="100"/>
        <w:sz w:val="22"/>
        <w:szCs w:val="22"/>
        <w:lang w:val="en-US" w:eastAsia="en-US" w:bidi="ar-SA"/>
      </w:rPr>
    </w:lvl>
    <w:lvl w:ilvl="2">
      <w:start w:val="1"/>
      <w:numFmt w:val="decimal"/>
      <w:lvlText w:val="%3."/>
      <w:lvlJc w:val="left"/>
      <w:pPr>
        <w:ind w:left="938" w:hanging="360"/>
      </w:pPr>
      <w:rPr>
        <w:rFonts w:ascii="Calibri" w:eastAsia="Calibri" w:hAnsi="Calibri" w:cs="Calibri" w:hint="default"/>
        <w:w w:val="100"/>
        <w:sz w:val="22"/>
        <w:szCs w:val="22"/>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5085" w:hanging="360"/>
      </w:pPr>
      <w:rPr>
        <w:rFonts w:hint="default"/>
        <w:lang w:val="en-US" w:eastAsia="en-US" w:bidi="ar-SA"/>
      </w:rPr>
    </w:lvl>
    <w:lvl w:ilvl="6">
      <w:numFmt w:val="bullet"/>
      <w:lvlText w:val="•"/>
      <w:lvlJc w:val="left"/>
      <w:pPr>
        <w:ind w:left="612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61" w15:restartNumberingAfterBreak="0">
    <w:nsid w:val="7C483A57"/>
    <w:multiLevelType w:val="hybridMultilevel"/>
    <w:tmpl w:val="BC0A457A"/>
    <w:lvl w:ilvl="0" w:tplc="EE1891BE">
      <w:numFmt w:val="bullet"/>
      <w:lvlText w:val=""/>
      <w:lvlJc w:val="left"/>
      <w:pPr>
        <w:ind w:left="468" w:hanging="361"/>
      </w:pPr>
      <w:rPr>
        <w:rFonts w:ascii="Symbol" w:eastAsia="Symbol" w:hAnsi="Symbol" w:cs="Symbol" w:hint="default"/>
        <w:w w:val="100"/>
        <w:sz w:val="22"/>
        <w:szCs w:val="22"/>
        <w:lang w:val="en-US" w:eastAsia="en-US" w:bidi="ar-SA"/>
      </w:rPr>
    </w:lvl>
    <w:lvl w:ilvl="1" w:tplc="AA76F97C">
      <w:numFmt w:val="bullet"/>
      <w:lvlText w:val="•"/>
      <w:lvlJc w:val="left"/>
      <w:pPr>
        <w:ind w:left="1105" w:hanging="361"/>
      </w:pPr>
      <w:rPr>
        <w:rFonts w:hint="default"/>
        <w:lang w:val="en-US" w:eastAsia="en-US" w:bidi="ar-SA"/>
      </w:rPr>
    </w:lvl>
    <w:lvl w:ilvl="2" w:tplc="C2AE03AC">
      <w:numFmt w:val="bullet"/>
      <w:lvlText w:val="•"/>
      <w:lvlJc w:val="left"/>
      <w:pPr>
        <w:ind w:left="1750" w:hanging="361"/>
      </w:pPr>
      <w:rPr>
        <w:rFonts w:hint="default"/>
        <w:lang w:val="en-US" w:eastAsia="en-US" w:bidi="ar-SA"/>
      </w:rPr>
    </w:lvl>
    <w:lvl w:ilvl="3" w:tplc="38D6DB54">
      <w:numFmt w:val="bullet"/>
      <w:lvlText w:val="•"/>
      <w:lvlJc w:val="left"/>
      <w:pPr>
        <w:ind w:left="2395" w:hanging="361"/>
      </w:pPr>
      <w:rPr>
        <w:rFonts w:hint="default"/>
        <w:lang w:val="en-US" w:eastAsia="en-US" w:bidi="ar-SA"/>
      </w:rPr>
    </w:lvl>
    <w:lvl w:ilvl="4" w:tplc="B04E4ED2">
      <w:numFmt w:val="bullet"/>
      <w:lvlText w:val="•"/>
      <w:lvlJc w:val="left"/>
      <w:pPr>
        <w:ind w:left="3040" w:hanging="361"/>
      </w:pPr>
      <w:rPr>
        <w:rFonts w:hint="default"/>
        <w:lang w:val="en-US" w:eastAsia="en-US" w:bidi="ar-SA"/>
      </w:rPr>
    </w:lvl>
    <w:lvl w:ilvl="5" w:tplc="46D0F68A">
      <w:numFmt w:val="bullet"/>
      <w:lvlText w:val="•"/>
      <w:lvlJc w:val="left"/>
      <w:pPr>
        <w:ind w:left="3685" w:hanging="361"/>
      </w:pPr>
      <w:rPr>
        <w:rFonts w:hint="default"/>
        <w:lang w:val="en-US" w:eastAsia="en-US" w:bidi="ar-SA"/>
      </w:rPr>
    </w:lvl>
    <w:lvl w:ilvl="6" w:tplc="9E604AB8">
      <w:numFmt w:val="bullet"/>
      <w:lvlText w:val="•"/>
      <w:lvlJc w:val="left"/>
      <w:pPr>
        <w:ind w:left="4330" w:hanging="361"/>
      </w:pPr>
      <w:rPr>
        <w:rFonts w:hint="default"/>
        <w:lang w:val="en-US" w:eastAsia="en-US" w:bidi="ar-SA"/>
      </w:rPr>
    </w:lvl>
    <w:lvl w:ilvl="7" w:tplc="02D87D70">
      <w:numFmt w:val="bullet"/>
      <w:lvlText w:val="•"/>
      <w:lvlJc w:val="left"/>
      <w:pPr>
        <w:ind w:left="4975" w:hanging="361"/>
      </w:pPr>
      <w:rPr>
        <w:rFonts w:hint="default"/>
        <w:lang w:val="en-US" w:eastAsia="en-US" w:bidi="ar-SA"/>
      </w:rPr>
    </w:lvl>
    <w:lvl w:ilvl="8" w:tplc="8EEEAF0E">
      <w:numFmt w:val="bullet"/>
      <w:lvlText w:val="•"/>
      <w:lvlJc w:val="left"/>
      <w:pPr>
        <w:ind w:left="5620" w:hanging="361"/>
      </w:pPr>
      <w:rPr>
        <w:rFonts w:hint="default"/>
        <w:lang w:val="en-US" w:eastAsia="en-US" w:bidi="ar-SA"/>
      </w:rPr>
    </w:lvl>
  </w:abstractNum>
  <w:abstractNum w:abstractNumId="62" w15:restartNumberingAfterBreak="0">
    <w:nsid w:val="7C9A778E"/>
    <w:multiLevelType w:val="hybridMultilevel"/>
    <w:tmpl w:val="C2FCBCE4"/>
    <w:lvl w:ilvl="0" w:tplc="2F68296C">
      <w:start w:val="1"/>
      <w:numFmt w:val="decimal"/>
      <w:lvlText w:val="%1."/>
      <w:lvlJc w:val="left"/>
      <w:pPr>
        <w:ind w:left="938" w:hanging="360"/>
      </w:pPr>
      <w:rPr>
        <w:rFonts w:ascii="Calibri" w:eastAsia="Calibri" w:hAnsi="Calibri" w:cs="Calibri" w:hint="default"/>
        <w:w w:val="100"/>
        <w:sz w:val="22"/>
        <w:szCs w:val="22"/>
        <w:lang w:val="en-US" w:eastAsia="en-US" w:bidi="ar-SA"/>
      </w:rPr>
    </w:lvl>
    <w:lvl w:ilvl="1" w:tplc="5AB2D01A">
      <w:numFmt w:val="bullet"/>
      <w:lvlText w:val="•"/>
      <w:lvlJc w:val="left"/>
      <w:pPr>
        <w:ind w:left="1872" w:hanging="360"/>
      </w:pPr>
      <w:rPr>
        <w:rFonts w:hint="default"/>
        <w:lang w:val="en-US" w:eastAsia="en-US" w:bidi="ar-SA"/>
      </w:rPr>
    </w:lvl>
    <w:lvl w:ilvl="2" w:tplc="F208A6D6">
      <w:numFmt w:val="bullet"/>
      <w:lvlText w:val="•"/>
      <w:lvlJc w:val="left"/>
      <w:pPr>
        <w:ind w:left="2805" w:hanging="360"/>
      </w:pPr>
      <w:rPr>
        <w:rFonts w:hint="default"/>
        <w:lang w:val="en-US" w:eastAsia="en-US" w:bidi="ar-SA"/>
      </w:rPr>
    </w:lvl>
    <w:lvl w:ilvl="3" w:tplc="02F4CBD6">
      <w:numFmt w:val="bullet"/>
      <w:lvlText w:val="•"/>
      <w:lvlJc w:val="left"/>
      <w:pPr>
        <w:ind w:left="3737" w:hanging="360"/>
      </w:pPr>
      <w:rPr>
        <w:rFonts w:hint="default"/>
        <w:lang w:val="en-US" w:eastAsia="en-US" w:bidi="ar-SA"/>
      </w:rPr>
    </w:lvl>
    <w:lvl w:ilvl="4" w:tplc="4DA63F96">
      <w:numFmt w:val="bullet"/>
      <w:lvlText w:val="•"/>
      <w:lvlJc w:val="left"/>
      <w:pPr>
        <w:ind w:left="4670" w:hanging="360"/>
      </w:pPr>
      <w:rPr>
        <w:rFonts w:hint="default"/>
        <w:lang w:val="en-US" w:eastAsia="en-US" w:bidi="ar-SA"/>
      </w:rPr>
    </w:lvl>
    <w:lvl w:ilvl="5" w:tplc="D6F63BA8">
      <w:numFmt w:val="bullet"/>
      <w:lvlText w:val="•"/>
      <w:lvlJc w:val="left"/>
      <w:pPr>
        <w:ind w:left="5603" w:hanging="360"/>
      </w:pPr>
      <w:rPr>
        <w:rFonts w:hint="default"/>
        <w:lang w:val="en-US" w:eastAsia="en-US" w:bidi="ar-SA"/>
      </w:rPr>
    </w:lvl>
    <w:lvl w:ilvl="6" w:tplc="25DEFF02">
      <w:numFmt w:val="bullet"/>
      <w:lvlText w:val="•"/>
      <w:lvlJc w:val="left"/>
      <w:pPr>
        <w:ind w:left="6535" w:hanging="360"/>
      </w:pPr>
      <w:rPr>
        <w:rFonts w:hint="default"/>
        <w:lang w:val="en-US" w:eastAsia="en-US" w:bidi="ar-SA"/>
      </w:rPr>
    </w:lvl>
    <w:lvl w:ilvl="7" w:tplc="A9246FD4">
      <w:numFmt w:val="bullet"/>
      <w:lvlText w:val="•"/>
      <w:lvlJc w:val="left"/>
      <w:pPr>
        <w:ind w:left="7468" w:hanging="360"/>
      </w:pPr>
      <w:rPr>
        <w:rFonts w:hint="default"/>
        <w:lang w:val="en-US" w:eastAsia="en-US" w:bidi="ar-SA"/>
      </w:rPr>
    </w:lvl>
    <w:lvl w:ilvl="8" w:tplc="A05EE430">
      <w:numFmt w:val="bullet"/>
      <w:lvlText w:val="•"/>
      <w:lvlJc w:val="left"/>
      <w:pPr>
        <w:ind w:left="8401" w:hanging="360"/>
      </w:pPr>
      <w:rPr>
        <w:rFonts w:hint="default"/>
        <w:lang w:val="en-US" w:eastAsia="en-US" w:bidi="ar-SA"/>
      </w:rPr>
    </w:lvl>
  </w:abstractNum>
  <w:abstractNum w:abstractNumId="63" w15:restartNumberingAfterBreak="0">
    <w:nsid w:val="7F830952"/>
    <w:multiLevelType w:val="hybridMultilevel"/>
    <w:tmpl w:val="97504F22"/>
    <w:lvl w:ilvl="0" w:tplc="5E44C818">
      <w:numFmt w:val="bullet"/>
      <w:lvlText w:val=""/>
      <w:lvlJc w:val="left"/>
      <w:pPr>
        <w:ind w:left="468" w:hanging="361"/>
      </w:pPr>
      <w:rPr>
        <w:rFonts w:ascii="Symbol" w:eastAsia="Symbol" w:hAnsi="Symbol" w:cs="Symbol" w:hint="default"/>
        <w:w w:val="100"/>
        <w:sz w:val="22"/>
        <w:szCs w:val="22"/>
        <w:lang w:val="en-US" w:eastAsia="en-US" w:bidi="ar-SA"/>
      </w:rPr>
    </w:lvl>
    <w:lvl w:ilvl="1" w:tplc="D33C40F6">
      <w:numFmt w:val="bullet"/>
      <w:lvlText w:val="•"/>
      <w:lvlJc w:val="left"/>
      <w:pPr>
        <w:ind w:left="1105" w:hanging="361"/>
      </w:pPr>
      <w:rPr>
        <w:rFonts w:hint="default"/>
        <w:lang w:val="en-US" w:eastAsia="en-US" w:bidi="ar-SA"/>
      </w:rPr>
    </w:lvl>
    <w:lvl w:ilvl="2" w:tplc="A19459EA">
      <w:numFmt w:val="bullet"/>
      <w:lvlText w:val="•"/>
      <w:lvlJc w:val="left"/>
      <w:pPr>
        <w:ind w:left="1750" w:hanging="361"/>
      </w:pPr>
      <w:rPr>
        <w:rFonts w:hint="default"/>
        <w:lang w:val="en-US" w:eastAsia="en-US" w:bidi="ar-SA"/>
      </w:rPr>
    </w:lvl>
    <w:lvl w:ilvl="3" w:tplc="CD1AD302">
      <w:numFmt w:val="bullet"/>
      <w:lvlText w:val="•"/>
      <w:lvlJc w:val="left"/>
      <w:pPr>
        <w:ind w:left="2395" w:hanging="361"/>
      </w:pPr>
      <w:rPr>
        <w:rFonts w:hint="default"/>
        <w:lang w:val="en-US" w:eastAsia="en-US" w:bidi="ar-SA"/>
      </w:rPr>
    </w:lvl>
    <w:lvl w:ilvl="4" w:tplc="9C365FEA">
      <w:numFmt w:val="bullet"/>
      <w:lvlText w:val="•"/>
      <w:lvlJc w:val="left"/>
      <w:pPr>
        <w:ind w:left="3040" w:hanging="361"/>
      </w:pPr>
      <w:rPr>
        <w:rFonts w:hint="default"/>
        <w:lang w:val="en-US" w:eastAsia="en-US" w:bidi="ar-SA"/>
      </w:rPr>
    </w:lvl>
    <w:lvl w:ilvl="5" w:tplc="04E8B4FC">
      <w:numFmt w:val="bullet"/>
      <w:lvlText w:val="•"/>
      <w:lvlJc w:val="left"/>
      <w:pPr>
        <w:ind w:left="3685" w:hanging="361"/>
      </w:pPr>
      <w:rPr>
        <w:rFonts w:hint="default"/>
        <w:lang w:val="en-US" w:eastAsia="en-US" w:bidi="ar-SA"/>
      </w:rPr>
    </w:lvl>
    <w:lvl w:ilvl="6" w:tplc="DED2A20C">
      <w:numFmt w:val="bullet"/>
      <w:lvlText w:val="•"/>
      <w:lvlJc w:val="left"/>
      <w:pPr>
        <w:ind w:left="4330" w:hanging="361"/>
      </w:pPr>
      <w:rPr>
        <w:rFonts w:hint="default"/>
        <w:lang w:val="en-US" w:eastAsia="en-US" w:bidi="ar-SA"/>
      </w:rPr>
    </w:lvl>
    <w:lvl w:ilvl="7" w:tplc="57247FD2">
      <w:numFmt w:val="bullet"/>
      <w:lvlText w:val="•"/>
      <w:lvlJc w:val="left"/>
      <w:pPr>
        <w:ind w:left="4975" w:hanging="361"/>
      </w:pPr>
      <w:rPr>
        <w:rFonts w:hint="default"/>
        <w:lang w:val="en-US" w:eastAsia="en-US" w:bidi="ar-SA"/>
      </w:rPr>
    </w:lvl>
    <w:lvl w:ilvl="8" w:tplc="03648D06">
      <w:numFmt w:val="bullet"/>
      <w:lvlText w:val="•"/>
      <w:lvlJc w:val="left"/>
      <w:pPr>
        <w:ind w:left="5620" w:hanging="361"/>
      </w:pPr>
      <w:rPr>
        <w:rFonts w:hint="default"/>
        <w:lang w:val="en-US" w:eastAsia="en-US" w:bidi="ar-SA"/>
      </w:rPr>
    </w:lvl>
  </w:abstractNum>
  <w:num w:numId="1">
    <w:abstractNumId w:val="20"/>
  </w:num>
  <w:num w:numId="2">
    <w:abstractNumId w:val="23"/>
  </w:num>
  <w:num w:numId="3">
    <w:abstractNumId w:val="52"/>
  </w:num>
  <w:num w:numId="4">
    <w:abstractNumId w:val="33"/>
  </w:num>
  <w:num w:numId="5">
    <w:abstractNumId w:val="14"/>
  </w:num>
  <w:num w:numId="6">
    <w:abstractNumId w:val="55"/>
  </w:num>
  <w:num w:numId="7">
    <w:abstractNumId w:val="38"/>
  </w:num>
  <w:num w:numId="8">
    <w:abstractNumId w:val="25"/>
  </w:num>
  <w:num w:numId="9">
    <w:abstractNumId w:val="31"/>
  </w:num>
  <w:num w:numId="10">
    <w:abstractNumId w:val="61"/>
  </w:num>
  <w:num w:numId="11">
    <w:abstractNumId w:val="12"/>
  </w:num>
  <w:num w:numId="12">
    <w:abstractNumId w:val="50"/>
  </w:num>
  <w:num w:numId="13">
    <w:abstractNumId w:val="26"/>
  </w:num>
  <w:num w:numId="14">
    <w:abstractNumId w:val="6"/>
  </w:num>
  <w:num w:numId="15">
    <w:abstractNumId w:val="11"/>
  </w:num>
  <w:num w:numId="16">
    <w:abstractNumId w:val="63"/>
  </w:num>
  <w:num w:numId="17">
    <w:abstractNumId w:val="48"/>
  </w:num>
  <w:num w:numId="18">
    <w:abstractNumId w:val="27"/>
  </w:num>
  <w:num w:numId="19">
    <w:abstractNumId w:val="58"/>
  </w:num>
  <w:num w:numId="20">
    <w:abstractNumId w:val="22"/>
  </w:num>
  <w:num w:numId="21">
    <w:abstractNumId w:val="59"/>
  </w:num>
  <w:num w:numId="22">
    <w:abstractNumId w:val="3"/>
  </w:num>
  <w:num w:numId="23">
    <w:abstractNumId w:val="5"/>
  </w:num>
  <w:num w:numId="24">
    <w:abstractNumId w:val="32"/>
  </w:num>
  <w:num w:numId="25">
    <w:abstractNumId w:val="15"/>
  </w:num>
  <w:num w:numId="26">
    <w:abstractNumId w:val="43"/>
  </w:num>
  <w:num w:numId="27">
    <w:abstractNumId w:val="2"/>
  </w:num>
  <w:num w:numId="28">
    <w:abstractNumId w:val="17"/>
  </w:num>
  <w:num w:numId="29">
    <w:abstractNumId w:val="37"/>
  </w:num>
  <w:num w:numId="30">
    <w:abstractNumId w:val="19"/>
  </w:num>
  <w:num w:numId="31">
    <w:abstractNumId w:val="35"/>
  </w:num>
  <w:num w:numId="32">
    <w:abstractNumId w:val="7"/>
  </w:num>
  <w:num w:numId="33">
    <w:abstractNumId w:val="4"/>
  </w:num>
  <w:num w:numId="34">
    <w:abstractNumId w:val="9"/>
  </w:num>
  <w:num w:numId="35">
    <w:abstractNumId w:val="53"/>
  </w:num>
  <w:num w:numId="36">
    <w:abstractNumId w:val="16"/>
  </w:num>
  <w:num w:numId="37">
    <w:abstractNumId w:val="1"/>
  </w:num>
  <w:num w:numId="38">
    <w:abstractNumId w:val="13"/>
  </w:num>
  <w:num w:numId="39">
    <w:abstractNumId w:val="45"/>
  </w:num>
  <w:num w:numId="40">
    <w:abstractNumId w:val="54"/>
  </w:num>
  <w:num w:numId="41">
    <w:abstractNumId w:val="21"/>
  </w:num>
  <w:num w:numId="42">
    <w:abstractNumId w:val="56"/>
  </w:num>
  <w:num w:numId="43">
    <w:abstractNumId w:val="18"/>
  </w:num>
  <w:num w:numId="44">
    <w:abstractNumId w:val="30"/>
  </w:num>
  <w:num w:numId="45">
    <w:abstractNumId w:val="44"/>
  </w:num>
  <w:num w:numId="46">
    <w:abstractNumId w:val="8"/>
  </w:num>
  <w:num w:numId="47">
    <w:abstractNumId w:val="40"/>
  </w:num>
  <w:num w:numId="48">
    <w:abstractNumId w:val="46"/>
  </w:num>
  <w:num w:numId="49">
    <w:abstractNumId w:val="10"/>
  </w:num>
  <w:num w:numId="50">
    <w:abstractNumId w:val="28"/>
  </w:num>
  <w:num w:numId="51">
    <w:abstractNumId w:val="36"/>
  </w:num>
  <w:num w:numId="52">
    <w:abstractNumId w:val="42"/>
  </w:num>
  <w:num w:numId="53">
    <w:abstractNumId w:val="39"/>
  </w:num>
  <w:num w:numId="54">
    <w:abstractNumId w:val="60"/>
  </w:num>
  <w:num w:numId="55">
    <w:abstractNumId w:val="62"/>
  </w:num>
  <w:num w:numId="56">
    <w:abstractNumId w:val="34"/>
  </w:num>
  <w:num w:numId="57">
    <w:abstractNumId w:val="29"/>
  </w:num>
  <w:num w:numId="58">
    <w:abstractNumId w:val="24"/>
  </w:num>
  <w:num w:numId="59">
    <w:abstractNumId w:val="49"/>
  </w:num>
  <w:num w:numId="60">
    <w:abstractNumId w:val="41"/>
  </w:num>
  <w:num w:numId="61">
    <w:abstractNumId w:val="51"/>
  </w:num>
  <w:num w:numId="62">
    <w:abstractNumId w:val="57"/>
  </w:num>
  <w:num w:numId="63">
    <w:abstractNumId w:val="47"/>
  </w:num>
  <w:num w:numId="64">
    <w:abstractNumId w:val="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8F03B5"/>
    <w:rsid w:val="00194032"/>
    <w:rsid w:val="00586B9B"/>
    <w:rsid w:val="008F03B5"/>
    <w:rsid w:val="00903055"/>
    <w:rsid w:val="009A3CBD"/>
    <w:rsid w:val="00C07B5E"/>
    <w:rsid w:val="00CC0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9CF68B1A-8B0A-4C90-80BF-A6570E2B5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rPr>
  </w:style>
  <w:style w:type="paragraph" w:styleId="1">
    <w:name w:val="heading 1"/>
    <w:basedOn w:val="a"/>
    <w:uiPriority w:val="9"/>
    <w:qFormat/>
    <w:pPr>
      <w:spacing w:before="122"/>
      <w:ind w:left="217"/>
      <w:outlineLvl w:val="0"/>
    </w:pPr>
    <w:rPr>
      <w:b/>
      <w:bCs/>
      <w:sz w:val="28"/>
      <w:szCs w:val="28"/>
    </w:rPr>
  </w:style>
  <w:style w:type="paragraph" w:styleId="2">
    <w:name w:val="heading 2"/>
    <w:basedOn w:val="a"/>
    <w:uiPriority w:val="9"/>
    <w:unhideWhenUsed/>
    <w:qFormat/>
    <w:pPr>
      <w:ind w:left="217"/>
      <w:outlineLvl w:val="1"/>
    </w:pPr>
    <w:rPr>
      <w:b/>
      <w:bCs/>
      <w:sz w:val="24"/>
      <w:szCs w:val="24"/>
    </w:rPr>
  </w:style>
  <w:style w:type="paragraph" w:styleId="3">
    <w:name w:val="heading 3"/>
    <w:basedOn w:val="a"/>
    <w:uiPriority w:val="9"/>
    <w:unhideWhenUsed/>
    <w:qFormat/>
    <w:pPr>
      <w:ind w:left="217"/>
      <w:outlineLvl w:val="2"/>
    </w:pPr>
    <w:rPr>
      <w:b/>
      <w:bCs/>
    </w:rPr>
  </w:style>
  <w:style w:type="paragraph" w:styleId="4">
    <w:name w:val="heading 4"/>
    <w:basedOn w:val="a"/>
    <w:uiPriority w:val="9"/>
    <w:unhideWhenUsed/>
    <w:qFormat/>
    <w:pPr>
      <w:ind w:left="217"/>
      <w:outlineLvl w:val="3"/>
    </w:pPr>
    <w:rPr>
      <w:b/>
      <w:bC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39"/>
      <w:ind w:left="217"/>
    </w:pPr>
  </w:style>
  <w:style w:type="paragraph" w:styleId="TOC2">
    <w:name w:val="toc 2"/>
    <w:basedOn w:val="a"/>
    <w:uiPriority w:val="1"/>
    <w:qFormat/>
    <w:pPr>
      <w:spacing w:before="140"/>
      <w:ind w:left="438"/>
    </w:pPr>
  </w:style>
  <w:style w:type="paragraph" w:styleId="a3">
    <w:name w:val="Body Text"/>
    <w:basedOn w:val="a"/>
    <w:uiPriority w:val="1"/>
    <w:qFormat/>
  </w:style>
  <w:style w:type="paragraph" w:styleId="a4">
    <w:name w:val="List Paragraph"/>
    <w:basedOn w:val="a"/>
    <w:uiPriority w:val="1"/>
    <w:qFormat/>
    <w:pPr>
      <w:ind w:left="938" w:hanging="360"/>
    </w:pPr>
  </w:style>
  <w:style w:type="paragraph" w:customStyle="1" w:styleId="TableParagraph">
    <w:name w:val="Table Paragraph"/>
    <w:basedOn w:val="a"/>
    <w:uiPriority w:val="1"/>
    <w:qFormat/>
  </w:style>
  <w:style w:type="paragraph" w:styleId="a5">
    <w:name w:val="header"/>
    <w:basedOn w:val="a"/>
    <w:link w:val="a6"/>
    <w:uiPriority w:val="99"/>
    <w:unhideWhenUsed/>
    <w:rsid w:val="00CC01A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C01A0"/>
    <w:rPr>
      <w:rFonts w:ascii="Calibri" w:eastAsia="Calibri" w:hAnsi="Calibri" w:cs="Calibri"/>
      <w:sz w:val="18"/>
      <w:szCs w:val="18"/>
    </w:rPr>
  </w:style>
  <w:style w:type="paragraph" w:styleId="a7">
    <w:name w:val="footer"/>
    <w:basedOn w:val="a"/>
    <w:link w:val="a8"/>
    <w:uiPriority w:val="99"/>
    <w:unhideWhenUsed/>
    <w:rsid w:val="00CC01A0"/>
    <w:pPr>
      <w:tabs>
        <w:tab w:val="center" w:pos="4153"/>
        <w:tab w:val="right" w:pos="8306"/>
      </w:tabs>
      <w:snapToGrid w:val="0"/>
    </w:pPr>
    <w:rPr>
      <w:sz w:val="18"/>
      <w:szCs w:val="18"/>
    </w:rPr>
  </w:style>
  <w:style w:type="character" w:customStyle="1" w:styleId="a8">
    <w:name w:val="页脚 字符"/>
    <w:basedOn w:val="a0"/>
    <w:link w:val="a7"/>
    <w:uiPriority w:val="99"/>
    <w:rsid w:val="00CC01A0"/>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ww.ema.europa.eu/ema/" TargetMode="External"/><Relationship Id="rId18" Type="http://schemas.openxmlformats.org/officeDocument/2006/relationships/image" Target="media/image4.png"/><Relationship Id="rId26" Type="http://schemas.openxmlformats.org/officeDocument/2006/relationships/hyperlink" Target="https://www.medicines.org.uk/emc/product/6266/smpc" TargetMode="External"/><Relationship Id="rId39" Type="http://schemas.openxmlformats.org/officeDocument/2006/relationships/fontTable" Target="fontTable.xml"/><Relationship Id="rId21" Type="http://schemas.openxmlformats.org/officeDocument/2006/relationships/hyperlink" Target="https://www.medicines.org.uk/emc/product/6264/smpc" TargetMode="External"/><Relationship Id="rId34" Type="http://schemas.openxmlformats.org/officeDocument/2006/relationships/hyperlink" Target="https://www.medicines.org.uk/emc/product/1439" TargetMode="External"/><Relationship Id="rId7" Type="http://schemas.openxmlformats.org/officeDocument/2006/relationships/header" Target="header1.xml"/><Relationship Id="rId12" Type="http://schemas.openxmlformats.org/officeDocument/2006/relationships/hyperlink" Target="http://www.ema.europa.eu/en/documents/product-information/veltassa" TargetMode="External"/><Relationship Id="rId17" Type="http://schemas.openxmlformats.org/officeDocument/2006/relationships/image" Target="media/image3.png"/><Relationship Id="rId25" Type="http://schemas.openxmlformats.org/officeDocument/2006/relationships/hyperlink" Target="https://www.medicines.org.uk/emc/product/1826/smpc" TargetMode="External"/><Relationship Id="rId33" Type="http://schemas.openxmlformats.org/officeDocument/2006/relationships/hyperlink" Target="https://www.medicines.org.uk/emc/product/10074/smpc" TargetMode="External"/><Relationship Id="rId38"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v.uk/government/statistics/ndns-results-from-years-" TargetMode="External"/><Relationship Id="rId24" Type="http://schemas.openxmlformats.org/officeDocument/2006/relationships/hyperlink" Target="https://www.medicines.org.uk/emc/product/4126/smpc" TargetMode="External"/><Relationship Id="rId32" Type="http://schemas.openxmlformats.org/officeDocument/2006/relationships/hyperlink" Target="http://www.medicinescomplete.com/" TargetMode="External"/><Relationship Id="rId37" Type="http://schemas.openxmlformats.org/officeDocument/2006/relationships/image" Target="media/image1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improvement.nhs.uk/news-alert/safe-and-timely-management-of-hyperkalaemia/" TargetMode="External"/><Relationship Id="rId23" Type="http://schemas.openxmlformats.org/officeDocument/2006/relationships/hyperlink" Target="http://www.injguide.nhs.uk/IVGuidePrint.asp?Drugno=2562&amp;format=3%20" TargetMode="External"/><Relationship Id="rId28" Type="http://schemas.openxmlformats.org/officeDocument/2006/relationships/hyperlink" Target="https://www.medicines.org.uk/emc/product/8256/smpc" TargetMode="External"/><Relationship Id="rId36" Type="http://schemas.openxmlformats.org/officeDocument/2006/relationships/image" Target="media/image10.jpeg"/><Relationship Id="rId10" Type="http://schemas.openxmlformats.org/officeDocument/2006/relationships/hyperlink" Target="http://www.nice.org.uk/guideline/cg182/" TargetMode="External"/><Relationship Id="rId19" Type="http://schemas.openxmlformats.org/officeDocument/2006/relationships/image" Target="media/image5.png"/><Relationship Id="rId31" Type="http://schemas.openxmlformats.org/officeDocument/2006/relationships/hyperlink" Target="https://www.medicines.org.uk/emc/product/779" TargetMode="External"/><Relationship Id="rId4" Type="http://schemas.openxmlformats.org/officeDocument/2006/relationships/webSettings" Target="webSettings.xml"/><Relationship Id="rId9" Type="http://schemas.openxmlformats.org/officeDocument/2006/relationships/hyperlink" Target="http://www.cks.nice.org.uk/chronic-kidney-" TargetMode="External"/><Relationship Id="rId14" Type="http://schemas.openxmlformats.org/officeDocument/2006/relationships/hyperlink" Target="http://improvement.nhs.uk/news-alert/safe-and-timely-management-of-hyperkalaemia/" TargetMode="External"/><Relationship Id="rId22" Type="http://schemas.openxmlformats.org/officeDocument/2006/relationships/hyperlink" Target="http://www.injguide.nhs.uk/IVGuidePrint.asp?Drugno=3225&amp;format=3" TargetMode="External"/><Relationship Id="rId27" Type="http://schemas.openxmlformats.org/officeDocument/2006/relationships/hyperlink" Target="http://www.injguide.nhs.uk/IVGuidePrint.asp?Drugno=2612&amp;format=3" TargetMode="External"/><Relationship Id="rId30" Type="http://schemas.openxmlformats.org/officeDocument/2006/relationships/image" Target="media/image8.png"/><Relationship Id="rId35" Type="http://schemas.openxmlformats.org/officeDocument/2006/relationships/image" Target="media/image9.jpeg"/><Relationship Id="rId8"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74</Pages>
  <Words>20477</Words>
  <Characters>116719</Characters>
  <Application>Microsoft Office Word</Application>
  <DocSecurity>0</DocSecurity>
  <Lines>972</Lines>
  <Paragraphs>273</Paragraphs>
  <ScaleCrop>false</ScaleCrop>
  <Company/>
  <LinksUpToDate>false</LinksUpToDate>
  <CharactersWithSpaces>136923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HYPERKALAEMIA GUIDELINE 2019</dc:title>
  <dc:creator>NGWENYA Bryne</dc:creator>
  <cp:lastModifiedBy>guo zhiqiang</cp:lastModifiedBy>
  <cp:revision>2</cp:revision>
  <dcterms:created xsi:type="dcterms:W3CDTF">2020-10-28T12:10:00Z</dcterms:created>
  <dcterms:modified xsi:type="dcterms:W3CDTF">2020-10-28T12:10:00Z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2020-07-21T00:00:00Z</vt:filetime>
  </property>
  <property fmtid="{D5CDD505-2E9C-101B-9397-08002B2CF9AE}" pid="3" name="Creator">
    <vt:lpwstr>Microsoft® Word 2010(Infix ä¸ä¸ç)</vt:lpwstr>
  </property>
  <property fmtid="{D5CDD505-2E9C-101B-9397-08002B2CF9AE}" pid="4" name="LastSaved">
    <vt:filetime>2020-10-25T00:00:00Z</vt:filetime>
  </property>
</Properties>
</file>