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项目交付周报</w:t>
      </w:r>
    </w:p>
    <w:p>
      <w:r>
        <w:t>产品技术部    2026年9月28日至10月2日</w:t>
      </w:r>
    </w:p>
    <w:p>
      <w:pPr>
        <w:pStyle w:val="Heading1"/>
      </w:pPr>
      <w:r>
        <w:t>本周概况</w:t>
      </w:r>
    </w:p>
    <w:p>
      <w:r>
        <w:t>本周跟进项目共6项，已上线2项，未上线4项。客户工作台和统一登录改造完成切换，团队继续处理试运行反馈。</w:t>
      </w:r>
    </w:p>
    <w:p>
      <w:pPr>
        <w:pStyle w:val="Heading1"/>
        <w:spacing w:before="120" w:after="80"/>
      </w:pPr>
      <w:r>
        <w:t>本周变化</w:t>
      </w:r>
    </w:p>
    <w:p>
      <w:pPr/>
      <w:r>
        <w:t>客户工作台进入上线准备阶段；统一登录改造完成主要功能测试。经营数据集市开始财务口径核对。</w:t>
      </w:r>
    </w:p>
    <w:p>
      <w:pPr>
        <w:pStyle w:val="Heading1"/>
      </w:pPr>
      <w:r>
        <w:t>团队进展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3458"/>
            <w:vAlign w:val="center"/>
            <w:shd w:fill="234D6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left"/>
            </w:pPr>
            <w:r>
              <w:rPr>
                <w:b/>
                <w:color w:val="FFFFFF"/>
                <w:sz w:val="22"/>
              </w:rPr>
              <w:t>团队</w:t>
            </w:r>
          </w:p>
        </w:tc>
        <w:tc>
          <w:tcPr>
            <w:tcW w:type="dxa" w:w="1984"/>
            <w:vAlign w:val="center"/>
            <w:shd w:fill="234D6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color w:val="FFFFFF"/>
                <w:sz w:val="22"/>
              </w:rPr>
              <w:t>项目数</w:t>
            </w:r>
          </w:p>
        </w:tc>
        <w:tc>
          <w:tcPr>
            <w:tcW w:type="dxa" w:w="1984"/>
            <w:vAlign w:val="center"/>
            <w:shd w:fill="234D6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color w:val="FFFFFF"/>
                <w:sz w:val="22"/>
              </w:rPr>
              <w:t>已上线</w:t>
            </w:r>
          </w:p>
        </w:tc>
        <w:tc>
          <w:tcPr>
            <w:tcW w:type="dxa" w:w="1984"/>
            <w:vAlign w:val="center"/>
            <w:shd w:fill="234D6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color w:val="FFFFFF"/>
                <w:sz w:val="22"/>
              </w:rPr>
              <w:t>未上线</w:t>
            </w:r>
          </w:p>
        </w:tc>
      </w:tr>
      <w:tr>
        <w:tc>
          <w:tcPr>
            <w:tcW w:type="dxa" w:w="3458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left"/>
            </w:pPr>
            <w:r>
              <w:rPr>
                <w:b w:val="0"/>
                <w:sz w:val="22"/>
              </w:rPr>
              <w:t>应用研发组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left"/>
            </w:pPr>
            <w:r>
              <w:rPr>
                <w:b w:val="0"/>
                <w:sz w:val="22"/>
              </w:rPr>
              <w:t>数据平台组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</w:tr>
      <w:tr>
        <w:tc>
          <w:tcPr>
            <w:tcW w:type="dxa" w:w="3458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left"/>
            </w:pPr>
            <w:r>
              <w:rPr>
                <w:b w:val="0"/>
                <w:sz w:val="22"/>
              </w:rPr>
              <w:t>基础平台组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84"/>
            <w:vAlign w:val="center"/>
            <w:shd w:fill="F2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left"/>
            </w:pPr>
            <w:r>
              <w:rPr>
                <w:b/>
                <w:sz w:val="22"/>
              </w:rPr>
              <w:t>合计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 w:line="276" w:lineRule="auto"/>
              <w:jc w:val="center"/>
            </w:pPr>
            <w:r>
              <w:rPr>
                <w:b/>
                <w:sz w:val="22"/>
              </w:rPr>
              <w:t>4</w:t>
            </w:r>
          </w:p>
        </w:tc>
      </w:tr>
    </w:tbl>
    <w:p/>
    <w:p>
      <w:pPr>
        <w:pStyle w:val="Heading1"/>
      </w:pPr>
      <w:r>
        <w:t>关注事项</w:t>
      </w:r>
    </w:p>
    <w:p>
      <w:r>
        <w:t>经营数据集市仍需核对财务口径。供应链协同的联调窗口尚未确定，项目负责人继续与业务方协调。</w:t>
      </w:r>
    </w:p>
    <w:p>
      <w:pPr>
        <w:pStyle w:val="Heading1"/>
        <w:spacing w:before="200" w:after="120"/>
      </w:pPr>
      <w:r>
        <w:t>重点项目跟踪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fill="27597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685"/>
            <w:vAlign w:val="center"/>
            <w:shd w:fill="27597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1"/>
              </w:rPr>
              <w:t>当前事项</w:t>
            </w:r>
          </w:p>
        </w:tc>
        <w:tc>
          <w:tcPr>
            <w:tcW w:type="dxa" w:w="2835"/>
            <w:vAlign w:val="center"/>
            <w:shd w:fill="27597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1"/>
              </w:rPr>
              <w:t>进展</w:t>
            </w:r>
          </w:p>
        </w:tc>
      </w:tr>
      <w:tr>
        <w:tc>
          <w:tcPr>
            <w:tcW w:type="dxa" w:w="2268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经营数据集市</w:t>
            </w:r>
          </w:p>
        </w:tc>
        <w:tc>
          <w:tcPr>
            <w:tcW w:type="dxa" w:w="3685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财务口径确认</w:t>
            </w:r>
          </w:p>
        </w:tc>
        <w:tc>
          <w:tcPr>
            <w:tcW w:type="dxa" w:w="2835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两项指标待确认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供应链协同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接口联调窗口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待确认</w:t>
            </w:r>
          </w:p>
        </w:tc>
      </w:tr>
      <w:tr>
        <w:tc>
          <w:tcPr>
            <w:tcW w:type="dxa" w:w="2268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合同审批</w:t>
            </w:r>
          </w:p>
        </w:tc>
        <w:tc>
          <w:tcPr>
            <w:tcW w:type="dxa" w:w="3685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审批节点复核</w:t>
            </w:r>
          </w:p>
        </w:tc>
        <w:tc>
          <w:tcPr>
            <w:tcW w:type="dxa" w:w="2835"/>
            <w:vAlign w:val="center"/>
            <w:shd w:fill="EEF3F7"/>
            <w:tcBorders>
              <w:top w:val="single" w:sz="4" w:color="D7E0E8"/>
              <w:left w:val="single" w:sz="4" w:color="D7E0E8"/>
              <w:bottom w:val="single" w:sz="4" w:color="D7E0E8"/>
              <w:right w:val="single" w:sz="4" w:color="D7E0E8"/>
              <w:insideH w:val="single" w:sz="4" w:color="D7E0E8"/>
              <w:insideV w:val="single" w:sz="4" w:color="D7E0E8"/>
            </w:tcBorders>
          </w:tcPr>
          <w:p>
            <w:pPr>
              <w:spacing w:after="0" w:before="0"/>
            </w:pPr>
            <w:r>
              <w:rPr>
                <w:sz w:val="21"/>
              </w:rPr>
              <w:t>法务复核中</w:t>
            </w:r>
          </w:p>
        </w:tc>
      </w:tr>
    </w:tbl>
    <w:p>
      <w:pPr>
        <w:pStyle w:val="Heading1"/>
      </w:pPr>
      <w:r>
        <w:t>下周安排</w:t>
      </w:r>
    </w:p>
    <w:p>
      <w:r>
        <w:t>应用研发组跟进客户工作台试运行反馈，同时为供应链协同联调预留支持力量。数据平台组准备经营数据集市验收，并协调合同审批的数据支持安排。基础平台组继续验证消息中心的移动端推送。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项目交付周报</dc:title>
  <dc:subject>产品技术部周报</dc:subject>
  <dc:creator>产品技术部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