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WPS Assistant 能力测试操作手册</w:t>
      </w:r>
    </w:p>
    <w:p>
      <w:pPr>
        <w:jc w:val="center"/>
      </w:pPr>
      <w:r>
        <w:rPr>
          <w:color w:val="5A6976"/>
          <w:sz w:val="24"/>
        </w:rPr>
        <w:t>项目交付台账 / 周报 / 周会</w:t>
      </w:r>
    </w:p>
    <w:p>
      <w:r>
        <w:rPr>
          <w:b/>
          <w:color w:val="B43232"/>
        </w:rPr>
        <w:t>重要：</w:t>
      </w:r>
      <w:r>
        <w:t>本手册是评测侧材料。测试时不要把本手册交给 Agent，也不要在 WPS 中保持本手册打开。被测 Agent 只应看到工作中的 Excel、Word、PPT 三个业务文件。</w:t>
      </w:r>
    </w:p>
    <w:p>
      <w:pPr>
        <w:pStyle w:val="Heading1"/>
      </w:pPr>
      <w:r>
        <w:t>1. 配套文件</w:t>
      </w:r>
    </w:p>
    <w:tbl>
      <w:tblPr>
        <w:tblW w:type="auto" w:w="0"/>
        <w:jc w:val="center"/>
        <w:tblLayout w:type="fixed"/>
        <w:tblLook w:firstColumn="1" w:firstRow="1" w:lastColumn="0" w:lastRow="0" w:noHBand="0" w:noVBand="1" w:val="04A0"/>
      </w:tblPr>
      <w:tblGrid>
        <w:gridCol w:w="4986"/>
        <w:gridCol w:w="4986"/>
      </w:tblGrid>
      <w:tr>
        <w:tc>
          <w:tcPr>
            <w:tcW w:type="dxa" w:w="3515"/>
            <w:vAlign w:val="center"/>
            <w:shd w:fill="275977"/>
          </w:tcPr>
          <w:p>
            <w:pPr>
              <w:spacing w:after="0"/>
            </w:pPr>
            <w:r>
              <w:rPr>
                <w:b/>
                <w:color w:val="FFFFFF"/>
                <w:sz w:val="19"/>
              </w:rPr>
              <w:t>文件</w:t>
            </w:r>
          </w:p>
        </w:tc>
        <w:tc>
          <w:tcPr>
            <w:tcW w:type="dxa" w:w="5669"/>
            <w:vAlign w:val="center"/>
            <w:shd w:fill="275977"/>
          </w:tcPr>
          <w:p>
            <w:pPr>
              <w:spacing w:after="0"/>
            </w:pPr>
            <w:r>
              <w:rPr>
                <w:b/>
                <w:color w:val="FFFFFF"/>
                <w:sz w:val="19"/>
              </w:rPr>
              <w:t>用途</w:t>
            </w:r>
          </w:p>
        </w:tc>
      </w:tr>
      <w:tr>
        <w:tc>
          <w:tcPr>
            <w:tcW w:type="dxa" w:w="3515"/>
            <w:vAlign w:val="center"/>
            <w:shd w:fill="EEF3F7"/>
          </w:tcPr>
          <w:p>
            <w:pPr>
              <w:spacing w:after="0"/>
            </w:pPr>
            <w:r>
              <w:rPr>
                <w:sz w:val="19"/>
              </w:rPr>
              <w:t>项目交付台账-第1轮.xlsx</w:t>
            </w:r>
          </w:p>
        </w:tc>
        <w:tc>
          <w:tcPr>
            <w:tcW w:type="dxa" w:w="5669"/>
            <w:vAlign w:val="center"/>
            <w:shd w:fill="EEF3F7"/>
          </w:tcPr>
          <w:p>
            <w:pPr>
              <w:spacing w:after="0"/>
            </w:pPr>
            <w:r>
              <w:rPr>
                <w:sz w:val="19"/>
              </w:rPr>
              <w:t>初始工作文件；第一次建立变量、Transform 和 Render</w:t>
            </w:r>
          </w:p>
        </w:tc>
      </w:tr>
      <w:tr>
        <w:tc>
          <w:tcPr>
            <w:tcW w:type="dxa" w:w="3515"/>
            <w:vAlign w:val="center"/>
            <w:shd w:fill="FFFFFF"/>
          </w:tcPr>
          <w:p>
            <w:pPr>
              <w:spacing w:after="0"/>
            </w:pPr>
            <w:r>
              <w:rPr>
                <w:sz w:val="19"/>
              </w:rPr>
              <w:t>项目交付台账-第2轮.xlsx</w:t>
            </w:r>
          </w:p>
        </w:tc>
        <w:tc>
          <w:tcPr>
            <w:tcW w:type="dxa" w:w="5669"/>
            <w:vAlign w:val="center"/>
            <w:shd w:fill="FFFFFF"/>
          </w:tcPr>
          <w:p>
            <w:pPr>
              <w:spacing w:after="0"/>
            </w:pPr>
            <w:r>
              <w:rPr>
                <w:sz w:val="19"/>
              </w:rPr>
              <w:t>第二轮业务数据；用于验证重新计算后变量变化、重新写入后目标更新</w:t>
            </w:r>
          </w:p>
        </w:tc>
      </w:tr>
      <w:tr>
        <w:tc>
          <w:tcPr>
            <w:tcW w:type="dxa" w:w="3515"/>
            <w:vAlign w:val="center"/>
            <w:shd w:fill="EEF3F7"/>
          </w:tcPr>
          <w:p>
            <w:pPr>
              <w:spacing w:after="0"/>
            </w:pPr>
            <w:r>
              <w:rPr>
                <w:sz w:val="19"/>
              </w:rPr>
              <w:t>项目交付台账-第3轮.xlsx</w:t>
            </w:r>
          </w:p>
        </w:tc>
        <w:tc>
          <w:tcPr>
            <w:tcW w:type="dxa" w:w="5669"/>
            <w:vAlign w:val="center"/>
            <w:shd w:fill="EEF3F7"/>
          </w:tcPr>
          <w:p>
            <w:pPr>
              <w:spacing w:after="0"/>
            </w:pPr>
            <w:r>
              <w:rPr>
                <w:sz w:val="19"/>
              </w:rPr>
              <w:t>内容与第2轮故意完全相同；用于验证重复执行的幂等性</w:t>
            </w:r>
          </w:p>
        </w:tc>
      </w:tr>
      <w:tr>
        <w:tc>
          <w:tcPr>
            <w:tcW w:type="dxa" w:w="3515"/>
            <w:vAlign w:val="center"/>
            <w:shd w:fill="FFFFFF"/>
          </w:tcPr>
          <w:p>
            <w:pPr>
              <w:spacing w:after="0"/>
            </w:pPr>
            <w:r>
              <w:rPr>
                <w:sz w:val="19"/>
              </w:rPr>
              <w:t>项目交付台账-第4轮.xlsx</w:t>
            </w:r>
          </w:p>
        </w:tc>
        <w:tc>
          <w:tcPr>
            <w:tcW w:type="dxa" w:w="5669"/>
            <w:vAlign w:val="center"/>
            <w:shd w:fill="FFFFFF"/>
          </w:tcPr>
          <w:p>
            <w:pPr>
              <w:spacing w:after="0"/>
            </w:pPr>
            <w:r>
              <w:rPr>
                <w:sz w:val="19"/>
              </w:rPr>
              <w:t>第四轮业务数据；风险项目数量再次增加</w:t>
            </w:r>
          </w:p>
        </w:tc>
      </w:tr>
      <w:tr>
        <w:tc>
          <w:tcPr>
            <w:tcW w:type="dxa" w:w="3515"/>
            <w:vAlign w:val="center"/>
            <w:shd w:fill="EEF3F7"/>
          </w:tcPr>
          <w:p>
            <w:pPr>
              <w:spacing w:after="0"/>
            </w:pPr>
            <w:r>
              <w:rPr>
                <w:sz w:val="19"/>
              </w:rPr>
              <w:t>项目交付周报-测试版.docx</w:t>
            </w:r>
          </w:p>
        </w:tc>
        <w:tc>
          <w:tcPr>
            <w:tcW w:type="dxa" w:w="5669"/>
            <w:vAlign w:val="center"/>
            <w:shd w:fill="EEF3F7"/>
          </w:tcPr>
          <w:p>
            <w:pPr>
              <w:spacing w:after="0"/>
            </w:pPr>
            <w:r>
              <w:rPr>
                <w:sz w:val="19"/>
              </w:rPr>
              <w:t>Word 目标文件</w:t>
            </w:r>
          </w:p>
        </w:tc>
      </w:tr>
      <w:tr>
        <w:tc>
          <w:tcPr>
            <w:tcW w:type="dxa" w:w="3515"/>
            <w:vAlign w:val="center"/>
            <w:shd w:fill="FFFFFF"/>
          </w:tcPr>
          <w:p>
            <w:pPr>
              <w:spacing w:after="0"/>
            </w:pPr>
            <w:r>
              <w:rPr>
                <w:sz w:val="19"/>
              </w:rPr>
              <w:t>项目交付周会-测试版.pptx</w:t>
            </w:r>
          </w:p>
        </w:tc>
        <w:tc>
          <w:tcPr>
            <w:tcW w:type="dxa" w:w="5669"/>
            <w:vAlign w:val="center"/>
            <w:shd w:fill="FFFFFF"/>
          </w:tcPr>
          <w:p>
            <w:pPr>
              <w:spacing w:after="0"/>
            </w:pPr>
            <w:r>
              <w:rPr>
                <w:sz w:val="19"/>
              </w:rPr>
              <w:t>PPT 目标文件</w:t>
            </w:r>
          </w:p>
        </w:tc>
      </w:tr>
    </w:tbl>
    <w:p>
      <w:r>
        <w:t>Excel 的 4 个轮次文件都具有相同的工作表结构：项目跟进、风险跟踪、里程碑、上周快照、人员投入。测试过程中应始终保留“第1轮”文件作为实际工作文件；后续轮次文件只作为数据来源。</w:t>
      </w:r>
    </w:p>
    <w:p>
      <w:pPr>
        <w:pStyle w:val="Heading1"/>
      </w:pPr>
      <w:r>
        <w:t>2. 第一轮：建立绑定</w:t>
      </w:r>
    </w:p>
    <w:p>
      <w:r>
        <w:rPr>
          <w:b/>
        </w:rPr>
        <w:t>建议给 Agent 的用户请求：</w:t>
      </w:r>
    </w:p>
    <w:p>
      <w:pPr>
        <w:pStyle w:val="IntenseQuote"/>
      </w:pPr>
      <w:r>
        <w:t>请根据当前的项目交付台账更新项目交付周报和项目交付周会。周报和周会中已有的项目进展、本周变化、重点项目跟踪/重点关注、下周安排和资源协调都需要按最新数据更新。重点关注只保留中高风险且未关闭的项目。后续我还会继续维护这份台账，请把需要持续更新的数据关系做成可以重复重算和重写的变量及绑定。</w:t>
      </w:r>
    </w:p>
    <w:p>
      <w:r>
        <w:t>第一轮应观察以下业务结果（不要把这些内容告诉 Agent）：</w:t>
      </w:r>
    </w:p>
    <w:p>
      <w:pPr>
        <w:pStyle w:val="ListBullet"/>
      </w:pPr>
      <w:r>
        <w:t>风险跟踪中“经营数据集市”有两条风险记录，项目主表只有一条项目记录；结果应能把项目属性和多条风险合并，而不是生成两个重复项目。</w:t>
      </w:r>
    </w:p>
    <w:p>
      <w:pPr>
        <w:pStyle w:val="ListBullet"/>
      </w:pPr>
      <w:r>
        <w:t>项目跟进页的“当前阶段 / 下一节点 / 计划日期”应结合里程碑信息更新，而不是只复制项目主表中的“状态”。</w:t>
      </w:r>
    </w:p>
    <w:p>
      <w:pPr>
        <w:pStyle w:val="ListBullet"/>
      </w:pPr>
      <w:r>
        <w:t>“本周变化”应比较上周快照与当前项目明细，识别状态、计划日期、当前进展以及新增项目的变化。</w:t>
      </w:r>
    </w:p>
    <w:p>
      <w:pPr>
        <w:pStyle w:val="ListBullet"/>
      </w:pPr>
      <w:r>
        <w:t>“资源协调”应能发现同一人员跨多个项目的投入关系，并做汇总或管理层摘要。</w:t>
      </w:r>
    </w:p>
    <w:p>
      <w:pPr>
        <w:pStyle w:val="Heading1"/>
      </w:pPr>
      <w:r>
        <w:t>3. 多轮数据更新方法</w:t>
      </w:r>
    </w:p>
    <w:p>
      <w:r>
        <w:t>不要用第2/3/4轮文件替换正在测试的第1轮工作簿。绑定依赖同一个源文档。后续轮次只把数据复制到第1轮工作簿的对应工作表中。若使用 WPS 打开轮次文件复制数据，复制完成后先关闭轮次文件，再让 Agent 或变量面板执行重算/重写，避免同时出现多个同名数据源。</w:t>
      </w:r>
    </w:p>
    <w:tbl>
      <w:tblPr>
        <w:tblW w:type="auto" w:w="0"/>
        <w:jc w:val="center"/>
        <w:tblLayout w:type="fixed"/>
        <w:tblLook w:firstColumn="1" w:firstRow="1" w:lastColumn="0" w:lastRow="0" w:noHBand="0" w:noVBand="1" w:val="04A0"/>
      </w:tblPr>
      <w:tblGrid>
        <w:gridCol w:w="3324"/>
        <w:gridCol w:w="3324"/>
        <w:gridCol w:w="3324"/>
      </w:tblGrid>
      <w:tr>
        <w:tc>
          <w:tcPr>
            <w:tcW w:type="dxa" w:w="1134"/>
            <w:vAlign w:val="center"/>
            <w:shd w:fill="275977"/>
          </w:tcPr>
          <w:p>
            <w:pPr>
              <w:spacing w:after="0"/>
            </w:pPr>
            <w:r>
              <w:rPr>
                <w:b/>
                <w:color w:val="FFFFFF"/>
                <w:sz w:val="19"/>
              </w:rPr>
              <w:t>轮次</w:t>
            </w:r>
          </w:p>
        </w:tc>
        <w:tc>
          <w:tcPr>
            <w:tcW w:type="dxa" w:w="3402"/>
            <w:vAlign w:val="center"/>
            <w:shd w:fill="275977"/>
          </w:tcPr>
          <w:p>
            <w:pPr>
              <w:spacing w:after="0"/>
            </w:pPr>
            <w:r>
              <w:rPr>
                <w:b/>
                <w:color w:val="FFFFFF"/>
                <w:sz w:val="19"/>
              </w:rPr>
              <w:t>需要更新的工作表</w:t>
            </w:r>
          </w:p>
        </w:tc>
        <w:tc>
          <w:tcPr>
            <w:tcW w:type="dxa" w:w="4819"/>
            <w:vAlign w:val="center"/>
            <w:shd w:fill="275977"/>
          </w:tcPr>
          <w:p>
            <w:pPr>
              <w:spacing w:after="0"/>
            </w:pPr>
            <w:r>
              <w:rPr>
                <w:b/>
                <w:color w:val="FFFFFF"/>
                <w:sz w:val="19"/>
              </w:rPr>
              <w:t>操作</w:t>
            </w:r>
          </w:p>
        </w:tc>
      </w:tr>
      <w:tr>
        <w:tc>
          <w:tcPr>
            <w:tcW w:type="dxa" w:w="1134"/>
            <w:vAlign w:val="center"/>
            <w:shd w:fill="EEF3F7"/>
          </w:tcPr>
          <w:p>
            <w:pPr>
              <w:spacing w:after="0"/>
            </w:pPr>
            <w:r>
              <w:rPr>
                <w:sz w:val="19"/>
              </w:rPr>
              <w:t>第1轮</w:t>
            </w:r>
          </w:p>
        </w:tc>
        <w:tc>
          <w:tcPr>
            <w:tcW w:type="dxa" w:w="3402"/>
            <w:vAlign w:val="center"/>
            <w:shd w:fill="EEF3F7"/>
          </w:tcPr>
          <w:p>
            <w:pPr>
              <w:spacing w:after="0"/>
            </w:pPr>
            <w:r>
              <w:rPr>
                <w:sz w:val="19"/>
              </w:rPr>
              <w:t>全部</w:t>
            </w:r>
          </w:p>
        </w:tc>
        <w:tc>
          <w:tcPr>
            <w:tcW w:type="dxa" w:w="4819"/>
            <w:vAlign w:val="center"/>
            <w:shd w:fill="EEF3F7"/>
          </w:tcPr>
          <w:p>
            <w:pPr>
              <w:spacing w:after="0"/>
            </w:pPr>
            <w:r>
              <w:rPr>
                <w:sz w:val="19"/>
              </w:rPr>
              <w:t>直接使用第1轮 Excel 建立绑定并完成第一次重算、重写</w:t>
            </w:r>
          </w:p>
        </w:tc>
      </w:tr>
      <w:tr>
        <w:tc>
          <w:tcPr>
            <w:tcW w:type="dxa" w:w="1134"/>
            <w:vAlign w:val="center"/>
            <w:shd w:fill="FFFFFF"/>
          </w:tcPr>
          <w:p>
            <w:pPr>
              <w:spacing w:after="0"/>
            </w:pPr>
            <w:r>
              <w:rPr>
                <w:sz w:val="19"/>
              </w:rPr>
              <w:t>第2轮</w:t>
            </w:r>
          </w:p>
        </w:tc>
        <w:tc>
          <w:tcPr>
            <w:tcW w:type="dxa" w:w="3402"/>
            <w:vAlign w:val="center"/>
            <w:shd w:fill="FFFFFF"/>
          </w:tcPr>
          <w:p>
            <w:pPr>
              <w:spacing w:after="0"/>
            </w:pPr>
            <w:r>
              <w:rPr>
                <w:sz w:val="19"/>
              </w:rPr>
              <w:t>项目跟进、风险跟踪、里程碑</w:t>
            </w:r>
          </w:p>
        </w:tc>
        <w:tc>
          <w:tcPr>
            <w:tcW w:type="dxa" w:w="4819"/>
            <w:vAlign w:val="center"/>
            <w:shd w:fill="FFFFFF"/>
          </w:tcPr>
          <w:p>
            <w:pPr>
              <w:spacing w:after="0"/>
            </w:pPr>
            <w:r>
              <w:rPr>
                <w:sz w:val="19"/>
              </w:rPr>
              <w:t>把第2轮数据复制到正在测试的第1轮工作簿，然后只执行已有规则</w:t>
            </w:r>
          </w:p>
        </w:tc>
      </w:tr>
      <w:tr>
        <w:tc>
          <w:tcPr>
            <w:tcW w:type="dxa" w:w="1134"/>
            <w:vAlign w:val="center"/>
            <w:shd w:fill="EEF3F7"/>
          </w:tcPr>
          <w:p>
            <w:pPr>
              <w:spacing w:after="0"/>
            </w:pPr>
            <w:r>
              <w:rPr>
                <w:sz w:val="19"/>
              </w:rPr>
              <w:t>第3轮</w:t>
            </w:r>
          </w:p>
        </w:tc>
        <w:tc>
          <w:tcPr>
            <w:tcW w:type="dxa" w:w="3402"/>
            <w:vAlign w:val="center"/>
            <w:shd w:fill="EEF3F7"/>
          </w:tcPr>
          <w:p>
            <w:pPr>
              <w:spacing w:after="0"/>
            </w:pPr>
            <w:r>
              <w:rPr>
                <w:sz w:val="19"/>
              </w:rPr>
              <w:t>无需更新（与第2轮完全相同）</w:t>
            </w:r>
          </w:p>
        </w:tc>
        <w:tc>
          <w:tcPr>
            <w:tcW w:type="dxa" w:w="4819"/>
            <w:vAlign w:val="center"/>
            <w:shd w:fill="EEF3F7"/>
          </w:tcPr>
          <w:p>
            <w:pPr>
              <w:spacing w:after="0"/>
            </w:pPr>
            <w:r>
              <w:rPr>
                <w:sz w:val="19"/>
              </w:rPr>
              <w:t>不改任何源数据，连续执行重算→重写两次</w:t>
            </w:r>
          </w:p>
        </w:tc>
      </w:tr>
      <w:tr>
        <w:tc>
          <w:tcPr>
            <w:tcW w:type="dxa" w:w="1134"/>
            <w:vAlign w:val="center"/>
            <w:shd w:fill="FFFFFF"/>
          </w:tcPr>
          <w:p>
            <w:pPr>
              <w:spacing w:after="0"/>
            </w:pPr>
            <w:r>
              <w:rPr>
                <w:sz w:val="19"/>
              </w:rPr>
              <w:t>第4轮</w:t>
            </w:r>
          </w:p>
        </w:tc>
        <w:tc>
          <w:tcPr>
            <w:tcW w:type="dxa" w:w="3402"/>
            <w:vAlign w:val="center"/>
            <w:shd w:fill="FFFFFF"/>
          </w:tcPr>
          <w:p>
            <w:pPr>
              <w:spacing w:after="0"/>
            </w:pPr>
            <w:r>
              <w:rPr>
                <w:sz w:val="19"/>
              </w:rPr>
              <w:t>项目跟进、风险跟踪、里程碑</w:t>
            </w:r>
          </w:p>
        </w:tc>
        <w:tc>
          <w:tcPr>
            <w:tcW w:type="dxa" w:w="4819"/>
            <w:vAlign w:val="center"/>
            <w:shd w:fill="FFFFFF"/>
          </w:tcPr>
          <w:p>
            <w:pPr>
              <w:spacing w:after="0"/>
            </w:pPr>
            <w:r>
              <w:rPr>
                <w:sz w:val="19"/>
              </w:rPr>
              <w:t>把第4轮数据复制到正在测试的第1轮工作簿，然后执行已有规则</w:t>
            </w:r>
          </w:p>
        </w:tc>
      </w:tr>
    </w:tbl>
    <w:p>
      <w:pPr>
        <w:pStyle w:val="Heading1"/>
      </w:pPr>
      <w:r>
        <w:t>4. 复制粘贴范围</w:t>
      </w:r>
    </w:p>
    <w:p>
      <w:r>
        <w:t>建议使用“粘贴为值”。为了避免上一轮多出来的行残留，每次先清空目标数据区域，再粘贴本轮内容。</w:t>
      </w:r>
    </w:p>
    <w:tbl>
      <w:tblPr>
        <w:tblW w:type="auto" w:w="0"/>
        <w:jc w:val="center"/>
        <w:tblLayout w:type="fixed"/>
        <w:tblLook w:firstColumn="1" w:firstRow="1" w:lastColumn="0" w:lastRow="0" w:noHBand="0" w:noVBand="1" w:val="04A0"/>
      </w:tblPr>
      <w:tblGrid>
        <w:gridCol w:w="3324"/>
        <w:gridCol w:w="3324"/>
        <w:gridCol w:w="3324"/>
      </w:tblGrid>
      <w:tr>
        <w:tc>
          <w:tcPr>
            <w:tcW w:type="dxa" w:w="1814"/>
            <w:vAlign w:val="center"/>
            <w:shd w:fill="275977"/>
          </w:tcPr>
          <w:p>
            <w:pPr>
              <w:spacing w:after="0"/>
            </w:pPr>
            <w:r>
              <w:rPr>
                <w:b/>
                <w:color w:val="FFFFFF"/>
                <w:sz w:val="19"/>
              </w:rPr>
              <w:t>工作表</w:t>
            </w:r>
          </w:p>
        </w:tc>
        <w:tc>
          <w:tcPr>
            <w:tcW w:type="dxa" w:w="2551"/>
            <w:vAlign w:val="center"/>
            <w:shd w:fill="275977"/>
          </w:tcPr>
          <w:p>
            <w:pPr>
              <w:spacing w:after="0"/>
            </w:pPr>
            <w:r>
              <w:rPr>
                <w:b/>
                <w:color w:val="FFFFFF"/>
                <w:sz w:val="19"/>
              </w:rPr>
              <w:t>清理区域</w:t>
            </w:r>
          </w:p>
        </w:tc>
        <w:tc>
          <w:tcPr>
            <w:tcW w:type="dxa" w:w="4989"/>
            <w:vAlign w:val="center"/>
            <w:shd w:fill="275977"/>
          </w:tcPr>
          <w:p>
            <w:pPr>
              <w:spacing w:after="0"/>
            </w:pPr>
            <w:r>
              <w:rPr>
                <w:b/>
                <w:color w:val="FFFFFF"/>
                <w:sz w:val="19"/>
              </w:rPr>
              <w:t>复制区域</w:t>
            </w:r>
          </w:p>
        </w:tc>
      </w:tr>
      <w:tr>
        <w:tc>
          <w:tcPr>
            <w:tcW w:type="dxa" w:w="1814"/>
            <w:vAlign w:val="center"/>
            <w:shd w:fill="EEF3F7"/>
          </w:tcPr>
          <w:p>
            <w:pPr>
              <w:spacing w:after="0"/>
            </w:pPr>
            <w:r>
              <w:rPr>
                <w:sz w:val="19"/>
              </w:rPr>
              <w:t>项目跟进</w:t>
            </w:r>
          </w:p>
        </w:tc>
        <w:tc>
          <w:tcPr>
            <w:tcW w:type="dxa" w:w="2551"/>
            <w:vAlign w:val="center"/>
            <w:shd w:fill="EEF3F7"/>
          </w:tcPr>
          <w:p>
            <w:pPr>
              <w:spacing w:after="0"/>
            </w:pPr>
            <w:r>
              <w:rPr>
                <w:sz w:val="19"/>
              </w:rPr>
              <w:t>A13:G21</w:t>
            </w:r>
          </w:p>
        </w:tc>
        <w:tc>
          <w:tcPr>
            <w:tcW w:type="dxa" w:w="4989"/>
            <w:vAlign w:val="center"/>
            <w:shd w:fill="EEF3F7"/>
          </w:tcPr>
          <w:p>
            <w:pPr>
              <w:spacing w:after="0"/>
            </w:pPr>
            <w:r>
              <w:rPr>
                <w:sz w:val="19"/>
              </w:rPr>
              <w:t>对应轮次文件 A13:G21</w:t>
            </w:r>
          </w:p>
        </w:tc>
      </w:tr>
      <w:tr>
        <w:tc>
          <w:tcPr>
            <w:tcW w:type="dxa" w:w="1814"/>
            <w:vAlign w:val="center"/>
            <w:shd w:fill="FFFFFF"/>
          </w:tcPr>
          <w:p>
            <w:pPr>
              <w:spacing w:after="0"/>
            </w:pPr>
            <w:r>
              <w:rPr>
                <w:sz w:val="19"/>
              </w:rPr>
              <w:t>风险跟踪</w:t>
            </w:r>
          </w:p>
        </w:tc>
        <w:tc>
          <w:tcPr>
            <w:tcW w:type="dxa" w:w="2551"/>
            <w:vAlign w:val="center"/>
            <w:shd w:fill="FFFFFF"/>
          </w:tcPr>
          <w:p>
            <w:pPr>
              <w:spacing w:after="0"/>
            </w:pPr>
            <w:r>
              <w:rPr>
                <w:sz w:val="19"/>
              </w:rPr>
              <w:t>A4:G20</w:t>
            </w:r>
          </w:p>
        </w:tc>
        <w:tc>
          <w:tcPr>
            <w:tcW w:type="dxa" w:w="4989"/>
            <w:vAlign w:val="center"/>
            <w:shd w:fill="FFFFFF"/>
          </w:tcPr>
          <w:p>
            <w:pPr>
              <w:spacing w:after="0"/>
            </w:pPr>
            <w:r>
              <w:rPr>
                <w:sz w:val="19"/>
              </w:rPr>
              <w:t>第2轮 A4:G8；第4轮 A4:G9</w:t>
            </w:r>
          </w:p>
        </w:tc>
      </w:tr>
      <w:tr>
        <w:tc>
          <w:tcPr>
            <w:tcW w:type="dxa" w:w="1814"/>
            <w:vAlign w:val="center"/>
            <w:shd w:fill="EEF3F7"/>
          </w:tcPr>
          <w:p>
            <w:pPr>
              <w:spacing w:after="0"/>
            </w:pPr>
            <w:r>
              <w:rPr>
                <w:sz w:val="19"/>
              </w:rPr>
              <w:t>里程碑</w:t>
            </w:r>
          </w:p>
        </w:tc>
        <w:tc>
          <w:tcPr>
            <w:tcW w:type="dxa" w:w="2551"/>
            <w:vAlign w:val="center"/>
            <w:shd w:fill="EEF3F7"/>
          </w:tcPr>
          <w:p>
            <w:pPr>
              <w:spacing w:after="0"/>
            </w:pPr>
            <w:r>
              <w:rPr>
                <w:sz w:val="19"/>
              </w:rPr>
              <w:t>A4:F20</w:t>
            </w:r>
          </w:p>
        </w:tc>
        <w:tc>
          <w:tcPr>
            <w:tcW w:type="dxa" w:w="4989"/>
            <w:vAlign w:val="center"/>
            <w:shd w:fill="EEF3F7"/>
          </w:tcPr>
          <w:p>
            <w:pPr>
              <w:spacing w:after="0"/>
            </w:pPr>
            <w:r>
              <w:rPr>
                <w:sz w:val="19"/>
              </w:rPr>
              <w:t>对应轮次文件 A4:F15</w:t>
            </w:r>
          </w:p>
        </w:tc>
      </w:tr>
      <w:tr>
        <w:tc>
          <w:tcPr>
            <w:tcW w:type="dxa" w:w="1814"/>
            <w:vAlign w:val="center"/>
            <w:shd w:fill="FFFFFF"/>
          </w:tcPr>
          <w:p>
            <w:pPr>
              <w:spacing w:after="0"/>
            </w:pPr>
            <w:r>
              <w:rPr>
                <w:sz w:val="19"/>
              </w:rPr>
              <w:t>上周快照</w:t>
            </w:r>
          </w:p>
        </w:tc>
        <w:tc>
          <w:tcPr>
            <w:tcW w:type="dxa" w:w="2551"/>
            <w:vAlign w:val="center"/>
            <w:shd w:fill="FFFFFF"/>
          </w:tcPr>
          <w:p>
            <w:pPr>
              <w:spacing w:after="0"/>
            </w:pPr>
            <w:r>
              <w:rPr>
                <w:sz w:val="19"/>
              </w:rPr>
              <w:t>不变</w:t>
            </w:r>
          </w:p>
        </w:tc>
        <w:tc>
          <w:tcPr>
            <w:tcW w:type="dxa" w:w="4989"/>
            <w:vAlign w:val="center"/>
            <w:shd w:fill="FFFFFF"/>
          </w:tcPr>
          <w:p>
            <w:pPr>
              <w:spacing w:after="0"/>
            </w:pPr>
            <w:r>
              <w:rPr>
                <w:sz w:val="19"/>
              </w:rPr>
              <w:t>不用复制</w:t>
            </w:r>
          </w:p>
        </w:tc>
      </w:tr>
      <w:tr>
        <w:tc>
          <w:tcPr>
            <w:tcW w:type="dxa" w:w="1814"/>
            <w:vAlign w:val="center"/>
            <w:shd w:fill="EEF3F7"/>
          </w:tcPr>
          <w:p>
            <w:pPr>
              <w:spacing w:after="0"/>
            </w:pPr>
            <w:r>
              <w:rPr>
                <w:sz w:val="19"/>
              </w:rPr>
              <w:t>人员投入</w:t>
            </w:r>
          </w:p>
        </w:tc>
        <w:tc>
          <w:tcPr>
            <w:tcW w:type="dxa" w:w="2551"/>
            <w:vAlign w:val="center"/>
            <w:shd w:fill="EEF3F7"/>
          </w:tcPr>
          <w:p>
            <w:pPr>
              <w:spacing w:after="0"/>
            </w:pPr>
            <w:r>
              <w:rPr>
                <w:sz w:val="19"/>
              </w:rPr>
              <w:t>不变</w:t>
            </w:r>
          </w:p>
        </w:tc>
        <w:tc>
          <w:tcPr>
            <w:tcW w:type="dxa" w:w="4989"/>
            <w:vAlign w:val="center"/>
            <w:shd w:fill="EEF3F7"/>
          </w:tcPr>
          <w:p>
            <w:pPr>
              <w:spacing w:after="0"/>
            </w:pPr>
            <w:r>
              <w:rPr>
                <w:sz w:val="19"/>
              </w:rPr>
              <w:t>不用复制</w:t>
            </w:r>
          </w:p>
        </w:tc>
      </w:tr>
    </w:tbl>
    <w:p>
      <w:pPr>
        <w:pStyle w:val="Heading1"/>
      </w:pPr>
      <w:r>
        <w:t>5. 第2轮：验证“重算”和“重写”分离</w:t>
      </w:r>
    </w:p>
    <w:p>
      <w:r>
        <w:t>完成第2轮数据粘贴后：</w:t>
      </w:r>
    </w:p>
    <w:p>
      <w:pPr>
        <w:pStyle w:val="ListNumber"/>
      </w:pPr>
      <w:r>
        <w:t>先只执行“重算”。检查变量当前值已经变化；此时 Word/PPT 应仍保持第一轮写入结果。</w:t>
      </w:r>
    </w:p>
    <w:p>
      <w:pPr>
        <w:pStyle w:val="ListNumber"/>
      </w:pPr>
      <w:r>
        <w:t>再执行“重写”。Word/PPT 才应更新为第二轮结果。</w:t>
      </w:r>
    </w:p>
    <w:p>
      <w:pPr>
        <w:pStyle w:val="ListNumber"/>
      </w:pPr>
      <w:r>
        <w:t>重点关注项目的业务集合应从第一轮的 3 个项目（经营数据集市、供应链协同、合同审批）缩减为 1 个项目（经营数据集市）。</w:t>
      </w:r>
    </w:p>
    <w:p>
      <w:pPr>
        <w:pStyle w:val="ListNumber"/>
      </w:pPr>
      <w:r>
        <w:t>经营数据集市有两条未关闭的中风险事项，但目标“重点项目跟踪/重点关注”不应因为两条风险而残留两份相同项目；具体呈现可以是一条项目下包含两条事项。</w:t>
      </w:r>
    </w:p>
    <w:p>
      <w:pPr>
        <w:pStyle w:val="Heading1"/>
      </w:pPr>
      <w:r>
        <w:t>6. 第3轮：验证重复执行幂等</w:t>
      </w:r>
    </w:p>
    <w:p>
      <w:r>
        <w:t>第3轮 Excel 与第2轮故意完全一致。不要修改工作文件，直接连续执行：</w:t>
      </w:r>
    </w:p>
    <w:p>
      <w:r>
        <w:rPr>
          <w:b/>
          <w:sz w:val="24"/>
        </w:rPr>
        <w:t>重算 → 重写 → 重算 → 重写</w:t>
      </w:r>
    </w:p>
    <w:p>
      <w:r>
        <w:t>执行完成后应满足：</w:t>
      </w:r>
    </w:p>
    <w:p>
      <w:pPr>
        <w:pStyle w:val="ListBullet"/>
      </w:pPr>
      <w:r>
        <w:t>Word 不新增重复段落、重复表格行或重复标题。</w:t>
      </w:r>
    </w:p>
    <w:p>
      <w:pPr>
        <w:pStyle w:val="ListBullet"/>
      </w:pPr>
      <w:r>
        <w:t>PPT 不新增重复文本框、重复项目行或重复卡片。</w:t>
      </w:r>
    </w:p>
    <w:p>
      <w:pPr>
        <w:pStyle w:val="ListBullet"/>
      </w:pPr>
      <w:r>
        <w:t>已经被清掉的供应链协同、合同审批重点关注内容不能重新出现。</w:t>
      </w:r>
    </w:p>
    <w:p>
      <w:pPr>
        <w:pStyle w:val="ListBullet"/>
      </w:pPr>
      <w:r>
        <w:t>字体、颜色、边框、表格高度等不应因为重复执行持续漂移。</w:t>
      </w:r>
    </w:p>
    <w:p>
      <w:pPr>
        <w:pStyle w:val="Heading1"/>
      </w:pPr>
      <w:r>
        <w:t>7. 第4轮：验证目标集合再次扩大</w:t>
      </w:r>
    </w:p>
    <w:p>
      <w:r>
        <w:t>粘贴第4轮数据后执行已有的重算和重写。此轮在保留经营数据集市的同时，消息中心风险上调为中风险，并新增客户工作台中风险事项。</w:t>
      </w:r>
    </w:p>
    <w:p>
      <w:r>
        <w:t>重点关注业务集合应从第3轮的 1 个项目重新扩大到 3 个项目：</w:t>
      </w:r>
    </w:p>
    <w:p>
      <w:pPr>
        <w:pStyle w:val="ListBullet"/>
      </w:pPr>
      <w:r>
        <w:t>经营数据集市</w:t>
      </w:r>
    </w:p>
    <w:p>
      <w:pPr>
        <w:pStyle w:val="ListBullet"/>
      </w:pPr>
      <w:r>
        <w:t>消息中心</w:t>
      </w:r>
    </w:p>
    <w:p>
      <w:pPr>
        <w:pStyle w:val="ListBullet"/>
      </w:pPr>
      <w:r>
        <w:t>客户工作台</w:t>
      </w:r>
    </w:p>
    <w:p>
      <w:pPr>
        <w:pStyle w:val="Heading1"/>
      </w:pPr>
      <w:r>
        <w:t>8. 场景 5 的核心验收</w:t>
      </w:r>
    </w:p>
    <w:p>
      <w:r>
        <w:t>重点不是 Agent 能否再次生成代码，而是第一次建立的绑定能否长期复用。从第2轮开始，不应要求 Agent 重建 Variable、Transform 或 Render；只运行保存下来的规则。</w:t>
      </w:r>
    </w:p>
    <w:tbl>
      <w:tblPr>
        <w:tblW w:type="auto" w:w="0"/>
        <w:jc w:val="center"/>
        <w:tblLayout w:type="fixed"/>
        <w:tblLook w:firstColumn="1" w:firstRow="1" w:lastColumn="0" w:lastRow="0" w:noHBand="0" w:noVBand="1" w:val="04A0"/>
      </w:tblPr>
      <w:tblGrid>
        <w:gridCol w:w="4986"/>
        <w:gridCol w:w="4986"/>
      </w:tblGrid>
      <w:tr>
        <w:tc>
          <w:tcPr>
            <w:tcW w:type="dxa" w:w="2381"/>
            <w:vAlign w:val="center"/>
            <w:shd w:fill="275977"/>
          </w:tcPr>
          <w:p>
            <w:pPr>
              <w:spacing w:after="0"/>
            </w:pPr>
            <w:r>
              <w:rPr>
                <w:b/>
                <w:color w:val="FFFFFF"/>
                <w:sz w:val="19"/>
              </w:rPr>
              <w:t>检查项</w:t>
            </w:r>
          </w:p>
        </w:tc>
        <w:tc>
          <w:tcPr>
            <w:tcW w:type="dxa" w:w="6803"/>
            <w:vAlign w:val="center"/>
            <w:shd w:fill="275977"/>
          </w:tcPr>
          <w:p>
            <w:pPr>
              <w:spacing w:after="0"/>
            </w:pPr>
            <w:r>
              <w:rPr>
                <w:b/>
                <w:color w:val="FFFFFF"/>
                <w:sz w:val="19"/>
              </w:rPr>
              <w:t>通过表现</w:t>
            </w:r>
          </w:p>
        </w:tc>
      </w:tr>
      <w:tr>
        <w:tc>
          <w:tcPr>
            <w:tcW w:type="dxa" w:w="2381"/>
            <w:vAlign w:val="center"/>
            <w:shd w:fill="EEF3F7"/>
          </w:tcPr>
          <w:p>
            <w:pPr>
              <w:spacing w:after="0"/>
            </w:pPr>
            <w:r>
              <w:rPr>
                <w:sz w:val="19"/>
              </w:rPr>
              <w:t>Transform</w:t>
            </w:r>
          </w:p>
        </w:tc>
        <w:tc>
          <w:tcPr>
            <w:tcW w:type="dxa" w:w="6803"/>
            <w:vAlign w:val="center"/>
            <w:shd w:fill="EEF3F7"/>
          </w:tcPr>
          <w:p>
            <w:pPr>
              <w:spacing w:after="0"/>
            </w:pPr>
            <w:r>
              <w:rPr>
                <w:sz w:val="19"/>
              </w:rPr>
              <w:t>每次重算都重新读取当前 Excel，并覆盖变量当前值</w:t>
            </w:r>
          </w:p>
        </w:tc>
      </w:tr>
      <w:tr>
        <w:tc>
          <w:tcPr>
            <w:tcW w:type="dxa" w:w="2381"/>
            <w:vAlign w:val="center"/>
            <w:shd w:fill="FFFFFF"/>
          </w:tcPr>
          <w:p>
            <w:pPr>
              <w:spacing w:after="0"/>
            </w:pPr>
            <w:r>
              <w:rPr>
                <w:sz w:val="19"/>
              </w:rPr>
              <w:t>Render 数据来源</w:t>
            </w:r>
          </w:p>
        </w:tc>
        <w:tc>
          <w:tcPr>
            <w:tcW w:type="dxa" w:w="6803"/>
            <w:vAlign w:val="center"/>
            <w:shd w:fill="FFFFFF"/>
          </w:tcPr>
          <w:p>
            <w:pPr>
              <w:spacing w:after="0"/>
            </w:pPr>
            <w:r>
              <w:rPr>
                <w:sz w:val="19"/>
              </w:rPr>
              <w:t>Render 每次从最新 variable.value 读取数据，而不是把第一轮业务值写死在代码中</w:t>
            </w:r>
          </w:p>
        </w:tc>
      </w:tr>
      <w:tr>
        <w:tc>
          <w:tcPr>
            <w:tcW w:type="dxa" w:w="2381"/>
            <w:vAlign w:val="center"/>
            <w:shd w:fill="EEF3F7"/>
          </w:tcPr>
          <w:p>
            <w:pPr>
              <w:spacing w:after="0"/>
            </w:pPr>
            <w:r>
              <w:rPr>
                <w:sz w:val="19"/>
              </w:rPr>
              <w:t>覆盖语义</w:t>
            </w:r>
          </w:p>
        </w:tc>
        <w:tc>
          <w:tcPr>
            <w:tcW w:type="dxa" w:w="6803"/>
            <w:vAlign w:val="center"/>
            <w:shd w:fill="EEF3F7"/>
          </w:tcPr>
          <w:p>
            <w:pPr>
              <w:spacing w:after="0"/>
            </w:pPr>
            <w:r>
              <w:rPr>
                <w:sz w:val="19"/>
              </w:rPr>
              <w:t>目标数据由 3 条变 1 条时，旧的 2 条能被清理；由 1 条变 3 条时能正常扩展</w:t>
            </w:r>
          </w:p>
        </w:tc>
      </w:tr>
      <w:tr>
        <w:tc>
          <w:tcPr>
            <w:tcW w:type="dxa" w:w="2381"/>
            <w:vAlign w:val="center"/>
            <w:shd w:fill="FFFFFF"/>
          </w:tcPr>
          <w:p>
            <w:pPr>
              <w:spacing w:after="0"/>
            </w:pPr>
            <w:r>
              <w:rPr>
                <w:sz w:val="19"/>
              </w:rPr>
              <w:t>幂等性</w:t>
            </w:r>
          </w:p>
        </w:tc>
        <w:tc>
          <w:tcPr>
            <w:tcW w:type="dxa" w:w="6803"/>
            <w:vAlign w:val="center"/>
            <w:shd w:fill="FFFFFF"/>
          </w:tcPr>
          <w:p>
            <w:pPr>
              <w:spacing w:after="0"/>
            </w:pPr>
            <w:r>
              <w:rPr>
                <w:sz w:val="19"/>
              </w:rPr>
              <w:t>同样的数据连续重写，文档最终状态不变</w:t>
            </w:r>
          </w:p>
        </w:tc>
      </w:tr>
      <w:tr>
        <w:tc>
          <w:tcPr>
            <w:tcW w:type="dxa" w:w="2381"/>
            <w:vAlign w:val="center"/>
            <w:shd w:fill="EEF3F7"/>
          </w:tcPr>
          <w:p>
            <w:pPr>
              <w:spacing w:after="0"/>
            </w:pPr>
            <w:r>
              <w:rPr>
                <w:sz w:val="19"/>
              </w:rPr>
              <w:t>绑定生命周期</w:t>
            </w:r>
          </w:p>
        </w:tc>
        <w:tc>
          <w:tcPr>
            <w:tcW w:type="dxa" w:w="6803"/>
            <w:vAlign w:val="center"/>
            <w:shd w:fill="EEF3F7"/>
          </w:tcPr>
          <w:p>
            <w:pPr>
              <w:spacing w:after="0"/>
            </w:pPr>
            <w:r>
              <w:rPr>
                <w:sz w:val="19"/>
              </w:rPr>
              <w:t>第2～4轮不需要重新让 Agent 创建绑定</w:t>
            </w:r>
          </w:p>
        </w:tc>
      </w:tr>
    </w:tbl>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