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2303A"/>
          <w:sz w:val="48"/>
          <w:szCs w:val="48"/>
        </w:rPr>
        <w:t xml:space="preserve">Hidden adverse-event signals in tirzepatide reports</w:t>
      </w:r>
    </w:p>
    <w:p>
      <w:pPr>
        <w:spacing w:after="240"/>
      </w:pPr>
      <w:r>
        <w:rPr>
          <w:rFonts w:ascii="Calibri" w:cs="Calibri" w:eastAsia="Calibri" w:hAnsi="Calibri"/>
          <w:color w:val="0B6E6E"/>
          <w:sz w:val="30"/>
          <w:szCs w:val="30"/>
        </w:rPr>
        <w:t xml:space="preserve">A stratified disproportionality analysis of FDA FAERS, 2025 Q1–Q4</w:t>
      </w:r>
    </w:p>
    <w:p>
      <w:pPr>
        <w:spacing w:after="120" w:line="300"/>
      </w:pPr>
      <w:r>
        <w:rPr>
          <w:rFonts w:ascii="Calibri" w:cs="Calibri" w:eastAsia="Calibri" w:hAnsi="Calibri"/>
          <w:sz w:val="22"/>
          <w:szCs w:val="22"/>
        </w:rPr>
        <w:t xml:space="preserve">Humphery Chinedu Eloke · Pharmacology · Pharmacovigilance portfolio project</w:t>
      </w:r>
    </w:p>
    <w:p>
      <w:pPr>
        <w:spacing w:after="120" w:line="300"/>
      </w:pPr>
      <w:r>
        <w:rPr>
          <w:rFonts w:ascii="Calibri" w:cs="Calibri" w:eastAsia="Calibri" w:hAnsi="Calibri"/>
          <w:sz w:val="22"/>
          <w:szCs w:val="22"/>
        </w:rPr>
        <w:t xml:space="preserve">Tools: MySQL (all cleaning and analysis), Power BI / interactive HTML dashboard, Excel</w:t>
      </w:r>
    </w:p>
    <w:p>
      <w:pPr>
        <w:spacing w:after="120" w:line="300"/>
      </w:pPr>
      <w:r>
        <w:rPr>
          <w:rFonts w:ascii="Calibri" w:cs="Calibri" w:eastAsia="Calibri" w:hAnsi="Calibri"/>
          <w:sz w:val="22"/>
          <w:szCs w:val="22"/>
        </w:rPr>
        <w:t xml:space="preserve">Code and data pipeline: see the project repository (sql/ folder, scripts 00–15).</w:t>
      </w:r>
    </w:p>
    <w:p>
      <w:pPr>
        <w:spacing w:after="80"/>
      </w:pPr>
    </w:p>
    <w:p>
      <w:pPr>
        <w:pStyle w:val="Heading1"/>
        <w:spacing w:after="120" w:before="320"/>
      </w:pPr>
      <w:r>
        <w:rPr>
          <w:rFonts w:ascii="Calibri" w:cs="Calibri" w:eastAsia="Calibri" w:hAnsi="Calibri"/>
          <w:b/>
          <w:bCs/>
          <w:color w:val="12303A"/>
          <w:sz w:val="30"/>
          <w:szCs w:val="30"/>
        </w:rPr>
        <w:t xml:space="preserve">1. Summary</w:t>
      </w:r>
    </w:p>
    <w:p>
      <w:pPr>
        <w:spacing w:after="120" w:line="300"/>
      </w:pPr>
      <w:r>
        <w:rPr>
          <w:rFonts w:ascii="Calibri" w:cs="Calibri" w:eastAsia="Calibri" w:hAnsi="Calibri"/>
          <w:sz w:val="22"/>
          <w:szCs w:val="22"/>
        </w:rPr>
        <w:t xml:space="preserve">Spontaneous-report databases are normally screened for the whole reporting population at once. An adverse event that is only over-reported in one group, for example one sex, one age band, one region or one type of reporter, can look unremarkable in the pooled analysis and be missed. I set out to find those “hidden” subgroup signals for tirzepatide (Mounjaro / Zepbound) using the four 2025 quarterly FAERS files, starting from the raw ASCII downloads.</w:t>
      </w:r>
    </w:p>
    <w:p>
      <w:pPr>
        <w:pStyle w:val="ListParagraph"/>
        <w:numPr>
          <w:ilvl w:val="0"/>
          <w:numId w:val="2"/>
        </w:numPr>
        <w:spacing w:after="60" w:line="290"/>
      </w:pPr>
      <w:r>
        <w:rPr>
          <w:rFonts w:ascii="Calibri" w:cs="Calibri" w:eastAsia="Calibri" w:hAnsi="Calibri"/>
          <w:b/>
          <w:bCs/>
          <w:sz w:val="22"/>
          <w:szCs w:val="22"/>
        </w:rPr>
        <w:t xml:space="preserve">Data: </w:t>
      </w:r>
      <w:r>
        <w:rPr>
          <w:rFonts w:ascii="Calibri" w:cs="Calibri" w:eastAsia="Calibri" w:hAnsi="Calibri"/>
          <w:sz w:val="22"/>
          <w:szCs w:val="22"/>
        </w:rPr>
        <w:t xml:space="preserve">1,617,444 raw report rows were reduced to 1,465,808 unique cases after removing FDA-deleted cases, keeping the latest version of each case and dropping 25,729 probable cross-source duplicates (1,440,079 cases analysed). Tirzepatide was the primary suspect drug in 58,877 cases.</w:t>
      </w:r>
    </w:p>
    <w:p>
      <w:pPr>
        <w:pStyle w:val="ListParagraph"/>
        <w:numPr>
          <w:ilvl w:val="0"/>
          <w:numId w:val="2"/>
        </w:numPr>
        <w:spacing w:after="60" w:line="290"/>
      </w:pPr>
      <w:r>
        <w:rPr>
          <w:rFonts w:ascii="Calibri" w:cs="Calibri" w:eastAsia="Calibri" w:hAnsi="Calibri"/>
          <w:b/>
          <w:bCs/>
          <w:sz w:val="22"/>
          <w:szCs w:val="22"/>
        </w:rPr>
        <w:t xml:space="preserve">Screening: </w:t>
      </w:r>
      <w:r>
        <w:rPr>
          <w:rFonts w:ascii="Calibri" w:cs="Calibri" w:eastAsia="Calibri" w:hAnsi="Calibri"/>
          <w:sz w:val="22"/>
          <w:szCs w:val="22"/>
        </w:rPr>
        <w:t xml:space="preserve">1,406 adverse-event terms (MedDRA Preferred Terms with at least 3 tirzepatide cases) were tested overall and in every subgroup. 168 terms (11.9%) were disproportionately reported overall.</w:t>
      </w:r>
    </w:p>
    <w:p>
      <w:pPr>
        <w:pStyle w:val="ListParagraph"/>
        <w:numPr>
          <w:ilvl w:val="0"/>
          <w:numId w:val="2"/>
        </w:numPr>
        <w:spacing w:after="60" w:line="290"/>
      </w:pPr>
      <w:r>
        <w:rPr>
          <w:rFonts w:ascii="Calibri" w:cs="Calibri" w:eastAsia="Calibri" w:hAnsi="Calibri"/>
          <w:b/>
          <w:bCs/>
          <w:sz w:val="22"/>
          <w:szCs w:val="22"/>
        </w:rPr>
        <w:t xml:space="preserve">Hidden signals: </w:t>
      </w:r>
      <w:r>
        <w:rPr>
          <w:rFonts w:ascii="Calibri" w:cs="Calibri" w:eastAsia="Calibri" w:hAnsi="Calibri"/>
          <w:sz w:val="22"/>
          <w:szCs w:val="22"/>
        </w:rPr>
        <w:t xml:space="preserve">160 terms (11.4%) were not detected overall but were detected in at least one subgroup, giving 250 event-by-subgroup findings.</w:t>
      </w:r>
    </w:p>
    <w:p>
      <w:pPr>
        <w:pStyle w:val="ListParagraph"/>
        <w:numPr>
          <w:ilvl w:val="0"/>
          <w:numId w:val="2"/>
        </w:numPr>
        <w:spacing w:after="60" w:line="290"/>
      </w:pPr>
      <w:r>
        <w:rPr>
          <w:rFonts w:ascii="Calibri" w:cs="Calibri" w:eastAsia="Calibri" w:hAnsi="Calibri"/>
          <w:b/>
          <w:bCs/>
          <w:sz w:val="22"/>
          <w:szCs w:val="22"/>
        </w:rPr>
        <w:t xml:space="preserve">Evidence grading: </w:t>
      </w:r>
      <w:r>
        <w:rPr>
          <w:rFonts w:ascii="Calibri" w:cs="Calibri" w:eastAsia="Calibri" w:hAnsi="Calibri"/>
          <w:sz w:val="22"/>
          <w:szCs w:val="22"/>
        </w:rPr>
        <w:t xml:space="preserve">101 findings passed all five robustness checks (tier H3), 48 passed the three core checks (H2) and 101 were candidates only (H1).</w:t>
      </w:r>
    </w:p>
    <w:p>
      <w:pPr>
        <w:pStyle w:val="ListParagraph"/>
        <w:numPr>
          <w:ilvl w:val="0"/>
          <w:numId w:val="2"/>
        </w:numPr>
        <w:spacing w:after="60" w:line="290"/>
      </w:pPr>
      <w:r>
        <w:rPr>
          <w:rFonts w:ascii="Calibri" w:cs="Calibri" w:eastAsia="Calibri" w:hAnsi="Calibri"/>
          <w:b/>
          <w:bCs/>
          <w:sz w:val="22"/>
          <w:szCs w:val="22"/>
        </w:rPr>
        <w:t xml:space="preserve">Where they are: </w:t>
      </w:r>
      <w:r>
        <w:rPr>
          <w:rFonts w:ascii="Calibri" w:cs="Calibri" w:eastAsia="Calibri" w:hAnsi="Calibri"/>
          <w:sz w:val="22"/>
          <w:szCs w:val="22"/>
        </w:rPr>
        <w:t xml:space="preserve">Most hidden findings sit in region (116) and reporter-type (53) subgroups. These mainly reflect how cases are reported, so I rank them below patient-characteristic findings. Seven findings (six events) are robust and sit in sex, age or indication subgroups; these are my highest-priority candidates for further review.</w:t>
      </w:r>
    </w:p>
    <w:p>
      <w:pPr>
        <w:spacing w:after="120" w:line="300"/>
      </w:pPr>
      <w:r>
        <w:rPr>
          <w:rFonts w:ascii="Calibri" w:cs="Calibri" w:eastAsia="Calibri" w:hAnsi="Calibri"/>
          <w:sz w:val="22"/>
          <w:szCs w:val="22"/>
        </w:rPr>
        <w:t xml:space="preserve">None of this establishes that tirzepatide causes any of these events. FAERS has no denominator, under-reports, and contains reports from consumers, manufacturers and clinicians of mixed quality. The output is a prioritised list of questions for a safety physician, not a list of risks.</w:t>
      </w:r>
    </w:p>
    <w:p>
      <w:pPr>
        <w:pStyle w:val="Heading1"/>
        <w:spacing w:after="120" w:before="320"/>
      </w:pPr>
      <w:r>
        <w:rPr>
          <w:rFonts w:ascii="Calibri" w:cs="Calibri" w:eastAsia="Calibri" w:hAnsi="Calibri"/>
          <w:b/>
          <w:bCs/>
          <w:color w:val="12303A"/>
          <w:sz w:val="30"/>
          <w:szCs w:val="30"/>
        </w:rPr>
        <w:t xml:space="preserve">2. Background and objective</w:t>
      </w:r>
    </w:p>
    <w:p>
      <w:pPr>
        <w:spacing w:after="120" w:line="300"/>
      </w:pPr>
      <w:r>
        <w:rPr>
          <w:rFonts w:ascii="Calibri" w:cs="Calibri" w:eastAsia="Calibri" w:hAnsi="Calibri"/>
          <w:sz w:val="22"/>
          <w:szCs w:val="22"/>
        </w:rPr>
        <w:t xml:space="preserve">Tirzepatide is a dual GIP/GLP-1 receptor agonist approved for type 2 diabetes (Mounjaro) and for weight management (Zepbound). Reporting rose steeply through 2025 as use expanded. Signal detection in pharmacovigilance normally relies on disproportionality analysis, which asks whether an event is reported more often with one drug than with all other drugs in the database. Regulators and the CIOMS working group recommend examining subgroups, because a pooled estimate can hide a real effect in one stratum and can also be driven by one stratum alone.</w:t>
      </w:r>
    </w:p>
    <w:p>
      <w:pPr>
        <w:spacing w:after="120" w:line="300"/>
      </w:pPr>
      <w:r>
        <w:rPr>
          <w:rFonts w:ascii="Calibri" w:cs="Calibri" w:eastAsia="Calibri" w:hAnsi="Calibri"/>
          <w:b/>
          <w:bCs/>
          <w:sz w:val="22"/>
          <w:szCs w:val="22"/>
        </w:rPr>
        <w:t xml:space="preserve">Objective: </w:t>
      </w:r>
      <w:r>
        <w:rPr>
          <w:rFonts w:ascii="Calibri" w:cs="Calibri" w:eastAsia="Calibri" w:hAnsi="Calibri"/>
          <w:sz w:val="22"/>
          <w:szCs w:val="22"/>
        </w:rPr>
        <w:t xml:space="preserve">to identify adverse events whose disproportionate reporting with tirzepatide is concentrated in a patient or reporting subgroup, grade how well each finding holds up, and present the result as a ranked, reviewable list.</w:t>
      </w:r>
    </w:p>
    <w:p>
      <w:pPr>
        <w:spacing w:after="120" w:line="300"/>
      </w:pPr>
      <w:r>
        <w:rPr>
          <w:rFonts w:ascii="Calibri" w:cs="Calibri" w:eastAsia="Calibri" w:hAnsi="Calibri"/>
          <w:b/>
          <w:bCs/>
          <w:sz w:val="22"/>
          <w:szCs w:val="22"/>
        </w:rPr>
        <w:t xml:space="preserve">Intended user: </w:t>
      </w:r>
      <w:r>
        <w:rPr>
          <w:rFonts w:ascii="Calibri" w:cs="Calibri" w:eastAsia="Calibri" w:hAnsi="Calibri"/>
          <w:sz w:val="22"/>
          <w:szCs w:val="22"/>
        </w:rPr>
        <w:t xml:space="preserve">a pharmacovigilance scientist or safety physician deciding which event–subgroup combinations deserve case review, label comparison or a targeted literature search.</w:t>
      </w:r>
    </w:p>
    <w:p>
      <w:pPr>
        <w:pStyle w:val="Heading1"/>
        <w:spacing w:after="120" w:before="320"/>
      </w:pPr>
      <w:r>
        <w:rPr>
          <w:rFonts w:ascii="Calibri" w:cs="Calibri" w:eastAsia="Calibri" w:hAnsi="Calibri"/>
          <w:b/>
          <w:bCs/>
          <w:color w:val="12303A"/>
          <w:sz w:val="30"/>
          <w:szCs w:val="30"/>
        </w:rPr>
        <w:t xml:space="preserve">3. Data</w:t>
      </w:r>
    </w:p>
    <w:p>
      <w:pPr>
        <w:spacing w:after="120" w:line="300"/>
      </w:pPr>
      <w:r>
        <w:rPr>
          <w:rFonts w:ascii="Calibri" w:cs="Calibri" w:eastAsia="Calibri" w:hAnsi="Calibri"/>
          <w:sz w:val="22"/>
          <w:szCs w:val="22"/>
        </w:rPr>
        <w:t xml:space="preserve">I used the public FAERS quarterly ASCII files for 2025 Q1 to Q4 from the FDA, with the DEMO (report and patient), DRUG, REAC (reactions, coded to MedDRA Preferred Terms), OUTC (outcomes) and INDI (indications) tables plus the quarterly deleted-case lists. One row in DEMO is one report version; one case can have several versions and, across sources, several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Table</w:t>
            </w:r>
          </w:p>
        </w:tc>
        <w:tc>
          <w:tcPr>
            <w:tcW w:type="dxa" w:w="436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Raw rows loaded</w:t>
            </w:r>
          </w:p>
        </w:tc>
      </w:tr>
      <w:tr>
        <w:tc>
          <w:tcPr>
            <w:tcW w:type="dxa" w:w="50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DEMO (reports)</w:t>
            </w:r>
          </w:p>
        </w:tc>
        <w:tc>
          <w:tcPr>
            <w:tcW w:type="dxa" w:w="43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1,617,444</w:t>
            </w:r>
          </w:p>
        </w:tc>
      </w:tr>
      <w:tr>
        <w:tc>
          <w:tcPr>
            <w:tcW w:type="dxa" w:w="50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DRUG (drug records)</w:t>
            </w:r>
          </w:p>
        </w:tc>
        <w:tc>
          <w:tcPr>
            <w:tcW w:type="dxa" w:w="43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7,801,018</w:t>
            </w:r>
          </w:p>
        </w:tc>
      </w:tr>
      <w:tr>
        <w:tc>
          <w:tcPr>
            <w:tcW w:type="dxa" w:w="50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REAC (reactions)</w:t>
            </w:r>
          </w:p>
        </w:tc>
        <w:tc>
          <w:tcPr>
            <w:tcW w:type="dxa" w:w="43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5,657,830</w:t>
            </w:r>
          </w:p>
        </w:tc>
      </w:tr>
      <w:tr>
        <w:tc>
          <w:tcPr>
            <w:tcW w:type="dxa" w:w="50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OUTC (outcomes)</w:t>
            </w:r>
          </w:p>
        </w:tc>
        <w:tc>
          <w:tcPr>
            <w:tcW w:type="dxa" w:w="43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1,232,582</w:t>
            </w:r>
          </w:p>
        </w:tc>
      </w:tr>
      <w:tr>
        <w:tc>
          <w:tcPr>
            <w:tcW w:type="dxa" w:w="50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INDI (indications)</w:t>
            </w:r>
          </w:p>
        </w:tc>
        <w:tc>
          <w:tcPr>
            <w:tcW w:type="dxa" w:w="43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4,821,589</w:t>
            </w:r>
          </w:p>
        </w:tc>
      </w:tr>
      <w:tr>
        <w:tc>
          <w:tcPr>
            <w:tcW w:type="dxa" w:w="50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Deleted-case lists</w:t>
            </w:r>
          </w:p>
        </w:tc>
        <w:tc>
          <w:tcPr>
            <w:tcW w:type="dxa" w:w="43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21,551</w:t>
            </w:r>
          </w:p>
        </w:tc>
      </w:tr>
    </w:tbl>
    <w:p>
      <w:pPr>
        <w:spacing w:after="80"/>
      </w:pPr>
    </w:p>
    <w:p>
      <w:pPr>
        <w:spacing w:after="120" w:line="300"/>
      </w:pPr>
      <w:r>
        <w:rPr>
          <w:rFonts w:ascii="Calibri" w:cs="Calibri" w:eastAsia="Calibri" w:hAnsi="Calibri"/>
          <w:sz w:val="22"/>
          <w:szCs w:val="22"/>
        </w:rPr>
        <w:t xml:space="preserve">FAERS contains suspected adverse event reports, not confirmed drug effects. It does not record how many people took the drug, so reporting counts cannot be turned into risk or incidence.</w:t>
      </w:r>
    </w:p>
    <w:p>
      <w:pPr>
        <w:pStyle w:val="Heading1"/>
        <w:spacing w:after="120" w:before="320"/>
      </w:pPr>
      <w:r>
        <w:rPr>
          <w:rFonts w:ascii="Calibri" w:cs="Calibri" w:eastAsia="Calibri" w:hAnsi="Calibri"/>
          <w:b/>
          <w:bCs/>
          <w:color w:val="12303A"/>
          <w:sz w:val="30"/>
          <w:szCs w:val="30"/>
        </w:rPr>
        <w:t xml:space="preserve">4. Data audit and cleaning</w:t>
      </w:r>
    </w:p>
    <w:p>
      <w:pPr>
        <w:spacing w:after="120" w:line="300"/>
      </w:pPr>
      <w:r>
        <w:rPr>
          <w:rFonts w:ascii="Calibri" w:cs="Calibri" w:eastAsia="Calibri" w:hAnsi="Calibri"/>
          <w:sz w:val="22"/>
          <w:szCs w:val="22"/>
        </w:rPr>
        <w:t xml:space="preserve">I audited the files before loading anything into analysis tables (script 03) and documented every cleaning step in a log table (cleaning_log.csv).</w:t>
      </w:r>
    </w:p>
    <w:p>
      <w:pPr>
        <w:pStyle w:val="Heading2"/>
        <w:spacing w:after="80" w:before="200"/>
      </w:pPr>
      <w:r>
        <w:rPr>
          <w:rFonts w:ascii="Calibri" w:cs="Calibri" w:eastAsia="Calibri" w:hAnsi="Calibri"/>
          <w:b/>
          <w:bCs/>
          <w:color w:val="0B6E6E"/>
          <w:sz w:val="25"/>
          <w:szCs w:val="25"/>
        </w:rPr>
        <w:t xml:space="preserve">4.1 Problems found in the raw files</w:t>
      </w:r>
    </w:p>
    <w:p>
      <w:pPr>
        <w:pStyle w:val="ListParagraph"/>
        <w:numPr>
          <w:ilvl w:val="0"/>
          <w:numId w:val="2"/>
        </w:numPr>
        <w:spacing w:after="60" w:line="290"/>
      </w:pPr>
      <w:r>
        <w:rPr>
          <w:rFonts w:ascii="Calibri" w:cs="Calibri" w:eastAsia="Calibri" w:hAnsi="Calibri"/>
          <w:sz w:val="22"/>
          <w:szCs w:val="22"/>
        </w:rPr>
        <w:t xml:space="preserve">The files use “$” as the delimiter. The DRUG files end lines with CRLF while the others use LF; loading all with one line terminator silently corrupted the last column, so each file is loaded with its own terminator.</w:t>
      </w:r>
    </w:p>
    <w:p>
      <w:pPr>
        <w:pStyle w:val="ListParagraph"/>
        <w:numPr>
          <w:ilvl w:val="0"/>
          <w:numId w:val="2"/>
        </w:numPr>
        <w:spacing w:after="60" w:line="290"/>
      </w:pPr>
      <w:r>
        <w:rPr>
          <w:rFonts w:ascii="Calibri" w:cs="Calibri" w:eastAsia="Calibri" w:hAnsi="Calibri"/>
          <w:sz w:val="22"/>
          <w:szCs w:val="22"/>
        </w:rPr>
        <w:t xml:space="preserve">The deleted-case files have a blank first line.</w:t>
      </w:r>
    </w:p>
    <w:p>
      <w:pPr>
        <w:pStyle w:val="ListParagraph"/>
        <w:numPr>
          <w:ilvl w:val="0"/>
          <w:numId w:val="2"/>
        </w:numPr>
        <w:spacing w:after="60" w:line="290"/>
      </w:pPr>
      <w:r>
        <w:rPr>
          <w:rFonts w:ascii="Calibri" w:cs="Calibri" w:eastAsia="Calibri" w:hAnsi="Calibri"/>
          <w:sz w:val="22"/>
          <w:szCs w:val="22"/>
        </w:rPr>
        <w:t xml:space="preserve">The same case ID appears in several versions across quarters; the most recent version supersedes the others.</w:t>
      </w:r>
    </w:p>
    <w:p>
      <w:pPr>
        <w:pStyle w:val="ListParagraph"/>
        <w:numPr>
          <w:ilvl w:val="0"/>
          <w:numId w:val="2"/>
        </w:numPr>
        <w:spacing w:after="60" w:line="290"/>
      </w:pPr>
      <w:r>
        <w:rPr>
          <w:rFonts w:ascii="Calibri" w:cs="Calibri" w:eastAsia="Calibri" w:hAnsi="Calibri"/>
          <w:sz w:val="22"/>
          <w:szCs w:val="22"/>
        </w:rPr>
        <w:t xml:space="preserve">Age is reported in several units (years, months, weeks, days, decades) and contains impossible values; 582,176 cases (39.7% of clean cases) had missing or implausible age and were kept as “Unknown” rather than guessed.</w:t>
      </w:r>
    </w:p>
    <w:p>
      <w:pPr>
        <w:pStyle w:val="ListParagraph"/>
        <w:numPr>
          <w:ilvl w:val="0"/>
          <w:numId w:val="2"/>
        </w:numPr>
        <w:spacing w:after="60" w:line="290"/>
      </w:pPr>
      <w:r>
        <w:rPr>
          <w:rFonts w:ascii="Calibri" w:cs="Calibri" w:eastAsia="Calibri" w:hAnsi="Calibri"/>
          <w:sz w:val="22"/>
          <w:szCs w:val="22"/>
        </w:rPr>
        <w:t xml:space="preserve">Drug names are free text: 66,654 distinct spellings. I mapped 71 spellings to tirzepatide and 114 to other GLP-1 receptor agonists using explicit rules and reviewed the matches.</w:t>
      </w:r>
    </w:p>
    <w:p>
      <w:pPr>
        <w:pStyle w:val="ListParagraph"/>
        <w:numPr>
          <w:ilvl w:val="0"/>
          <w:numId w:val="2"/>
        </w:numPr>
        <w:spacing w:after="60" w:line="290"/>
      </w:pPr>
      <w:r>
        <w:rPr>
          <w:rFonts w:ascii="Calibri" w:cs="Calibri" w:eastAsia="Calibri" w:hAnsi="Calibri"/>
          <w:sz w:val="22"/>
          <w:szCs w:val="22"/>
        </w:rPr>
        <w:t xml:space="preserve">Some drug records repeat the same (report, drug sequence) pair, so that pair cannot be used as a primary key.</w:t>
      </w:r>
    </w:p>
    <w:p>
      <w:pPr>
        <w:pStyle w:val="Heading2"/>
        <w:spacing w:after="80" w:before="200"/>
      </w:pPr>
      <w:r>
        <w:rPr>
          <w:rFonts w:ascii="Calibri" w:cs="Calibri" w:eastAsia="Calibri" w:hAnsi="Calibri"/>
          <w:b/>
          <w:bCs/>
          <w:color w:val="0B6E6E"/>
          <w:sz w:val="25"/>
          <w:szCs w:val="25"/>
        </w:rPr>
        <w:t xml:space="preserve">4.2 Case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tblHeader/>
        </w:trPr>
        <w:tc>
          <w:tcPr>
            <w:tcW w:type="dxa" w:w="62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Step</w:t>
            </w:r>
          </w:p>
        </w:tc>
        <w:tc>
          <w:tcPr>
            <w:tcW w:type="dxa" w:w="316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Cases</w:t>
            </w:r>
          </w:p>
        </w:tc>
      </w:tr>
      <w:tr>
        <w:tc>
          <w:tcPr>
            <w:tcW w:type="dxa" w:w="6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Distinct case IDs in raw data</w:t>
            </w:r>
          </w:p>
        </w:tc>
        <w:tc>
          <w:tcPr>
            <w:tcW w:type="dxa" w:w="31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1,469,305</w:t>
            </w:r>
          </w:p>
        </w:tc>
      </w:tr>
      <w:tr>
        <w:tc>
          <w:tcPr>
            <w:tcW w:type="dxa" w:w="6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Removed: on FDA deleted lists</w:t>
            </w:r>
          </w:p>
        </w:tc>
        <w:tc>
          <w:tcPr>
            <w:tcW w:type="dxa" w:w="31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3,497</w:t>
            </w:r>
          </w:p>
        </w:tc>
      </w:tr>
      <w:tr>
        <w:tc>
          <w:tcPr>
            <w:tcW w:type="dxa" w:w="6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Older versions discarded (latest kept)</w:t>
            </w:r>
          </w:p>
        </w:tc>
        <w:tc>
          <w:tcPr>
            <w:tcW w:type="dxa" w:w="31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147,966 report versions</w:t>
            </w:r>
          </w:p>
        </w:tc>
      </w:tr>
      <w:tr>
        <w:tc>
          <w:tcPr>
            <w:tcW w:type="dxa" w:w="6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Clean unique cases</w:t>
            </w:r>
          </w:p>
        </w:tc>
        <w:tc>
          <w:tcPr>
            <w:tcW w:type="dxa" w:w="31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1,465,808</w:t>
            </w:r>
          </w:p>
        </w:tc>
      </w:tr>
      <w:tr>
        <w:tc>
          <w:tcPr>
            <w:tcW w:type="dxa" w:w="6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Probable cross-source duplicates removed</w:t>
            </w:r>
          </w:p>
        </w:tc>
        <w:tc>
          <w:tcPr>
            <w:tcW w:type="dxa" w:w="31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25,729</w:t>
            </w:r>
          </w:p>
        </w:tc>
      </w:tr>
      <w:tr>
        <w:tc>
          <w:tcPr>
            <w:tcW w:type="dxa" w:w="6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Cases in analysis dataset</w:t>
            </w:r>
          </w:p>
        </w:tc>
        <w:tc>
          <w:tcPr>
            <w:tcW w:type="dxa" w:w="31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1,440,079</w:t>
            </w:r>
          </w:p>
        </w:tc>
      </w:tr>
    </w:tbl>
    <w:p>
      <w:pPr>
        <w:spacing w:after="80"/>
      </w:pPr>
    </w:p>
    <w:p>
      <w:pPr>
        <w:spacing w:after="120" w:line="300"/>
      </w:pPr>
      <w:r>
        <w:rPr>
          <w:rFonts w:ascii="Calibri" w:cs="Calibri" w:eastAsia="Calibri" w:hAnsi="Calibri"/>
          <w:sz w:val="22"/>
          <w:szCs w:val="22"/>
        </w:rPr>
        <w:t xml:space="preserve">Duplicate rule (conservative): cases from different sources were treated as probable duplicates only when event date, age, sex, event country, the exact set of reaction terms and the exact set of primary-suspect drug names all matched; the lowest case ID in each group was kept. I chose a strict rule so that genuine separate cases were not removed.</w:t>
      </w:r>
    </w:p>
    <w:p>
      <w:pPr>
        <w:pStyle w:val="Heading1"/>
        <w:spacing w:after="120" w:before="320"/>
      </w:pPr>
      <w:r>
        <w:rPr>
          <w:rFonts w:ascii="Calibri" w:cs="Calibri" w:eastAsia="Calibri" w:hAnsi="Calibri"/>
          <w:b/>
          <w:bCs/>
          <w:color w:val="12303A"/>
          <w:sz w:val="30"/>
          <w:szCs w:val="30"/>
        </w:rPr>
        <w:t xml:space="preserve">5. Methods</w:t>
      </w:r>
    </w:p>
    <w:p>
      <w:pPr>
        <w:pStyle w:val="Heading2"/>
        <w:spacing w:after="80" w:before="200"/>
      </w:pPr>
      <w:r>
        <w:rPr>
          <w:rFonts w:ascii="Calibri" w:cs="Calibri" w:eastAsia="Calibri" w:hAnsi="Calibri"/>
          <w:b/>
          <w:bCs/>
          <w:color w:val="0B6E6E"/>
          <w:sz w:val="25"/>
          <w:szCs w:val="25"/>
        </w:rPr>
        <w:t xml:space="preserve">5.1 Exposure and comparison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60"/>
        <w:gridCol w:w="2200"/>
      </w:tblGrid>
      <w:tr>
        <w:trPr>
          <w:tblHeader/>
        </w:trPr>
        <w:tc>
          <w:tcPr>
            <w:tcW w:type="dxa" w:w="17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Analysis</w:t>
            </w:r>
          </w:p>
        </w:tc>
        <w:tc>
          <w:tcPr>
            <w:tcW w:type="dxa" w:w="27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Exposed group</w:t>
            </w:r>
          </w:p>
        </w:tc>
        <w:tc>
          <w:tcPr>
            <w:tcW w:type="dxa" w:w="276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Comparator</w:t>
            </w:r>
          </w:p>
        </w:tc>
        <w:tc>
          <w:tcPr>
            <w:tcW w:type="dxa" w:w="22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Purpose</w:t>
            </w:r>
          </w:p>
        </w:tc>
      </w:tr>
      <w:tr>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A1 (primary)</w:t>
            </w:r>
          </w:p>
        </w:tc>
        <w:tc>
          <w:tcPr>
            <w:tcW w:type="dxa" w:w="2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Tirzepatide as primary suspect (58,877)</w:t>
            </w:r>
          </w:p>
        </w:tc>
        <w:tc>
          <w:tcPr>
            <w:tcW w:type="dxa" w:w="2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Cases with no tirzepatide in any role (1,377,255)</w:t>
            </w:r>
          </w:p>
        </w:tc>
        <w:tc>
          <w:tcPr>
            <w:tcW w:type="dxa" w:w="2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Main screening</w:t>
            </w:r>
          </w:p>
        </w:tc>
      </w:tr>
      <w:tr>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A2 (sensitivity)</w:t>
            </w:r>
          </w:p>
        </w:tc>
        <w:tc>
          <w:tcPr>
            <w:tcW w:type="dxa" w:w="2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Tirzepatide as primary or secondary suspect (59,772)</w:t>
            </w:r>
          </w:p>
        </w:tc>
        <w:tc>
          <w:tcPr>
            <w:tcW w:type="dxa" w:w="2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Same as A1</w:t>
            </w:r>
          </w:p>
        </w:tc>
        <w:tc>
          <w:tcPr>
            <w:tcW w:type="dxa" w:w="2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Is the result sensitive to how exposure is defined?</w:t>
            </w:r>
          </w:p>
        </w:tc>
      </w:tr>
      <w:tr>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A3 (active comparator)</w:t>
            </w:r>
          </w:p>
        </w:tc>
        <w:tc>
          <w:tcPr>
            <w:tcW w:type="dxa" w:w="2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Tirzepatide primary suspect without another GLP-1 RA suspect (58,458)</w:t>
            </w:r>
          </w:p>
        </w:tc>
        <w:tc>
          <w:tcPr>
            <w:tcW w:type="dxa" w:w="2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Other GLP-1 RA as primary suspect (28,455)</w:t>
            </w:r>
          </w:p>
        </w:tc>
        <w:tc>
          <w:tcPr>
            <w:tcW w:type="dxa" w:w="2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Separates tirzepatide-specific from class-wide reporting</w:t>
            </w:r>
          </w:p>
        </w:tc>
      </w:tr>
    </w:tbl>
    <w:p>
      <w:pPr>
        <w:spacing w:after="80"/>
      </w:pPr>
    </w:p>
    <w:p>
      <w:pPr>
        <w:pStyle w:val="Heading2"/>
        <w:spacing w:after="80" w:before="200"/>
      </w:pPr>
      <w:r>
        <w:rPr>
          <w:rFonts w:ascii="Calibri" w:cs="Calibri" w:eastAsia="Calibri" w:hAnsi="Calibri"/>
          <w:b/>
          <w:bCs/>
          <w:color w:val="0B6E6E"/>
          <w:sz w:val="25"/>
          <w:szCs w:val="25"/>
        </w:rPr>
        <w:t xml:space="preserve">5.2 Disproportionality measures</w:t>
      </w:r>
    </w:p>
    <w:p>
      <w:pPr>
        <w:spacing w:after="120" w:line="300"/>
      </w:pPr>
      <w:r>
        <w:rPr>
          <w:rFonts w:ascii="Calibri" w:cs="Calibri" w:eastAsia="Calibri" w:hAnsi="Calibri"/>
          <w:sz w:val="22"/>
          <w:szCs w:val="22"/>
        </w:rPr>
        <w:t xml:space="preserve">For each event I built a 2×2 table (cases with the event / without, tirzepatide / comparator) and calculated the reporting odds ratio (ROR) with its 95% confidence interval, the proportional reporting ratio (PRR) with chi-square, and the Bayesian Information Component (IC) with its lower 95% credibility bound (IC025). A 0.5 continuity correction was applied for zero cells. These are the measures used by regulators and by the WHO Uppsala Monitoring Centre (Evans 2001; van Puijenbroek 2002; Bate 1998; Norén 2006).</w:t>
      </w:r>
    </w:p>
    <w:p>
      <w:pPr>
        <w:spacing w:after="120" w:line="300"/>
      </w:pPr>
      <w:r>
        <w:rPr>
          <w:rFonts w:ascii="Calibri" w:cs="Calibri" w:eastAsia="Calibri" w:hAnsi="Calibri"/>
          <w:b/>
          <w:bCs/>
          <w:sz w:val="22"/>
          <w:szCs w:val="22"/>
        </w:rPr>
        <w:t xml:space="preserve">Detection rule: </w:t>
      </w:r>
      <w:r>
        <w:rPr>
          <w:rFonts w:ascii="Calibri" w:cs="Calibri" w:eastAsia="Calibri" w:hAnsi="Calibri"/>
          <w:sz w:val="22"/>
          <w:szCs w:val="22"/>
        </w:rPr>
        <w:t xml:space="preserve">at least 3 exposed cases, and ROR lower 95% limit above 1, and IC025 above 0. A “strong” signal meets all three criteria: ROR, IC025 and the Evans PRR rule (at least 3 cases, PRR ≥ 2, chi-square ≥ 4).</w:t>
      </w:r>
    </w:p>
    <w:p>
      <w:pPr>
        <w:pStyle w:val="Heading2"/>
        <w:spacing w:after="80" w:before="200"/>
      </w:pPr>
      <w:r>
        <w:rPr>
          <w:rFonts w:ascii="Calibri" w:cs="Calibri" w:eastAsia="Calibri" w:hAnsi="Calibri"/>
          <w:b/>
          <w:bCs/>
          <w:color w:val="0B6E6E"/>
          <w:sz w:val="25"/>
          <w:szCs w:val="25"/>
        </w:rPr>
        <w:t xml:space="preserve">5.3 Subgroup (stratified) analysis</w:t>
      </w:r>
    </w:p>
    <w:p>
      <w:pPr>
        <w:spacing w:after="120" w:line="300"/>
      </w:pPr>
      <w:r>
        <w:rPr>
          <w:rFonts w:ascii="Calibri" w:cs="Calibri" w:eastAsia="Calibri" w:hAnsi="Calibri"/>
          <w:sz w:val="22"/>
          <w:szCs w:val="22"/>
        </w:rPr>
        <w:t xml:space="preserve">Every analysis was repeated within subgroups: sex, age group (&lt;18, 18–44, 45–64, 65+), age by sex, reporter type (consumer, healthcare professional, other), region (US vs non-US), indication (diabetes, obesity/weight, both) and report quarter. In each subgroup, tirzepatide cases were compared with comparator cases from the same subgroup.</w:t>
      </w:r>
    </w:p>
    <w:p>
      <w:pPr>
        <w:pStyle w:val="ListParagraph"/>
        <w:numPr>
          <w:ilvl w:val="0"/>
          <w:numId w:val="2"/>
        </w:numPr>
        <w:spacing w:after="60" w:line="290"/>
      </w:pPr>
      <w:r>
        <w:rPr>
          <w:rFonts w:ascii="Calibri" w:cs="Calibri" w:eastAsia="Calibri" w:hAnsi="Calibri"/>
          <w:b/>
          <w:bCs/>
          <w:sz w:val="22"/>
          <w:szCs w:val="22"/>
        </w:rPr>
        <w:t xml:space="preserve">Heterogeneity: </w:t>
      </w:r>
      <w:r>
        <w:rPr>
          <w:rFonts w:ascii="Calibri" w:cs="Calibri" w:eastAsia="Calibri" w:hAnsi="Calibri"/>
          <w:sz w:val="22"/>
          <w:szCs w:val="22"/>
        </w:rPr>
        <w:t xml:space="preserve">Cochran’s Q test across the strata of each subgroup type asks whether the log-ROR differs between strata (Cochran 1954).</w:t>
      </w:r>
    </w:p>
    <w:p>
      <w:pPr>
        <w:pStyle w:val="ListParagraph"/>
        <w:numPr>
          <w:ilvl w:val="0"/>
          <w:numId w:val="2"/>
        </w:numPr>
        <w:spacing w:after="60" w:line="290"/>
      </w:pPr>
      <w:r>
        <w:rPr>
          <w:rFonts w:ascii="Calibri" w:cs="Calibri" w:eastAsia="Calibri" w:hAnsi="Calibri"/>
          <w:b/>
          <w:bCs/>
          <w:sz w:val="22"/>
          <w:szCs w:val="22"/>
        </w:rPr>
        <w:t xml:space="preserve">Subgroup vs rest: </w:t>
      </w:r>
      <w:r>
        <w:rPr>
          <w:rFonts w:ascii="Calibri" w:cs="Calibri" w:eastAsia="Calibri" w:hAnsi="Calibri"/>
          <w:sz w:val="22"/>
          <w:szCs w:val="22"/>
        </w:rPr>
        <w:t xml:space="preserve">a ratio-of-RORs test compares the subgroup ROR with the ROR in everyone else. I did this because “significant in the subgroup, not significant in the rest” is not itself evidence of a difference (Gelman &amp; Stern 2006).</w:t>
      </w:r>
    </w:p>
    <w:p>
      <w:pPr>
        <w:pStyle w:val="ListParagraph"/>
        <w:numPr>
          <w:ilvl w:val="0"/>
          <w:numId w:val="2"/>
        </w:numPr>
        <w:spacing w:after="60" w:line="290"/>
      </w:pPr>
      <w:r>
        <w:rPr>
          <w:rFonts w:ascii="Calibri" w:cs="Calibri" w:eastAsia="Calibri" w:hAnsi="Calibri"/>
          <w:b/>
          <w:bCs/>
          <w:sz w:val="22"/>
          <w:szCs w:val="22"/>
        </w:rPr>
        <w:t xml:space="preserve">Multiple testing: </w:t>
      </w:r>
      <w:r>
        <w:rPr>
          <w:rFonts w:ascii="Calibri" w:cs="Calibri" w:eastAsia="Calibri" w:hAnsi="Calibri"/>
          <w:sz w:val="22"/>
          <w:szCs w:val="22"/>
        </w:rPr>
        <w:t xml:space="preserve">Benjamini–Hochberg false-discovery-rate control (Benjamini &amp; Hochberg 1995) across all subgroup tests; q &lt; 0.05 required.</w:t>
      </w:r>
    </w:p>
    <w:p>
      <w:pPr>
        <w:pStyle w:val="ListParagraph"/>
        <w:numPr>
          <w:ilvl w:val="0"/>
          <w:numId w:val="2"/>
        </w:numPr>
        <w:spacing w:after="60" w:line="290"/>
      </w:pPr>
      <w:r>
        <w:rPr>
          <w:rFonts w:ascii="Calibri" w:cs="Calibri" w:eastAsia="Calibri" w:hAnsi="Calibri"/>
          <w:b/>
          <w:bCs/>
          <w:sz w:val="22"/>
          <w:szCs w:val="22"/>
        </w:rPr>
        <w:t xml:space="preserve">Adjustment: </w:t>
      </w:r>
      <w:r>
        <w:rPr>
          <w:rFonts w:ascii="Calibri" w:cs="Calibri" w:eastAsia="Calibri" w:hAnsi="Calibri"/>
          <w:sz w:val="22"/>
          <w:szCs w:val="22"/>
        </w:rPr>
        <w:t xml:space="preserve">Mantel–Haenszel pooled ROR with the Robins–Breslow–Greenland variance, stratified by age × sex × quarter (Mantel &amp; Haenszel 1959; Robins et al. 1986), to check that an overall result is not just a mix of strata.</w:t>
      </w:r>
    </w:p>
    <w:p>
      <w:pPr>
        <w:pStyle w:val="Heading2"/>
        <w:spacing w:after="80" w:before="200"/>
      </w:pPr>
      <w:r>
        <w:rPr>
          <w:rFonts w:ascii="Calibri" w:cs="Calibri" w:eastAsia="Calibri" w:hAnsi="Calibri"/>
          <w:b/>
          <w:bCs/>
          <w:color w:val="0B6E6E"/>
          <w:sz w:val="25"/>
          <w:szCs w:val="25"/>
        </w:rPr>
        <w:t xml:space="preserve">5.4 Classification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Class</w:t>
            </w:r>
          </w:p>
        </w:tc>
        <w:tc>
          <w:tcPr>
            <w:tcW w:type="dxa" w:w="656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Meaning</w:t>
            </w:r>
          </w:p>
        </w:tc>
      </w:tr>
      <w:tr>
        <w:tc>
          <w:tcPr>
            <w:tcW w:type="dxa" w:w="2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Consistent signal</w:t>
            </w:r>
          </w:p>
        </w:tc>
        <w:tc>
          <w:tcPr>
            <w:tcW w:type="dxa" w:w="6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Detected overall and in at least half of the evaluable subgroups</w:t>
            </w:r>
          </w:p>
        </w:tc>
      </w:tr>
      <w:tr>
        <w:tc>
          <w:tcPr>
            <w:tcW w:type="dxa" w:w="2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Discordant signal</w:t>
            </w:r>
          </w:p>
        </w:tc>
        <w:tc>
          <w:tcPr>
            <w:tcW w:type="dxa" w:w="6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Detected overall but in fewer than half of the evaluable subgroups</w:t>
            </w:r>
          </w:p>
        </w:tc>
      </w:tr>
      <w:tr>
        <w:tc>
          <w:tcPr>
            <w:tcW w:type="dxa" w:w="2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Hidden subgroup signal</w:t>
            </w:r>
          </w:p>
        </w:tc>
        <w:tc>
          <w:tcPr>
            <w:tcW w:type="dxa" w:w="6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Not detected overall, detected in at least one subgroup</w:t>
            </w:r>
          </w:p>
        </w:tc>
      </w:tr>
      <w:tr>
        <w:tc>
          <w:tcPr>
            <w:tcW w:type="dxa" w:w="2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Aggregate signal only</w:t>
            </w:r>
          </w:p>
        </w:tc>
        <w:tc>
          <w:tcPr>
            <w:tcW w:type="dxa" w:w="6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Detected overall, in none of the subgroups (subgroups too small to confirm)</w:t>
            </w:r>
          </w:p>
        </w:tc>
      </w:tr>
      <w:tr>
        <w:tc>
          <w:tcPr>
            <w:tcW w:type="dxa" w:w="2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No signal</w:t>
            </w:r>
          </w:p>
        </w:tc>
        <w:tc>
          <w:tcPr>
            <w:tcW w:type="dxa" w:w="6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Not detected anywhere</w:t>
            </w:r>
          </w:p>
        </w:tc>
      </w:tr>
    </w:tbl>
    <w:p>
      <w:pPr>
        <w:spacing w:after="80"/>
      </w:pPr>
    </w:p>
    <w:p>
      <w:pPr>
        <w:pStyle w:val="Heading2"/>
        <w:spacing w:after="80" w:before="200"/>
      </w:pPr>
      <w:r>
        <w:rPr>
          <w:rFonts w:ascii="Calibri" w:cs="Calibri" w:eastAsia="Calibri" w:hAnsi="Calibri"/>
          <w:b/>
          <w:bCs/>
          <w:color w:val="0B6E6E"/>
          <w:sz w:val="25"/>
          <w:szCs w:val="25"/>
        </w:rPr>
        <w:t xml:space="preserve">5.5 Evidence tiers and priority</w:t>
      </w:r>
    </w:p>
    <w:p>
      <w:pPr>
        <w:spacing w:after="120" w:line="300"/>
      </w:pPr>
      <w:r>
        <w:rPr>
          <w:rFonts w:ascii="Calibri" w:cs="Calibri" w:eastAsia="Calibri" w:hAnsi="Calibri"/>
          <w:sz w:val="22"/>
          <w:szCs w:val="22"/>
        </w:rPr>
        <w:t xml:space="preserve">Before looking at results I fixed five checks for each hidden finding: (1) at least 5 cases; (2) BH q &lt; 0.05; (3) subgroup-vs-rest interaction p &lt; 0.05; (4) still detected in A2; (5) ROR above 1 with at least 3 cases against other GLP-1 drugs in A3. H3 = all five, H2 = checks 1–3, H1 = the rest. These tiers are my own convention for ranking, not a regulatory classification.</w:t>
      </w:r>
    </w:p>
    <w:p>
      <w:pPr>
        <w:spacing w:after="120" w:line="300"/>
      </w:pPr>
      <w:r>
        <w:rPr>
          <w:rFonts w:ascii="Calibri" w:cs="Calibri" w:eastAsia="Calibri" w:hAnsi="Calibri"/>
          <w:sz w:val="22"/>
          <w:szCs w:val="22"/>
        </w:rPr>
        <w:t xml:space="preserve">Priority then reflects interpretability. P1: clinical event, H3, in a patient-characteristic subgroup (sex, age, indication). P2: H3 in region or reporter subgroups, or H2 in patient-characteristic subgroups. P3: all other clinical findings. PU: product-use or administration events (for example off-label use, device problems), which raise quality and usability questions rather than clinical safety signals.</w:t>
      </w:r>
    </w:p>
    <w:p>
      <w:pPr>
        <w:pStyle w:val="Heading1"/>
        <w:spacing w:after="120" w:before="320"/>
      </w:pPr>
      <w:r>
        <w:rPr>
          <w:rFonts w:ascii="Calibri" w:cs="Calibri" w:eastAsia="Calibri" w:hAnsi="Calibri"/>
          <w:b/>
          <w:bCs/>
          <w:color w:val="12303A"/>
          <w:sz w:val="30"/>
          <w:szCs w:val="30"/>
        </w:rPr>
        <w:t xml:space="preserve">6. Results</w:t>
      </w:r>
    </w:p>
    <w:p>
      <w:pPr>
        <w:pStyle w:val="Heading2"/>
        <w:spacing w:after="80" w:before="200"/>
      </w:pPr>
      <w:r>
        <w:rPr>
          <w:rFonts w:ascii="Calibri" w:cs="Calibri" w:eastAsia="Calibri" w:hAnsi="Calibri"/>
          <w:b/>
          <w:bCs/>
          <w:color w:val="0B6E6E"/>
          <w:sz w:val="25"/>
          <w:szCs w:val="25"/>
        </w:rPr>
        <w:t xml:space="preserve">6.1 What the screening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Class (primary analysis A1)</w:t>
            </w:r>
          </w:p>
        </w:tc>
        <w:tc>
          <w:tcPr>
            <w:tcW w:type="dxa" w:w="208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Events</w:t>
            </w:r>
          </w:p>
        </w:tc>
        <w:tc>
          <w:tcPr>
            <w:tcW w:type="dxa" w:w="208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Share</w:t>
            </w:r>
          </w:p>
        </w:tc>
      </w:tr>
      <w:tr>
        <w:tc>
          <w:tcPr>
            <w:tcW w:type="dxa" w:w="5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No signal</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1,078</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76.7%</w:t>
            </w:r>
          </w:p>
        </w:tc>
      </w:tr>
      <w:tr>
        <w:tc>
          <w:tcPr>
            <w:tcW w:type="dxa" w:w="5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Hidden subgroup signal</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160</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11.4%</w:t>
            </w:r>
          </w:p>
        </w:tc>
      </w:tr>
      <w:tr>
        <w:tc>
          <w:tcPr>
            <w:tcW w:type="dxa" w:w="5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Consistent signal</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111</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7.9%</w:t>
            </w:r>
          </w:p>
        </w:tc>
      </w:tr>
      <w:tr>
        <w:tc>
          <w:tcPr>
            <w:tcW w:type="dxa" w:w="5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Discordant signal</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55</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3.9%</w:t>
            </w:r>
          </w:p>
        </w:tc>
      </w:tr>
      <w:tr>
        <w:tc>
          <w:tcPr>
            <w:tcW w:type="dxa" w:w="5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Aggregate signal only</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0.1%</w:t>
            </w:r>
          </w:p>
        </w:tc>
      </w:tr>
      <w:tr>
        <w:tc>
          <w:tcPr>
            <w:tcW w:type="dxa" w:w="52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Total tested</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1,406</w:t>
            </w:r>
          </w:p>
        </w:tc>
        <w:tc>
          <w:tcPr>
            <w:tcW w:type="dxa" w:w="208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100%</w:t>
            </w:r>
          </w:p>
        </w:tc>
      </w:tr>
    </w:tbl>
    <w:p>
      <w:pPr>
        <w:spacing w:after="80"/>
      </w:pPr>
    </w:p>
    <w:p>
      <w:pPr>
        <w:spacing w:after="120" w:line="300"/>
      </w:pPr>
      <w:r>
        <w:rPr>
          <w:rFonts w:ascii="Calibri" w:cs="Calibri" w:eastAsia="Calibri" w:hAnsi="Calibri"/>
          <w:sz w:val="22"/>
          <w:szCs w:val="22"/>
        </w:rPr>
        <w:t xml:space="preserve">The conclusions are stable to how exposure is defined: with secondary-suspect reports included (A2) there were 168 hidden events and 111 consistent signals. With other GLP-1 drugs as the comparator (A3) fewer events stand out (23 consistent, 31 hidden), as expected, because shared class effects such as gastrointestinal events cancel out.</w:t>
      </w:r>
    </w:p>
    <w:p>
      <w:pPr>
        <w:pStyle w:val="Heading2"/>
        <w:spacing w:after="80" w:before="200"/>
      </w:pPr>
      <w:r>
        <w:rPr>
          <w:rFonts w:ascii="Calibri" w:cs="Calibri" w:eastAsia="Calibri" w:hAnsi="Calibri"/>
          <w:b/>
          <w:bCs/>
          <w:color w:val="0B6E6E"/>
          <w:sz w:val="25"/>
          <w:szCs w:val="25"/>
        </w:rPr>
        <w:t xml:space="preserve">6.2 Evidence grade of the hidden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Subgroup type</w:t>
            </w:r>
          </w:p>
        </w:tc>
        <w:tc>
          <w:tcPr>
            <w:tcW w:type="dxa" w:w="17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H3 Robust</w:t>
            </w:r>
          </w:p>
        </w:tc>
        <w:tc>
          <w:tcPr>
            <w:tcW w:type="dxa" w:w="17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H2 Supported</w:t>
            </w:r>
          </w:p>
        </w:tc>
        <w:tc>
          <w:tcPr>
            <w:tcW w:type="dxa" w:w="17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H1 Candidate</w:t>
            </w:r>
          </w:p>
        </w:tc>
        <w:tc>
          <w:tcPr>
            <w:tcW w:type="dxa" w:w="17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Total</w:t>
            </w:r>
          </w:p>
        </w:tc>
      </w:tr>
      <w:tr>
        <w:tc>
          <w:tcPr>
            <w:tcW w:type="dxa" w:w="2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Region</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62</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21</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33</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116</w:t>
            </w:r>
          </w:p>
        </w:tc>
      </w:tr>
      <w:tr>
        <w:tc>
          <w:tcPr>
            <w:tcW w:type="dxa" w:w="2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Reporter type</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15</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9</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29</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53</w:t>
            </w:r>
          </w:p>
        </w:tc>
      </w:tr>
      <w:tr>
        <w:tc>
          <w:tcPr>
            <w:tcW w:type="dxa" w:w="2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Age × sex</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7</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10</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12</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29</w:t>
            </w:r>
          </w:p>
        </w:tc>
      </w:tr>
      <w:tr>
        <w:tc>
          <w:tcPr>
            <w:tcW w:type="dxa" w:w="2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Age</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6</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5</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13</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24</w:t>
            </w:r>
          </w:p>
        </w:tc>
      </w:tr>
      <w:tr>
        <w:tc>
          <w:tcPr>
            <w:tcW w:type="dxa" w:w="2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Sex</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4</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11</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18</w:t>
            </w:r>
          </w:p>
        </w:tc>
      </w:tr>
      <w:tr>
        <w:tc>
          <w:tcPr>
            <w:tcW w:type="dxa" w:w="2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Indication</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7</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0</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10</w:t>
            </w:r>
          </w:p>
        </w:tc>
      </w:tr>
      <w:tr>
        <w:tc>
          <w:tcPr>
            <w:tcW w:type="dxa" w:w="25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Total</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101</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48</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101</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250</w:t>
            </w:r>
          </w:p>
        </w:tc>
      </w:tr>
    </w:tbl>
    <w:p>
      <w:pPr>
        <w:spacing w:after="80"/>
      </w:pPr>
    </w:p>
    <w:p>
      <w:pPr>
        <w:spacing w:after="120" w:line="300"/>
      </w:pPr>
      <w:r>
        <w:rPr>
          <w:rFonts w:ascii="Calibri" w:cs="Calibri" w:eastAsia="Calibri" w:hAnsi="Calibri"/>
          <w:sz w:val="22"/>
          <w:szCs w:val="22"/>
        </w:rPr>
        <w:t xml:space="preserve">Region findings dominate. Tirzepatide reports are 88% US and 95% consumer-reported, whereas the comparator group is only 66% US and 43% consumer-reported, so the non-US and healthcare-professional subgroups behave differently from the rest of the data in reporting style alone. Reproductive findings in non-US reports (for example vaginal haemorrhage, menstruation delayed and intermenstrual bleeding, with subgroup ROR of about 8–11) and hepatic laboratory findings are the most striking in size, and they replicate against other GLP-1 drugs. They are nonetheless a reporting-context result first. Whether they reflect different prescribing, different patients, different product labelling or a real regional effect cannot be settled with FAERS alone.</w:t>
      </w:r>
    </w:p>
    <w:p>
      <w:pPr>
        <w:pStyle w:val="Heading2"/>
        <w:spacing w:after="80" w:before="200"/>
      </w:pPr>
      <w:r>
        <w:rPr>
          <w:rFonts w:ascii="Calibri" w:cs="Calibri" w:eastAsia="Calibri" w:hAnsi="Calibri"/>
          <w:b/>
          <w:bCs/>
          <w:color w:val="0B6E6E"/>
          <w:sz w:val="25"/>
          <w:szCs w:val="25"/>
        </w:rPr>
        <w:t xml:space="preserve">6.3 Highest-priority findings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800"/>
        <w:gridCol w:w="1500"/>
        <w:gridCol w:w="1760"/>
        <w:gridCol w:w="1300"/>
      </w:tblGrid>
      <w:tr>
        <w:trPr>
          <w:tblHeader/>
        </w:trPr>
        <w:tc>
          <w:tcPr>
            <w:tcW w:type="dxa" w:w="23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Event</w:t>
            </w:r>
          </w:p>
        </w:tc>
        <w:tc>
          <w:tcPr>
            <w:tcW w:type="dxa" w:w="17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Subgroup</w:t>
            </w:r>
          </w:p>
        </w:tc>
        <w:tc>
          <w:tcPr>
            <w:tcW w:type="dxa" w:w="8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Cases</w:t>
            </w:r>
          </w:p>
        </w:tc>
        <w:tc>
          <w:tcPr>
            <w:tcW w:type="dxa" w:w="15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ROR (95% CI)</w:t>
            </w:r>
          </w:p>
        </w:tc>
        <w:tc>
          <w:tcPr>
            <w:tcW w:type="dxa" w:w="176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Overall ROR (lower CI)</w:t>
            </w:r>
          </w:p>
        </w:tc>
        <w:tc>
          <w:tcPr>
            <w:tcW w:type="dxa" w:w="1300"/>
            <w:tcBorders>
              <w:top w:val="single" w:color="CCD3DA" w:sz="4"/>
              <w:left w:val="single" w:color="CCD3DA" w:sz="4"/>
              <w:bottom w:val="single" w:color="CCD3DA" w:sz="4"/>
              <w:right w:val="single" w:color="CCD3DA" w:sz="4"/>
            </w:tcBorders>
            <w:shd w:fill="12303A" w:color="auto" w:val="clear"/>
            <w:tcMar>
              <w:top w:type="dxa" w:w="50"/>
              <w:left w:type="dxa" w:w="90"/>
              <w:bottom w:type="dxa" w:w="50"/>
              <w:right w:type="dxa" w:w="90"/>
            </w:tcMar>
          </w:tcPr>
          <w:p>
            <w:r>
              <w:rPr>
                <w:rFonts w:ascii="Calibri" w:cs="Calibri" w:eastAsia="Calibri" w:hAnsi="Calibri"/>
                <w:b/>
                <w:bCs/>
                <w:color w:val="FFFFFF"/>
                <w:sz w:val="19"/>
                <w:szCs w:val="19"/>
              </w:rPr>
              <w:t xml:space="preserve">vs other GLP-1 ROR</w:t>
            </w:r>
          </w:p>
        </w:tc>
      </w:tr>
      <w:tr>
        <w:tc>
          <w:tcPr>
            <w:tcW w:type="dxa" w:w="2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Vitreous detachment</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Male</w:t>
            </w:r>
          </w:p>
        </w:tc>
        <w:tc>
          <w:tcPr>
            <w:tcW w:type="dxa" w:w="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6</w:t>
            </w:r>
          </w:p>
        </w:tc>
        <w:tc>
          <w:tcPr>
            <w:tcW w:type="dxa" w:w="15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9.1 (3.7–22.0)</w:t>
            </w:r>
          </w:p>
        </w:tc>
        <w:tc>
          <w:tcPr>
            <w:tcW w:type="dxa" w:w="1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1.70 (0.89)</w:t>
            </w:r>
          </w:p>
        </w:tc>
        <w:tc>
          <w:tcPr>
            <w:tcW w:type="dxa" w:w="1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1.5</w:t>
            </w:r>
          </w:p>
        </w:tc>
      </w:tr>
      <w:tr>
        <w:tc>
          <w:tcPr>
            <w:tcW w:type="dxa" w:w="2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Liver function test abnormal</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Age 18–44 F</w:t>
            </w:r>
          </w:p>
        </w:tc>
        <w:tc>
          <w:tcPr>
            <w:tcW w:type="dxa" w:w="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19</w:t>
            </w:r>
          </w:p>
        </w:tc>
        <w:tc>
          <w:tcPr>
            <w:tcW w:type="dxa" w:w="15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4.0 (2.4–6.6)</w:t>
            </w:r>
          </w:p>
        </w:tc>
        <w:tc>
          <w:tcPr>
            <w:tcW w:type="dxa" w:w="1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1.33 (1.00)</w:t>
            </w:r>
          </w:p>
        </w:tc>
        <w:tc>
          <w:tcPr>
            <w:tcW w:type="dxa" w:w="1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4.7</w:t>
            </w:r>
          </w:p>
        </w:tc>
      </w:tr>
      <w:tr>
        <w:tc>
          <w:tcPr>
            <w:tcW w:type="dxa" w:w="2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Liver function test abnormal</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Age 18–44</w:t>
            </w:r>
          </w:p>
        </w:tc>
        <w:tc>
          <w:tcPr>
            <w:tcW w:type="dxa" w:w="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20</w:t>
            </w:r>
          </w:p>
        </w:tc>
        <w:tc>
          <w:tcPr>
            <w:tcW w:type="dxa" w:w="15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2.7 (1.7–4.3)</w:t>
            </w:r>
          </w:p>
        </w:tc>
        <w:tc>
          <w:tcPr>
            <w:tcW w:type="dxa" w:w="1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1.33 (1.00)</w:t>
            </w:r>
          </w:p>
        </w:tc>
        <w:tc>
          <w:tcPr>
            <w:tcW w:type="dxa" w:w="1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5.2</w:t>
            </w:r>
          </w:p>
        </w:tc>
      </w:tr>
      <w:tr>
        <w:tc>
          <w:tcPr>
            <w:tcW w:type="dxa" w:w="2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Micturition urgency</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Age 18–44 M</w:t>
            </w:r>
          </w:p>
        </w:tc>
        <w:tc>
          <w:tcPr>
            <w:tcW w:type="dxa" w:w="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5</w:t>
            </w:r>
          </w:p>
        </w:tc>
        <w:tc>
          <w:tcPr>
            <w:tcW w:type="dxa" w:w="15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5.0 (1.9–12.7)</w:t>
            </w:r>
          </w:p>
        </w:tc>
        <w:tc>
          <w:tcPr>
            <w:tcW w:type="dxa" w:w="1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0.35 (0.2)</w:t>
            </w:r>
          </w:p>
        </w:tc>
        <w:tc>
          <w:tcPr>
            <w:tcW w:type="dxa" w:w="1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3.1</w:t>
            </w:r>
          </w:p>
        </w:tc>
      </w:tr>
      <w:tr>
        <w:tc>
          <w:tcPr>
            <w:tcW w:type="dxa" w:w="2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Cholangitis</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Male</w:t>
            </w:r>
          </w:p>
        </w:tc>
        <w:tc>
          <w:tcPr>
            <w:tcW w:type="dxa" w:w="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18</w:t>
            </w:r>
          </w:p>
        </w:tc>
        <w:tc>
          <w:tcPr>
            <w:tcW w:type="dxa" w:w="15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2.4 (1.5–3.9)</w:t>
            </w:r>
          </w:p>
        </w:tc>
        <w:tc>
          <w:tcPr>
            <w:tcW w:type="dxa" w:w="1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1.16 (0.81)</w:t>
            </w:r>
          </w:p>
        </w:tc>
        <w:tc>
          <w:tcPr>
            <w:tcW w:type="dxa" w:w="1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1.9</w:t>
            </w:r>
          </w:p>
        </w:tc>
      </w:tr>
      <w:tr>
        <w:tc>
          <w:tcPr>
            <w:tcW w:type="dxa" w:w="2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Colitis</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Diabetes indication</w:t>
            </w:r>
          </w:p>
        </w:tc>
        <w:tc>
          <w:tcPr>
            <w:tcW w:type="dxa" w:w="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19</w:t>
            </w:r>
          </w:p>
        </w:tc>
        <w:tc>
          <w:tcPr>
            <w:tcW w:type="dxa" w:w="15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2.3 (1.4–3.9)</w:t>
            </w:r>
          </w:p>
        </w:tc>
        <w:tc>
          <w:tcPr>
            <w:tcW w:type="dxa" w:w="1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0.56 (0.45)</w:t>
            </w:r>
          </w:p>
        </w:tc>
        <w:tc>
          <w:tcPr>
            <w:tcW w:type="dxa" w:w="1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1.6</w:t>
            </w:r>
          </w:p>
        </w:tc>
      </w:tr>
      <w:tr>
        <w:tc>
          <w:tcPr>
            <w:tcW w:type="dxa" w:w="2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Dysgeusia</w:t>
            </w:r>
          </w:p>
        </w:tc>
        <w:tc>
          <w:tcPr>
            <w:tcW w:type="dxa" w:w="17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Male</w:t>
            </w:r>
          </w:p>
        </w:tc>
        <w:tc>
          <w:tcPr>
            <w:tcW w:type="dxa" w:w="8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31</w:t>
            </w:r>
          </w:p>
        </w:tc>
        <w:tc>
          <w:tcPr>
            <w:tcW w:type="dxa" w:w="15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1.6 (1.1–2.3)</w:t>
            </w:r>
          </w:p>
        </w:tc>
        <w:tc>
          <w:tcPr>
            <w:tcW w:type="dxa" w:w="176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1.04 (0.87)</w:t>
            </w:r>
          </w:p>
        </w:tc>
        <w:tc>
          <w:tcPr>
            <w:tcW w:type="dxa" w:w="1300"/>
            <w:tcBorders>
              <w:top w:val="single" w:color="CCD3DA" w:sz="4"/>
              <w:left w:val="single" w:color="CCD3DA" w:sz="4"/>
              <w:bottom w:val="single" w:color="CCD3DA" w:sz="4"/>
              <w:right w:val="single" w:color="CCD3DA" w:sz="4"/>
            </w:tcBorders>
            <w:tcMar>
              <w:top w:type="dxa" w:w="50"/>
              <w:left w:type="dxa" w:w="90"/>
              <w:bottom w:type="dxa" w:w="50"/>
              <w:right w:type="dxa" w:w="90"/>
            </w:tcMar>
          </w:tcPr>
          <w:p>
            <w:r>
              <w:rPr>
                <w:rFonts w:ascii="Calibri" w:cs="Calibri" w:eastAsia="Calibri" w:hAnsi="Calibri"/>
                <w:b w:val="false"/>
                <w:bCs w:val="false"/>
                <w:color w:val="000000"/>
                <w:sz w:val="19"/>
                <w:szCs w:val="19"/>
              </w:rPr>
              <w:t xml:space="preserve">1.6</w:t>
            </w:r>
          </w:p>
        </w:tc>
      </w:tr>
    </w:tbl>
    <w:p>
      <w:pPr>
        <w:spacing w:after="80"/>
      </w:pPr>
    </w:p>
    <w:p>
      <w:pPr>
        <w:spacing w:after="120" w:line="300"/>
      </w:pPr>
      <w:r>
        <w:rPr>
          <w:rFonts w:ascii="Calibri" w:cs="Calibri" w:eastAsia="Calibri" w:hAnsi="Calibri"/>
          <w:sz w:val="22"/>
          <w:szCs w:val="22"/>
        </w:rPr>
        <w:t xml:space="preserve">Interpretation, finding by finding, with the caveats that matter:</w:t>
      </w:r>
    </w:p>
    <w:p>
      <w:pPr>
        <w:pStyle w:val="ListParagraph"/>
        <w:numPr>
          <w:ilvl w:val="0"/>
          <w:numId w:val="2"/>
        </w:numPr>
        <w:spacing w:after="60" w:line="290"/>
      </w:pPr>
      <w:r>
        <w:rPr>
          <w:rFonts w:ascii="Calibri" w:cs="Calibri" w:eastAsia="Calibri" w:hAnsi="Calibri"/>
          <w:b/>
          <w:bCs/>
          <w:sz w:val="22"/>
          <w:szCs w:val="22"/>
        </w:rPr>
        <w:t xml:space="preserve">Liver function test abnormal in 18–44-year-olds. </w:t>
      </w:r>
      <w:r>
        <w:rPr>
          <w:rFonts w:ascii="Calibri" w:cs="Calibri" w:eastAsia="Calibri" w:hAnsi="Calibri"/>
          <w:sz w:val="22"/>
          <w:szCs w:val="22"/>
        </w:rPr>
        <w:t xml:space="preserve">This is the most consistent of the seven: disproportionate in three of four quarters, stronger against other GLP-1 drugs (ROR about 5), and located in the youngest adult group. Its overall lower confidence limit is about 1.0, so it is borderline overall rather than clearly hidden. It sits beside a group of hepatobiliary findings (including cholangitis in men) that deserve a combined look at hepatic events in the label and literature.</w:t>
      </w:r>
    </w:p>
    <w:p>
      <w:pPr>
        <w:pStyle w:val="ListParagraph"/>
        <w:numPr>
          <w:ilvl w:val="0"/>
          <w:numId w:val="2"/>
        </w:numPr>
        <w:spacing w:after="60" w:line="290"/>
      </w:pPr>
      <w:r>
        <w:rPr>
          <w:rFonts w:ascii="Calibri" w:cs="Calibri" w:eastAsia="Calibri" w:hAnsi="Calibri"/>
          <w:b/>
          <w:bCs/>
          <w:sz w:val="22"/>
          <w:szCs w:val="22"/>
        </w:rPr>
        <w:t xml:space="preserve">Vitreous detachment in men. </w:t>
      </w:r>
      <w:r>
        <w:rPr>
          <w:rFonts w:ascii="Calibri" w:cs="Calibri" w:eastAsia="Calibri" w:hAnsi="Calibri"/>
          <w:sz w:val="22"/>
          <w:szCs w:val="22"/>
        </w:rPr>
        <w:t xml:space="preserve">Large ratio but only 6 cases; it fell short of the detection rule in the pooled data and was evaluable in only two quarters. The eye is of interest for GLP-1 drugs generally; I treat this as a small-number lead.</w:t>
      </w:r>
    </w:p>
    <w:p>
      <w:pPr>
        <w:pStyle w:val="ListParagraph"/>
        <w:numPr>
          <w:ilvl w:val="0"/>
          <w:numId w:val="2"/>
        </w:numPr>
        <w:spacing w:after="60" w:line="290"/>
      </w:pPr>
      <w:r>
        <w:rPr>
          <w:rFonts w:ascii="Calibri" w:cs="Calibri" w:eastAsia="Calibri" w:hAnsi="Calibri"/>
          <w:b/>
          <w:bCs/>
          <w:sz w:val="22"/>
          <w:szCs w:val="22"/>
        </w:rPr>
        <w:t xml:space="preserve">Dysgeusia in men. </w:t>
      </w:r>
      <w:r>
        <w:rPr>
          <w:rFonts w:ascii="Calibri" w:cs="Calibri" w:eastAsia="Calibri" w:hAnsi="Calibri"/>
          <w:sz w:val="22"/>
          <w:szCs w:val="22"/>
        </w:rPr>
        <w:t xml:space="preserve">The estimate is modest (lower limit 1.1). Taste disturbance is a known GLP-1-class effect, so I would expect it to be in the label; the point is that the male–female difference is the new question.</w:t>
      </w:r>
    </w:p>
    <w:p>
      <w:pPr>
        <w:pStyle w:val="ListParagraph"/>
        <w:numPr>
          <w:ilvl w:val="0"/>
          <w:numId w:val="2"/>
        </w:numPr>
        <w:spacing w:after="60" w:line="290"/>
      </w:pPr>
      <w:r>
        <w:rPr>
          <w:rFonts w:ascii="Calibri" w:cs="Calibri" w:eastAsia="Calibri" w:hAnsi="Calibri"/>
          <w:b/>
          <w:bCs/>
          <w:sz w:val="22"/>
          <w:szCs w:val="22"/>
        </w:rPr>
        <w:t xml:space="preserve">Colitis in the diabetes indication and micturition urgency in younger men. </w:t>
      </w:r>
      <w:r>
        <w:rPr>
          <w:rFonts w:ascii="Calibri" w:cs="Calibri" w:eastAsia="Calibri" w:hAnsi="Calibri"/>
          <w:sz w:val="22"/>
          <w:szCs w:val="22"/>
        </w:rPr>
        <w:t xml:space="preserve">The overall estimates are below 1, and the Mantel–Haenszel adjusted ROR is also below 1, so these are subgroup-specific excesses in an event that is otherwise under-reported relative to other drugs. They need case-level review before any meaning is attached.</w:t>
      </w:r>
    </w:p>
    <w:p>
      <w:pPr>
        <w:spacing w:after="120" w:line="300"/>
      </w:pPr>
      <w:r>
        <w:rPr>
          <w:rFonts w:ascii="Calibri" w:cs="Calibri" w:eastAsia="Calibri" w:hAnsi="Calibri"/>
          <w:sz w:val="22"/>
          <w:szCs w:val="22"/>
        </w:rPr>
        <w:t xml:space="preserve">The Mantel–Haenszel adjusted overall ROR (age × sex × quarter) was below 1 for colitis (0.51), micturition urgency (0.35) and dysgeusia (0.96), and only slightly above 1 for cholangitis (1.17), liver tests (1.22) and vitreous detachment (1.31); no adjusted interval excluded 1. The excess is therefore concentrated in the subgroup rather than spread across the whole population.</w:t>
      </w:r>
    </w:p>
    <w:p>
      <w:pPr>
        <w:pStyle w:val="Heading2"/>
        <w:spacing w:after="80" w:before="200"/>
      </w:pPr>
      <w:r>
        <w:rPr>
          <w:rFonts w:ascii="Calibri" w:cs="Calibri" w:eastAsia="Calibri" w:hAnsi="Calibri"/>
          <w:b/>
          <w:bCs/>
          <w:color w:val="0B6E6E"/>
          <w:sz w:val="25"/>
          <w:szCs w:val="25"/>
        </w:rPr>
        <w:t xml:space="preserve">6.4 Other patient-characteristic findings (P2)</w:t>
      </w:r>
    </w:p>
    <w:p>
      <w:pPr>
        <w:spacing w:after="120" w:line="300"/>
      </w:pPr>
      <w:r>
        <w:rPr>
          <w:rFonts w:ascii="Calibri" w:cs="Calibri" w:eastAsia="Calibri" w:hAnsi="Calibri"/>
          <w:sz w:val="22"/>
          <w:szCs w:val="22"/>
        </w:rPr>
        <w:t xml:space="preserve">Supported but not fully replicated: gout in men aged 18–44 (6 cases, ROR 5.6), small-intestinal obstruction in men 65+ (10 cases, ROR 3.7), retching and weight fluctuation in people 65+ (about 2.6–2.8), and pancreatic carcinoma in men (22 cases, ROR 2.4). The pancreatic carcinoma finding is of particular care: reports of pancreatic cancer in a population with obesity and diabetes, both risk factors, and with long latency, can reflect the indication or detection bias rather than the drug.</w:t>
      </w:r>
    </w:p>
    <w:p>
      <w:pPr>
        <w:pStyle w:val="Heading1"/>
        <w:spacing w:after="120" w:before="320"/>
      </w:pPr>
      <w:r>
        <w:rPr>
          <w:rFonts w:ascii="Calibri" w:cs="Calibri" w:eastAsia="Calibri" w:hAnsi="Calibri"/>
          <w:b/>
          <w:bCs/>
          <w:color w:val="12303A"/>
          <w:sz w:val="30"/>
          <w:szCs w:val="30"/>
        </w:rPr>
        <w:t xml:space="preserve">7. Recommendations</w:t>
      </w:r>
    </w:p>
    <w:p>
      <w:pPr>
        <w:pStyle w:val="ListParagraph"/>
        <w:numPr>
          <w:ilvl w:val="0"/>
          <w:numId w:val="2"/>
        </w:numPr>
        <w:spacing w:after="60" w:line="290"/>
      </w:pPr>
      <w:r>
        <w:rPr>
          <w:rFonts w:ascii="Calibri" w:cs="Calibri" w:eastAsia="Calibri" w:hAnsi="Calibri"/>
          <w:sz w:val="22"/>
          <w:szCs w:val="22"/>
        </w:rPr>
        <w:t xml:space="preserve">Medical review of the seven P1 findings with case-level narratives, starting with liver function abnormalities in adults 18–44, checking temporal relationship, concomitant drugs and dechallenge.</w:t>
      </w:r>
    </w:p>
    <w:p>
      <w:pPr>
        <w:pStyle w:val="ListParagraph"/>
        <w:numPr>
          <w:ilvl w:val="0"/>
          <w:numId w:val="2"/>
        </w:numPr>
        <w:spacing w:after="60" w:line="290"/>
      </w:pPr>
      <w:r>
        <w:rPr>
          <w:rFonts w:ascii="Calibri" w:cs="Calibri" w:eastAsia="Calibri" w:hAnsi="Calibri"/>
          <w:sz w:val="22"/>
          <w:szCs w:val="22"/>
        </w:rPr>
        <w:t xml:space="preserve">Compare each P1 and P2 event with the current Mounjaro and Zepbound labels before further work; events already labelled move from “new question” to “subgroup pattern”.</w:t>
      </w:r>
    </w:p>
    <w:p>
      <w:pPr>
        <w:pStyle w:val="ListParagraph"/>
        <w:numPr>
          <w:ilvl w:val="0"/>
          <w:numId w:val="2"/>
        </w:numPr>
        <w:spacing w:after="60" w:line="290"/>
      </w:pPr>
      <w:r>
        <w:rPr>
          <w:rFonts w:ascii="Calibri" w:cs="Calibri" w:eastAsia="Calibri" w:hAnsi="Calibri"/>
          <w:sz w:val="22"/>
          <w:szCs w:val="22"/>
        </w:rPr>
        <w:t xml:space="preserve">Treat region and reporter findings as a data-source question first: examine whether non-US reports use different coding practice, different product mix or follow-up requests. Repeat the analysis restricted to healthcare-professional reports to remove the reporter-mix difference.</w:t>
      </w:r>
    </w:p>
    <w:p>
      <w:pPr>
        <w:pStyle w:val="ListParagraph"/>
        <w:numPr>
          <w:ilvl w:val="0"/>
          <w:numId w:val="2"/>
        </w:numPr>
        <w:spacing w:after="60" w:line="290"/>
      </w:pPr>
      <w:r>
        <w:rPr>
          <w:rFonts w:ascii="Calibri" w:cs="Calibri" w:eastAsia="Calibri" w:hAnsi="Calibri"/>
          <w:sz w:val="22"/>
          <w:szCs w:val="22"/>
        </w:rPr>
        <w:t xml:space="preserve">Re-run the screening on later quarters as a replication. A finding that persists in new data is stronger than any threshold I could add to this one.</w:t>
      </w:r>
    </w:p>
    <w:p>
      <w:pPr>
        <w:pStyle w:val="ListParagraph"/>
        <w:numPr>
          <w:ilvl w:val="0"/>
          <w:numId w:val="2"/>
        </w:numPr>
        <w:spacing w:after="60" w:line="290"/>
      </w:pPr>
      <w:r>
        <w:rPr>
          <w:rFonts w:ascii="Calibri" w:cs="Calibri" w:eastAsia="Calibri" w:hAnsi="Calibri"/>
          <w:sz w:val="22"/>
          <w:szCs w:val="22"/>
        </w:rPr>
        <w:t xml:space="preserve">Measure success of follow-up by the number of P1/P2 findings that are either confirmed in case review, matched to labelled events, or closed as reporting artefacts.</w:t>
      </w:r>
    </w:p>
    <w:p>
      <w:pPr>
        <w:pStyle w:val="Heading1"/>
        <w:spacing w:after="120" w:before="320"/>
      </w:pPr>
      <w:r>
        <w:rPr>
          <w:rFonts w:ascii="Calibri" w:cs="Calibri" w:eastAsia="Calibri" w:hAnsi="Calibri"/>
          <w:b/>
          <w:bCs/>
          <w:color w:val="12303A"/>
          <w:sz w:val="30"/>
          <w:szCs w:val="30"/>
        </w:rPr>
        <w:t xml:space="preserve">8. Limitations</w:t>
      </w:r>
    </w:p>
    <w:p>
      <w:pPr>
        <w:pStyle w:val="ListParagraph"/>
        <w:numPr>
          <w:ilvl w:val="0"/>
          <w:numId w:val="2"/>
        </w:numPr>
        <w:spacing w:after="60" w:line="290"/>
      </w:pPr>
      <w:r>
        <w:rPr>
          <w:rFonts w:ascii="Calibri" w:cs="Calibri" w:eastAsia="Calibri" w:hAnsi="Calibri"/>
          <w:sz w:val="22"/>
          <w:szCs w:val="22"/>
        </w:rPr>
        <w:t xml:space="preserve">Spontaneous reports cannot give incidence, and under-reporting and stimulated reporting (media, litigation, new product launches) vary by event and over time.</w:t>
      </w:r>
    </w:p>
    <w:p>
      <w:pPr>
        <w:pStyle w:val="ListParagraph"/>
        <w:numPr>
          <w:ilvl w:val="0"/>
          <w:numId w:val="2"/>
        </w:numPr>
        <w:spacing w:after="60" w:line="290"/>
      </w:pPr>
      <w:r>
        <w:rPr>
          <w:rFonts w:ascii="Calibri" w:cs="Calibri" w:eastAsia="Calibri" w:hAnsi="Calibri"/>
          <w:sz w:val="22"/>
          <w:szCs w:val="22"/>
        </w:rPr>
        <w:t xml:space="preserve">The comparator is all other drugs, a mix of very different patients. A3 narrows this but is limited to patients on other GLP-1 drugs.</w:t>
      </w:r>
    </w:p>
    <w:p>
      <w:pPr>
        <w:pStyle w:val="ListParagraph"/>
        <w:numPr>
          <w:ilvl w:val="0"/>
          <w:numId w:val="2"/>
        </w:numPr>
        <w:spacing w:after="60" w:line="290"/>
      </w:pPr>
      <w:r>
        <w:rPr>
          <w:rFonts w:ascii="Calibri" w:cs="Calibri" w:eastAsia="Calibri" w:hAnsi="Calibri"/>
          <w:sz w:val="22"/>
          <w:szCs w:val="22"/>
        </w:rPr>
        <w:t xml:space="preserve">The adjusted analysis is stratified on age, sex and quarter only. Reporter type, indication and concomitant drugs are not adjusted for, and the reporter-mix difference between tirzepatide and comparator reports is large.</w:t>
      </w:r>
    </w:p>
    <w:p>
      <w:pPr>
        <w:pStyle w:val="ListParagraph"/>
        <w:numPr>
          <w:ilvl w:val="0"/>
          <w:numId w:val="2"/>
        </w:numPr>
        <w:spacing w:after="60" w:line="290"/>
      </w:pPr>
      <w:r>
        <w:rPr>
          <w:rFonts w:ascii="Calibri" w:cs="Calibri" w:eastAsia="Calibri" w:hAnsi="Calibri"/>
          <w:sz w:val="22"/>
          <w:szCs w:val="22"/>
        </w:rPr>
        <w:t xml:space="preserve">Roughly 40% of cases have no usable age, so age-specific results rely on the subset with age recorded.</w:t>
      </w:r>
    </w:p>
    <w:p>
      <w:pPr>
        <w:pStyle w:val="ListParagraph"/>
        <w:numPr>
          <w:ilvl w:val="0"/>
          <w:numId w:val="2"/>
        </w:numPr>
        <w:spacing w:after="60" w:line="290"/>
      </w:pPr>
      <w:r>
        <w:rPr>
          <w:rFonts w:ascii="Calibri" w:cs="Calibri" w:eastAsia="Calibri" w:hAnsi="Calibri"/>
          <w:sz w:val="22"/>
          <w:szCs w:val="22"/>
        </w:rPr>
        <w:t xml:space="preserve">Events are MedDRA Preferred Terms as reported, not grouped by SOC or Standardised MedDRA Query, so related terms (for example several liver test terms) are counted separately. The clinical-area labels in the outputs are keyword groupings I built for navigation, not MedDRA classes.</w:t>
      </w:r>
    </w:p>
    <w:p>
      <w:pPr>
        <w:pStyle w:val="ListParagraph"/>
        <w:numPr>
          <w:ilvl w:val="0"/>
          <w:numId w:val="2"/>
        </w:numPr>
        <w:spacing w:after="60" w:line="290"/>
      </w:pPr>
      <w:r>
        <w:rPr>
          <w:rFonts w:ascii="Calibri" w:cs="Calibri" w:eastAsia="Calibri" w:hAnsi="Calibri"/>
          <w:sz w:val="22"/>
          <w:szCs w:val="22"/>
        </w:rPr>
        <w:t xml:space="preserve">1,406 events were tested across many subgroups. I controlled the false-discovery rate, but some false positives remain expected, especially in H1.</w:t>
      </w:r>
    </w:p>
    <w:p>
      <w:pPr>
        <w:pStyle w:val="ListParagraph"/>
        <w:numPr>
          <w:ilvl w:val="0"/>
          <w:numId w:val="2"/>
        </w:numPr>
        <w:spacing w:after="60" w:line="290"/>
      </w:pPr>
      <w:r>
        <w:rPr>
          <w:rFonts w:ascii="Calibri" w:cs="Calibri" w:eastAsia="Calibri" w:hAnsi="Calibri"/>
          <w:sz w:val="22"/>
          <w:szCs w:val="22"/>
        </w:rPr>
        <w:t xml:space="preserve">Absence of a signal is not evidence of safety.</w:t>
      </w:r>
    </w:p>
    <w:p>
      <w:pPr>
        <w:pStyle w:val="ListParagraph"/>
        <w:numPr>
          <w:ilvl w:val="0"/>
          <w:numId w:val="2"/>
        </w:numPr>
        <w:spacing w:after="60" w:line="290"/>
      </w:pPr>
      <w:r>
        <w:rPr>
          <w:rFonts w:ascii="Calibri" w:cs="Calibri" w:eastAsia="Calibri" w:hAnsi="Calibri"/>
          <w:sz w:val="22"/>
          <w:szCs w:val="22"/>
        </w:rPr>
        <w:t xml:space="preserve">All findings are statistical associations. I have not assessed individual cases, so no causal or clinical conclusion should be drawn.</w:t>
      </w:r>
    </w:p>
    <w:p>
      <w:pPr>
        <w:pStyle w:val="Heading1"/>
        <w:spacing w:after="120" w:before="320"/>
      </w:pPr>
      <w:r>
        <w:rPr>
          <w:rFonts w:ascii="Calibri" w:cs="Calibri" w:eastAsia="Calibri" w:hAnsi="Calibri"/>
          <w:b/>
          <w:bCs/>
          <w:color w:val="12303A"/>
          <w:sz w:val="30"/>
          <w:szCs w:val="30"/>
        </w:rPr>
        <w:t xml:space="preserve">9. Reproducibility</w:t>
      </w:r>
    </w:p>
    <w:p>
      <w:pPr>
        <w:spacing w:after="120" w:line="300"/>
      </w:pPr>
      <w:r>
        <w:rPr>
          <w:rFonts w:ascii="Calibri" w:cs="Calibri" w:eastAsia="Calibri" w:hAnsi="Calibri"/>
          <w:sz w:val="22"/>
          <w:szCs w:val="22"/>
        </w:rPr>
        <w:t xml:space="preserve">The whole pipeline is a sequence of MySQL scripts (sql/00 to sql/15; sql/99_run_all.sql runs them in order). Each script writes its row counts to the etl_log table, which is exported as the cleaning log. The final result tables are exported as CSV files that feed the interactive dashboard, the Power BI report and the Excel workbook, so every figure in this report can be traced to a query.</w:t>
      </w:r>
    </w:p>
    <w:p>
      <w:pPr>
        <w:pStyle w:val="Heading1"/>
        <w:spacing w:after="120" w:before="320"/>
      </w:pPr>
      <w:r>
        <w:rPr>
          <w:rFonts w:ascii="Calibri" w:cs="Calibri" w:eastAsia="Calibri" w:hAnsi="Calibri"/>
          <w:b/>
          <w:bCs/>
          <w:color w:val="12303A"/>
          <w:sz w:val="30"/>
          <w:szCs w:val="30"/>
        </w:rPr>
        <w:t xml:space="preserve">References</w:t>
      </w:r>
    </w:p>
    <w:p>
      <w:pPr>
        <w:spacing w:after="80"/>
        <w:ind w:left="360" w:hanging="360"/>
      </w:pPr>
      <w:r>
        <w:rPr>
          <w:rFonts w:ascii="Calibri" w:cs="Calibri" w:eastAsia="Calibri" w:hAnsi="Calibri"/>
          <w:sz w:val="22"/>
          <w:szCs w:val="22"/>
        </w:rPr>
        <w:t xml:space="preserve">Evans SJW, Waller PC, Davis S. Use of proportional reporting ratios (PRRs) for signal generation from spontaneous adverse drug reaction reports. Pharmacoepidemiology and Drug Safety 2001;10:483–486.</w:t>
      </w:r>
    </w:p>
    <w:p>
      <w:pPr>
        <w:spacing w:after="80"/>
        <w:ind w:left="360" w:hanging="360"/>
      </w:pPr>
      <w:r>
        <w:rPr>
          <w:rFonts w:ascii="Calibri" w:cs="Calibri" w:eastAsia="Calibri" w:hAnsi="Calibri"/>
          <w:sz w:val="22"/>
          <w:szCs w:val="22"/>
        </w:rPr>
        <w:t xml:space="preserve">van Puijenbroek EP, Bate A, Leufkens HGM, Lindquist M, Orre R, Egberts ACG. A comparison of measures of disproportionality for signal detection in spontaneous reporting systems for adverse drug reactions. Pharmacoepidemiology and Drug Safety 2002;11:3–10.</w:t>
      </w:r>
    </w:p>
    <w:p>
      <w:pPr>
        <w:spacing w:after="80"/>
        <w:ind w:left="360" w:hanging="360"/>
      </w:pPr>
      <w:r>
        <w:rPr>
          <w:rFonts w:ascii="Calibri" w:cs="Calibri" w:eastAsia="Calibri" w:hAnsi="Calibri"/>
          <w:sz w:val="22"/>
          <w:szCs w:val="22"/>
        </w:rPr>
        <w:t xml:space="preserve">Bate A, Lindquist M, Edwards IR, et al. A Bayesian neural network method for adverse drug reaction signal generation. European Journal of Clinical Pharmacology 1998;54:315–321.</w:t>
      </w:r>
    </w:p>
    <w:p>
      <w:pPr>
        <w:spacing w:after="80"/>
        <w:ind w:left="360" w:hanging="360"/>
      </w:pPr>
      <w:r>
        <w:rPr>
          <w:rFonts w:ascii="Calibri" w:cs="Calibri" w:eastAsia="Calibri" w:hAnsi="Calibri"/>
          <w:sz w:val="22"/>
          <w:szCs w:val="22"/>
        </w:rPr>
        <w:t xml:space="preserve">Norén GN, Bate A, Orre R, Edwards IR. Extending the methods used to screen the WHO drug safety database towards analysis of complex associations and improved accuracy for rare events. Statistics in Medicine 2006;25:3740–3757.</w:t>
      </w:r>
    </w:p>
    <w:p>
      <w:pPr>
        <w:spacing w:after="80"/>
        <w:ind w:left="360" w:hanging="360"/>
      </w:pPr>
      <w:r>
        <w:rPr>
          <w:rFonts w:ascii="Calibri" w:cs="Calibri" w:eastAsia="Calibri" w:hAnsi="Calibri"/>
          <w:sz w:val="22"/>
          <w:szCs w:val="22"/>
        </w:rPr>
        <w:t xml:space="preserve">Mantel N, Haenszel W. Statistical aspects of the analysis of data from retrospective studies of disease. Journal of the National Cancer Institute 1959;22:719–748.</w:t>
      </w:r>
    </w:p>
    <w:p>
      <w:pPr>
        <w:spacing w:after="80"/>
        <w:ind w:left="360" w:hanging="360"/>
      </w:pPr>
      <w:r>
        <w:rPr>
          <w:rFonts w:ascii="Calibri" w:cs="Calibri" w:eastAsia="Calibri" w:hAnsi="Calibri"/>
          <w:sz w:val="22"/>
          <w:szCs w:val="22"/>
        </w:rPr>
        <w:t xml:space="preserve">Robins J, Breslow N, Greenland S. Estimators of the Mantel–Haenszel variance consistent in both sparse data and large-strata limiting models. Biometrics 1986;42:311–323.</w:t>
      </w:r>
    </w:p>
    <w:p>
      <w:pPr>
        <w:spacing w:after="80"/>
        <w:ind w:left="360" w:hanging="360"/>
      </w:pPr>
      <w:r>
        <w:rPr>
          <w:rFonts w:ascii="Calibri" w:cs="Calibri" w:eastAsia="Calibri" w:hAnsi="Calibri"/>
          <w:sz w:val="22"/>
          <w:szCs w:val="22"/>
        </w:rPr>
        <w:t xml:space="preserve">Cochran WG. The combination of estimates from different experiments. Biometrics 1954;10:101–129.</w:t>
      </w:r>
    </w:p>
    <w:p>
      <w:pPr>
        <w:spacing w:after="80"/>
        <w:ind w:left="360" w:hanging="360"/>
      </w:pPr>
      <w:r>
        <w:rPr>
          <w:rFonts w:ascii="Calibri" w:cs="Calibri" w:eastAsia="Calibri" w:hAnsi="Calibri"/>
          <w:sz w:val="22"/>
          <w:szCs w:val="22"/>
        </w:rPr>
        <w:t xml:space="preserve">Benjamini Y, Hochberg Y. Controlling the false discovery rate: a practical and powerful approach to multiple testing. Journal of the Royal Statistical Society B 1995;57:289–300.</w:t>
      </w:r>
    </w:p>
    <w:p>
      <w:pPr>
        <w:spacing w:after="80"/>
        <w:ind w:left="360" w:hanging="360"/>
      </w:pPr>
      <w:r>
        <w:rPr>
          <w:rFonts w:ascii="Calibri" w:cs="Calibri" w:eastAsia="Calibri" w:hAnsi="Calibri"/>
          <w:sz w:val="22"/>
          <w:szCs w:val="22"/>
        </w:rPr>
        <w:t xml:space="preserve">Gelman A, Stern H. The difference between “significant” and “not significant” is not itself statistically significant. The American Statistician 2006;60:328–331.</w:t>
      </w:r>
    </w:p>
    <w:p>
      <w:pPr>
        <w:spacing w:after="80"/>
        <w:ind w:left="360" w:hanging="360"/>
      </w:pPr>
      <w:r>
        <w:rPr>
          <w:rFonts w:ascii="Calibri" w:cs="Calibri" w:eastAsia="Calibri" w:hAnsi="Calibri"/>
          <w:sz w:val="22"/>
          <w:szCs w:val="22"/>
        </w:rPr>
        <w:t xml:space="preserve">European Medicines Agency. Guideline on good pharmacovigilance practices (GVP) Module IX – Signal management (Rev 1), 2017.</w:t>
      </w:r>
    </w:p>
    <w:p>
      <w:pPr>
        <w:spacing w:after="80"/>
        <w:ind w:left="360" w:hanging="360"/>
      </w:pPr>
      <w:r>
        <w:rPr>
          <w:rFonts w:ascii="Calibri" w:cs="Calibri" w:eastAsia="Calibri" w:hAnsi="Calibri"/>
          <w:sz w:val="22"/>
          <w:szCs w:val="22"/>
        </w:rPr>
        <w:t xml:space="preserve">CIOMS Working Group VIII. Practical aspects of signal detection in pharmacovigilance. Geneva: CIOMS; 2010.</w:t>
      </w:r>
    </w:p>
    <w:p>
      <w:pPr>
        <w:spacing w:after="80"/>
        <w:ind w:left="360" w:hanging="360"/>
      </w:pPr>
      <w:r>
        <w:rPr>
          <w:rFonts w:ascii="Calibri" w:cs="Calibri" w:eastAsia="Calibri" w:hAnsi="Calibri"/>
          <w:sz w:val="22"/>
          <w:szCs w:val="22"/>
        </w:rPr>
        <w:t xml:space="preserve">US Food and Drug Administration. FDA Adverse Event Reporting System (FAERS) public dashboard and quarterly data files.</w:t>
      </w:r>
    </w:p>
    <w:p>
      <w:pPr>
        <w:spacing w:after="80"/>
        <w:ind w:left="360" w:hanging="360"/>
      </w:pPr>
      <w:r>
        <w:rPr>
          <w:rFonts w:ascii="Calibri" w:cs="Calibri" w:eastAsia="Calibri" w:hAnsi="Calibri"/>
          <w:sz w:val="22"/>
          <w:szCs w:val="22"/>
        </w:rPr>
        <w:t xml:space="preserve">Fusaroli M, et al. The REporting of A Disproportionality analysis for drUg Safety signal detection using spontaneously reported adverse events in PharmacoVigilance (READUS-PV) guideline. Drug Safety 2024.</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Tirzepatide FAERS subgroup signal analysis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Tirzepatide FAERS subgroup signal analysis</dc:title>
  <dc:creator>Humphery Eloke</dc:creator>
  <cp:lastModifiedBy>Un-named</cp:lastModifiedBy>
  <cp:revision>1</cp:revision>
  <dcterms:created xsi:type="dcterms:W3CDTF">2026-10-26T06:55:21.839Z</dcterms:created>
  <dcterms:modified xsi:type="dcterms:W3CDTF">2026-10-26T06:55:21.848Z</dcterms:modified>
</cp:coreProperties>
</file>

<file path=docProps/custom.xml><?xml version="1.0" encoding="utf-8"?>
<Properties xmlns="http://schemas.openxmlformats.org/officeDocument/2006/custom-properties" xmlns:vt="http://schemas.openxmlformats.org/officeDocument/2006/docPropsVTypes"/>
</file>