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22D294">
      <w:pPr>
        <w:pStyle w:val="2"/>
        <w:bidi w:val="0"/>
        <w:spacing w:line="360" w:lineRule="auto"/>
        <w:jc w:val="both"/>
        <w:rPr>
          <w:rFonts w:hint="default" w:ascii="Times New Roman" w:hAnsi="Times New Roman" w:cs="Times New Roman"/>
          <w:b/>
          <w:bCs/>
          <w:color w:val="auto"/>
        </w:rPr>
      </w:pPr>
      <w:r>
        <w:rPr>
          <w:rFonts w:hint="default" w:ascii="Times New Roman" w:hAnsi="Times New Roman" w:cs="Times New Roman"/>
          <w:b/>
          <w:bCs/>
          <w:color w:val="auto"/>
        </w:rPr>
        <w:t>Hidden adverse-event signals in tirzepatide reports</w:t>
      </w:r>
    </w:p>
    <w:p w14:paraId="0DAAB770">
      <w:pPr>
        <w:spacing w:after="240" w:line="360" w:lineRule="auto"/>
        <w:jc w:val="both"/>
        <w:rPr>
          <w:rFonts w:hint="default" w:ascii="Times New Roman" w:hAnsi="Times New Roman" w:cs="Times New Roman"/>
          <w:b/>
          <w:bCs/>
          <w:color w:val="auto"/>
        </w:rPr>
      </w:pPr>
      <w:r>
        <w:rPr>
          <w:rFonts w:hint="default" w:ascii="Times New Roman" w:hAnsi="Times New Roman" w:eastAsia="Calibri" w:cs="Times New Roman"/>
          <w:b/>
          <w:bCs/>
          <w:color w:val="auto"/>
          <w:sz w:val="30"/>
          <w:szCs w:val="30"/>
        </w:rPr>
        <w:t>A stratified disproportionality analysis of FDA FAERS, 2025 Q1–Q4</w:t>
      </w:r>
    </w:p>
    <w:p w14:paraId="7DCA7142">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Humphery Chinedu Eloke · Pharmacology · Pharmacovigilance portfolio project</w:t>
      </w:r>
    </w:p>
    <w:p w14:paraId="4F402361">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Tools: MySQL (all cleaning and analysis), Power BI / HTML dashboard, Excel</w:t>
      </w:r>
    </w:p>
    <w:p w14:paraId="1B5B87D1">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4"/>
          <w:szCs w:val="24"/>
        </w:rPr>
        <w:t>Code and data pipeline: see the project repository (sql/ folder, scripts 00–15).</w:t>
      </w:r>
    </w:p>
    <w:p w14:paraId="74DB5E01">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1. Summary</w:t>
      </w:r>
    </w:p>
    <w:p w14:paraId="33D4FD9B">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Spontaneous-report databases are normally screened for the whole reporting population at once. An adverse event that is only over-reported in one group, for example one sex, one age band, one region or one type of reporter, can look unremarkable in the pooled analysis and be missed. I set out to find those “hidden” subgroup signals for tirzepatide (Mounjaro / Zepbound) using the four 2025 quarterly FAERS files, starting from the raw ASCII downloads.</w:t>
      </w:r>
    </w:p>
    <w:p w14:paraId="51228518">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Data: </w:t>
      </w:r>
      <w:r>
        <w:rPr>
          <w:rFonts w:hint="default" w:ascii="Times New Roman" w:hAnsi="Times New Roman" w:eastAsia="Calibri" w:cs="Times New Roman"/>
          <w:color w:val="auto"/>
          <w:sz w:val="24"/>
          <w:szCs w:val="24"/>
        </w:rPr>
        <w:t>1,617,444 raw report rows were reduced to 1,465,808 unique cases after removing FDA-deleted cases, keeping the latest version of each case and dropping 25,729 probable cross-source duplicates (1,440,079 cases analysed). Tirzepatide was the primary suspect drug in 58,877 cases.</w:t>
      </w:r>
    </w:p>
    <w:p w14:paraId="3FFA5F85">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Screening: </w:t>
      </w:r>
      <w:r>
        <w:rPr>
          <w:rFonts w:hint="default" w:ascii="Times New Roman" w:hAnsi="Times New Roman" w:eastAsia="Calibri" w:cs="Times New Roman"/>
          <w:color w:val="auto"/>
          <w:sz w:val="24"/>
          <w:szCs w:val="24"/>
        </w:rPr>
        <w:t>1,406 adverse-event terms (MedDRA Preferred Terms with at least 3 tirzepatide cases) were tested overall and in every subgroup. 168 terms (11.9%) were disproportionately reported overall.</w:t>
      </w:r>
    </w:p>
    <w:p w14:paraId="42DE477C">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Hidden signals: </w:t>
      </w:r>
      <w:r>
        <w:rPr>
          <w:rFonts w:hint="default" w:ascii="Times New Roman" w:hAnsi="Times New Roman" w:eastAsia="Calibri" w:cs="Times New Roman"/>
          <w:color w:val="auto"/>
          <w:sz w:val="24"/>
          <w:szCs w:val="24"/>
        </w:rPr>
        <w:t>160 terms (11.4%) were not detected overall but were detected in at least one subgroup, giving 250 event-by-subgroup findings.</w:t>
      </w:r>
    </w:p>
    <w:p w14:paraId="3D16D910">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Evidence grading: </w:t>
      </w:r>
      <w:r>
        <w:rPr>
          <w:rFonts w:hint="default" w:ascii="Times New Roman" w:hAnsi="Times New Roman" w:eastAsia="Calibri" w:cs="Times New Roman"/>
          <w:color w:val="auto"/>
          <w:sz w:val="24"/>
          <w:szCs w:val="24"/>
        </w:rPr>
        <w:t>101 findings passed all five robustness checks (tier H3), 48 passed the three core checks (H2) and 101 were candidates only (H1).</w:t>
      </w:r>
    </w:p>
    <w:p w14:paraId="38D0DB15">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Where they are: </w:t>
      </w:r>
      <w:r>
        <w:rPr>
          <w:rFonts w:hint="default" w:ascii="Times New Roman" w:hAnsi="Times New Roman" w:eastAsia="Calibri" w:cs="Times New Roman"/>
          <w:color w:val="auto"/>
          <w:sz w:val="24"/>
          <w:szCs w:val="24"/>
        </w:rPr>
        <w:t>Most hidden findings sit in region (116) and reporter-type (53) subgroups. These mainly reflect how cases are reported, so I rank them below patient-characteristic findings. Seven findings (six events) are robust and sit in sex, age or indication subgroups; these are my highest-priority candidates for further review.</w:t>
      </w:r>
    </w:p>
    <w:p w14:paraId="20780F3C">
      <w:pPr>
        <w:spacing w:after="120" w:line="360" w:lineRule="auto"/>
        <w:jc w:val="both"/>
        <w:rPr>
          <w:rFonts w:hint="default" w:ascii="Times New Roman" w:hAnsi="Times New Roman" w:eastAsia="Calibri" w:cs="Times New Roman"/>
          <w:b/>
          <w:bCs/>
          <w:color w:val="auto"/>
          <w:sz w:val="24"/>
          <w:szCs w:val="24"/>
        </w:rPr>
      </w:pPr>
      <w:r>
        <w:rPr>
          <w:rFonts w:hint="default" w:ascii="Times New Roman" w:hAnsi="Times New Roman" w:eastAsia="Calibri" w:cs="Times New Roman"/>
          <w:color w:val="auto"/>
          <w:sz w:val="24"/>
          <w:szCs w:val="24"/>
        </w:rPr>
        <w:t>None of this establishes that tirzepatide causes any of these events. FAERS has no denominator, under-reports, and contains reports from consumers, manufacturers and clinicians of mixed quality. The output is a prioritised list of questions for a safety physician, not a list of risks.</w:t>
      </w:r>
    </w:p>
    <w:p w14:paraId="23621946">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2. Background and objective</w:t>
      </w:r>
    </w:p>
    <w:p w14:paraId="0372A480">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Tirzepatide is a dual GIP/GLP-1 receptor agonist approved for type 2 diabetes (Mounjaro) and for weight management (Zepbound). Reporting rose steeply through 2025 as use expanded. Signal detection in pharmacovigilance normally relies on disproportionality analysis, which asks whether an event is reported more often with one drug than with all other drugs in the database. Regulators and the CIOMS working group recommend examining subgroups, because a pooled estimate can hide a real effect in one stratum and can also be driven by one stratum alone.</w:t>
      </w:r>
    </w:p>
    <w:p w14:paraId="06D86B23">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Objective: </w:t>
      </w:r>
      <w:r>
        <w:rPr>
          <w:rFonts w:hint="default" w:ascii="Times New Roman" w:hAnsi="Times New Roman" w:eastAsia="Calibri" w:cs="Times New Roman"/>
          <w:color w:val="auto"/>
          <w:sz w:val="24"/>
          <w:szCs w:val="24"/>
        </w:rPr>
        <w:t>to identify adverse events whose disproportionate reporting with tirzepatide is concentrated in a patient or reporting subgroup, grade how well each finding holds up, and present the result as a ranked, reviewable list.</w:t>
      </w:r>
    </w:p>
    <w:p w14:paraId="3CD5C816">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Intended user: </w:t>
      </w:r>
      <w:r>
        <w:rPr>
          <w:rFonts w:hint="default" w:ascii="Times New Roman" w:hAnsi="Times New Roman" w:eastAsia="Calibri" w:cs="Times New Roman"/>
          <w:color w:val="auto"/>
          <w:sz w:val="24"/>
          <w:szCs w:val="24"/>
        </w:rPr>
        <w:t>a pharmacovigilance scientist or safety physician deciding which event–subgroup combinations deserve case review, label comparison or a targeted literature search.</w:t>
      </w:r>
    </w:p>
    <w:p w14:paraId="16C6E175">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3. Data</w:t>
      </w:r>
    </w:p>
    <w:p w14:paraId="0A258E67">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I used the public FAERS quarterly ASCII files for 2025 Q1 to Q4 from the FDA, with the DEMO (report and patient), DRUG, REAC (reactions, coded to MedDRA Preferred Terms), OUTC (outcomes) and INDI (indications) tables plus the quarterly deleted-case lists. One row in DEMO is one report version; one case can have several versions and, across sources, several reports.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0"/>
        <w:gridCol w:w="4360"/>
      </w:tblGrid>
      <w:tr w14:paraId="619A9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0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53CDD803">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Table</w:t>
            </w:r>
          </w:p>
        </w:tc>
        <w:tc>
          <w:tcPr>
            <w:tcW w:w="43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13045FC7">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Raw rows loaded</w:t>
            </w:r>
          </w:p>
        </w:tc>
      </w:tr>
      <w:tr w14:paraId="4F164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70BFCFE">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DEMO (reports)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F303F97">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1,617,444</w:t>
            </w:r>
          </w:p>
        </w:tc>
      </w:tr>
      <w:tr w14:paraId="4AA4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32154AC">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DRUG (drug records)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565040F">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7,801,018</w:t>
            </w:r>
          </w:p>
        </w:tc>
      </w:tr>
      <w:tr w14:paraId="7D8C6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64B4F10">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REAC (reactions)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F646FEB">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5,657,830</w:t>
            </w:r>
          </w:p>
        </w:tc>
      </w:tr>
      <w:tr w14:paraId="2E090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CFAC663">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OUTC (outcomes)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7F6EF8B">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1,232,582</w:t>
            </w:r>
          </w:p>
        </w:tc>
      </w:tr>
      <w:tr w14:paraId="5DFA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B0F131A">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INDI (indications)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2A88650">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4,821,589</w:t>
            </w:r>
          </w:p>
        </w:tc>
      </w:tr>
      <w:tr w14:paraId="25038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64696F2">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Deleted-case lists</w:t>
            </w:r>
          </w:p>
        </w:tc>
        <w:tc>
          <w:tcPr>
            <w:tcW w:w="43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0440B34">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21,551</w:t>
            </w:r>
          </w:p>
        </w:tc>
      </w:tr>
    </w:tbl>
    <w:p w14:paraId="63C27E89">
      <w:pPr>
        <w:spacing w:after="80" w:line="360" w:lineRule="auto"/>
        <w:jc w:val="both"/>
        <w:rPr>
          <w:rFonts w:hint="default" w:ascii="Times New Roman" w:hAnsi="Times New Roman" w:cs="Times New Roman"/>
          <w:color w:val="auto"/>
          <w:sz w:val="24"/>
          <w:szCs w:val="24"/>
        </w:rPr>
      </w:pPr>
    </w:p>
    <w:p w14:paraId="01810E0D">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FAERS contains suspected adverse event reports, not confirmed drug effects. It does not record how many people took the drug, so reporting counts cannot be turned into risk or incidence.</w:t>
      </w:r>
    </w:p>
    <w:p w14:paraId="23EC41B8">
      <w:pPr>
        <w:pStyle w:val="2"/>
        <w:spacing w:before="320" w:after="120" w:line="360" w:lineRule="auto"/>
        <w:jc w:val="both"/>
        <w:rPr>
          <w:rFonts w:hint="default" w:ascii="Times New Roman" w:hAnsi="Times New Roman" w:eastAsia="Calibri" w:cs="Times New Roman"/>
          <w:b/>
          <w:bCs/>
          <w:color w:val="auto"/>
          <w:sz w:val="30"/>
          <w:szCs w:val="30"/>
        </w:rPr>
      </w:pPr>
    </w:p>
    <w:p w14:paraId="1E6D4B15">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4. Data audit and cleaning</w:t>
      </w:r>
    </w:p>
    <w:p w14:paraId="53E48C8E">
      <w:pPr>
        <w:spacing w:after="120" w:line="360" w:lineRule="auto"/>
        <w:jc w:val="both"/>
        <w:rPr>
          <w:rFonts w:hint="default" w:ascii="Times New Roman" w:hAnsi="Times New Roman" w:eastAsia="Calibri" w:cs="Times New Roman"/>
          <w:b/>
          <w:bCs/>
          <w:color w:val="auto"/>
          <w:sz w:val="24"/>
          <w:szCs w:val="24"/>
        </w:rPr>
      </w:pPr>
      <w:r>
        <w:rPr>
          <w:rFonts w:hint="default" w:ascii="Times New Roman" w:hAnsi="Times New Roman" w:eastAsia="Calibri" w:cs="Times New Roman"/>
          <w:color w:val="auto"/>
          <w:sz w:val="24"/>
          <w:szCs w:val="24"/>
        </w:rPr>
        <w:t>I audited the files before loading anything into analysis tables (script 03) and documented every cleaning step in a log table (cleaning_log.csv).</w:t>
      </w:r>
    </w:p>
    <w:p w14:paraId="6823317C">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4.1 Problems found in the raw files</w:t>
      </w:r>
    </w:p>
    <w:p w14:paraId="2972CABB">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files use “$” as the delimiter. The DRUG files end lines with CRLF while the others use LF; loading all with one line terminator silently corrupted the last column, so each file is loaded with its own terminator.</w:t>
      </w:r>
    </w:p>
    <w:p w14:paraId="53AAA031">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deleted-case files have a blank first line.</w:t>
      </w:r>
    </w:p>
    <w:p w14:paraId="7CC898A1">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same case ID appears in several versions across quarters; the most recent version supersedes the others.</w:t>
      </w:r>
    </w:p>
    <w:p w14:paraId="7BE9DF52">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Age is reported in several units (years, months, weeks, days, decades) and contains impossible values; 582,176 cases (39.7% of clean cases) had missing or implausible age and were kept as “Unknown” rather than guessed.</w:t>
      </w:r>
    </w:p>
    <w:p w14:paraId="4673D74A">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Drug names are free text: 66,654 distinct spellings. I mapped 71 spellings to tirzepatide and 114 to other GLP-1 receptor agonists using explicit rules and reviewed the matches.</w:t>
      </w:r>
    </w:p>
    <w:p w14:paraId="70AF55F2">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Some drug records repeat the same (report, drug sequence) pair, so that pair cannot be used as a primary key.</w:t>
      </w:r>
    </w:p>
    <w:p w14:paraId="3702B308">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4.2 Case flow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200"/>
        <w:gridCol w:w="3160"/>
      </w:tblGrid>
      <w:tr w14:paraId="4C6F0D79">
        <w:tblPrEx>
          <w:tblCellMar>
            <w:top w:w="0" w:type="dxa"/>
            <w:left w:w="10" w:type="dxa"/>
            <w:bottom w:w="0" w:type="dxa"/>
            <w:right w:w="10" w:type="dxa"/>
          </w:tblCellMar>
        </w:tblPrEx>
        <w:trPr>
          <w:tblHeader/>
        </w:trPr>
        <w:tc>
          <w:tcPr>
            <w:tcW w:w="62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2542D5BE">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Step</w:t>
            </w:r>
          </w:p>
        </w:tc>
        <w:tc>
          <w:tcPr>
            <w:tcW w:w="31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0A4DF214">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Cases</w:t>
            </w:r>
          </w:p>
        </w:tc>
      </w:tr>
      <w:tr w14:paraId="7D2C1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8F743B4">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Distinct case IDs in raw data</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8E1201B">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1,469,305</w:t>
            </w:r>
          </w:p>
        </w:tc>
      </w:tr>
      <w:tr w14:paraId="5F9F1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091ED29">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Removed: on FDA deleted lists</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59768CA">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3,497</w:t>
            </w:r>
          </w:p>
        </w:tc>
      </w:tr>
      <w:tr w14:paraId="10F4B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A17759A">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Older versions discarded (latest kept)</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07E3C5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147,966 report versions</w:t>
            </w:r>
          </w:p>
        </w:tc>
      </w:tr>
      <w:tr w14:paraId="00074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5F7A90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Clean unique cases</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4A21319">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1,465,808</w:t>
            </w:r>
          </w:p>
        </w:tc>
      </w:tr>
      <w:tr w14:paraId="64065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2A47975">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Probable cross-source duplicates removed</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86519C7">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25,729</w:t>
            </w:r>
          </w:p>
        </w:tc>
      </w:tr>
      <w:tr w14:paraId="6C5C3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C65EC3A">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Cases in analysis dataset</w:t>
            </w:r>
          </w:p>
        </w:tc>
        <w:tc>
          <w:tcPr>
            <w:tcW w:w="31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2394B5C">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1,440,079</w:t>
            </w:r>
          </w:p>
        </w:tc>
      </w:tr>
    </w:tbl>
    <w:p w14:paraId="775C6490">
      <w:pPr>
        <w:spacing w:after="80" w:line="360" w:lineRule="auto"/>
        <w:jc w:val="both"/>
        <w:rPr>
          <w:rFonts w:hint="default" w:ascii="Times New Roman" w:hAnsi="Times New Roman" w:cs="Times New Roman"/>
          <w:color w:val="auto"/>
        </w:rPr>
      </w:pPr>
    </w:p>
    <w:p w14:paraId="4F9AEA30">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Duplicate rule (conservative): cases from different sources were treated as probable duplicates only when event date, age, sex, event country, the exact set of reaction terms and the exact set of primary-suspect drug names all matched; the lowest case ID in each group was kept. I chose a strict rule so that genuine separate cases were not removed.</w:t>
      </w:r>
    </w:p>
    <w:p w14:paraId="147C52A6">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5. Methods</w:t>
      </w:r>
    </w:p>
    <w:p w14:paraId="4BAB7598">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5.1 Exposure and comparison groups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2700"/>
        <w:gridCol w:w="2760"/>
        <w:gridCol w:w="2200"/>
      </w:tblGrid>
      <w:tr w14:paraId="08905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02A57A2B">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Analysis</w:t>
            </w:r>
          </w:p>
        </w:tc>
        <w:tc>
          <w:tcPr>
            <w:tcW w:w="2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0827A192">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Exposed group</w:t>
            </w:r>
          </w:p>
        </w:tc>
        <w:tc>
          <w:tcPr>
            <w:tcW w:w="27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7D94A529">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Comparator</w:t>
            </w:r>
          </w:p>
        </w:tc>
        <w:tc>
          <w:tcPr>
            <w:tcW w:w="22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7A4DBAE7">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Purpose</w:t>
            </w:r>
          </w:p>
        </w:tc>
      </w:tr>
      <w:tr w14:paraId="407F0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222DBA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A1 (primary)</w:t>
            </w:r>
          </w:p>
        </w:tc>
        <w:tc>
          <w:tcPr>
            <w:tcW w:w="2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F309300">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Tirzepatide as primary suspect (58,877)</w:t>
            </w:r>
          </w:p>
        </w:tc>
        <w:tc>
          <w:tcPr>
            <w:tcW w:w="2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783AC7E">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Cases with no tirzepatide in any role (1,377,255)</w:t>
            </w:r>
          </w:p>
        </w:tc>
        <w:tc>
          <w:tcPr>
            <w:tcW w:w="2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00B7A8F">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Main screening</w:t>
            </w:r>
          </w:p>
        </w:tc>
      </w:tr>
      <w:tr w14:paraId="4B0B1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859CBB1">
            <w:pPr>
              <w:spacing w:line="360" w:lineRule="auto"/>
              <w:jc w:val="left"/>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A2 (sensitivity)</w:t>
            </w:r>
          </w:p>
        </w:tc>
        <w:tc>
          <w:tcPr>
            <w:tcW w:w="2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FBC4E0B">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Tirzepatide as primary or secondary suspect (59,772)</w:t>
            </w:r>
          </w:p>
        </w:tc>
        <w:tc>
          <w:tcPr>
            <w:tcW w:w="2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0A70F79">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Same as A1</w:t>
            </w:r>
          </w:p>
        </w:tc>
        <w:tc>
          <w:tcPr>
            <w:tcW w:w="2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BC14EE2">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Is the result sensitive to how exposure is defined?</w:t>
            </w:r>
          </w:p>
        </w:tc>
      </w:tr>
      <w:tr w14:paraId="08B54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63894A2">
            <w:pPr>
              <w:spacing w:line="360" w:lineRule="auto"/>
              <w:jc w:val="left"/>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A3 (active comparator)</w:t>
            </w:r>
          </w:p>
        </w:tc>
        <w:tc>
          <w:tcPr>
            <w:tcW w:w="2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EEF84EF">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Tirzepatide primary suspect without another GLP-1 RA suspect (58,458)</w:t>
            </w:r>
          </w:p>
        </w:tc>
        <w:tc>
          <w:tcPr>
            <w:tcW w:w="2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1D6DB00">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Other GLP-1 RA as primary suspect (28,455)</w:t>
            </w:r>
          </w:p>
        </w:tc>
        <w:tc>
          <w:tcPr>
            <w:tcW w:w="2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AA2BB3F">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Separates tirzepatide-specific from class-wide reporting</w:t>
            </w:r>
          </w:p>
        </w:tc>
      </w:tr>
    </w:tbl>
    <w:p w14:paraId="066B2C55">
      <w:pPr>
        <w:spacing w:after="80" w:line="360" w:lineRule="auto"/>
        <w:jc w:val="both"/>
        <w:rPr>
          <w:rFonts w:hint="default" w:ascii="Times New Roman" w:hAnsi="Times New Roman" w:cs="Times New Roman"/>
          <w:color w:val="auto"/>
          <w:sz w:val="22"/>
          <w:szCs w:val="22"/>
        </w:rPr>
      </w:pPr>
    </w:p>
    <w:p w14:paraId="0D6518B5">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5.2 Disproportionality measures</w:t>
      </w:r>
    </w:p>
    <w:p w14:paraId="29FBD10E">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For each event I built a 2×2 table (cases with the event / without, tirzepatide / comparator) and calculated the reporting odds ratio (ROR) with its 95% confidence interval, the proportional reporting ratio (PRR) with chi-square, and the Bayesian Information Component (IC) with its lower 95% credibility bound (IC025). A 0.5 continuity correction was applied for zero cells. These are the measures used by regulators and by the WHO Uppsala Monitoring Centre (Evans 2001; van Puijenbroek 2002; Bate 1998; Norén 2006).</w:t>
      </w:r>
    </w:p>
    <w:p w14:paraId="070DA4A2">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Detection rule: </w:t>
      </w:r>
      <w:r>
        <w:rPr>
          <w:rFonts w:hint="default" w:ascii="Times New Roman" w:hAnsi="Times New Roman" w:eastAsia="Calibri" w:cs="Times New Roman"/>
          <w:color w:val="auto"/>
          <w:sz w:val="24"/>
          <w:szCs w:val="24"/>
        </w:rPr>
        <w:t>at least 3 exposed cases, and ROR lower 95% limit above 1, and IC025 above 0. A “strong” signal meets all three criteria: ROR, IC025 and the Evans PRR rule (at least 3 cases, PRR ≥ 2, chi-square ≥ 4).</w:t>
      </w:r>
    </w:p>
    <w:p w14:paraId="41F86618">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5.3 Subgroup (stratified) analysis</w:t>
      </w:r>
    </w:p>
    <w:p w14:paraId="1138DA82">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Every analysis was repeated within subgroups: sex, age group (&lt;18, 18–44, 45–64, 65+), age by sex, reporter type (consumer, healthcare professional, other), region (US vs non-US), indication (diabetes, obesity/weight, both) and report quarter. In each subgroup, tirzepatide cases were compared with comparator cases from the same subgroup.</w:t>
      </w:r>
    </w:p>
    <w:p w14:paraId="47720B1A">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Heterogeneity: </w:t>
      </w:r>
      <w:r>
        <w:rPr>
          <w:rFonts w:hint="default" w:ascii="Times New Roman" w:hAnsi="Times New Roman" w:eastAsia="Calibri" w:cs="Times New Roman"/>
          <w:color w:val="auto"/>
          <w:sz w:val="24"/>
          <w:szCs w:val="24"/>
        </w:rPr>
        <w:t>Cochran’s Q test across the strata of each subgroup type asks whether the log-ROR differs between strata (Cochran 1954).</w:t>
      </w:r>
    </w:p>
    <w:p w14:paraId="53E80625">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Subgroup vs rest: </w:t>
      </w:r>
      <w:r>
        <w:rPr>
          <w:rFonts w:hint="default" w:ascii="Times New Roman" w:hAnsi="Times New Roman" w:eastAsia="Calibri" w:cs="Times New Roman"/>
          <w:color w:val="auto"/>
          <w:sz w:val="24"/>
          <w:szCs w:val="24"/>
        </w:rPr>
        <w:t>a ratio-of-RORs test compares the subgroup ROR with the ROR in everyone else. I did this because “significant in the subgroup, not significant in the rest” is not itself evidence of a difference (Gelman &amp; Stern 2006).</w:t>
      </w:r>
    </w:p>
    <w:p w14:paraId="2E48F055">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Multiple testing: </w:t>
      </w:r>
      <w:r>
        <w:rPr>
          <w:rFonts w:hint="default" w:ascii="Times New Roman" w:hAnsi="Times New Roman" w:eastAsia="Calibri" w:cs="Times New Roman"/>
          <w:color w:val="auto"/>
          <w:sz w:val="24"/>
          <w:szCs w:val="24"/>
        </w:rPr>
        <w:t>Benjamini–Hochberg false-discovery-rate control (Benjamini &amp; Hochberg 1995) across all subgroup tests; q &lt; 0.05 required.</w:t>
      </w:r>
    </w:p>
    <w:p w14:paraId="322A4752">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b/>
          <w:bCs/>
          <w:color w:val="auto"/>
          <w:sz w:val="24"/>
          <w:szCs w:val="24"/>
        </w:rPr>
        <w:t xml:space="preserve">Adjustment: </w:t>
      </w:r>
      <w:r>
        <w:rPr>
          <w:rFonts w:hint="default" w:ascii="Times New Roman" w:hAnsi="Times New Roman" w:eastAsia="Calibri" w:cs="Times New Roman"/>
          <w:color w:val="auto"/>
          <w:sz w:val="24"/>
          <w:szCs w:val="24"/>
        </w:rPr>
        <w:t>Mantel–Haenszel pooled ROR with the Robins–Breslow–Greenland variance, stratified by age × sex × quarter (Mantel &amp; Haenszel 1959; Robins et al. 1986), to check that an overall result is not just a mix of strata.</w:t>
      </w:r>
    </w:p>
    <w:p w14:paraId="3CCE9EBB">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5.4 Classification of events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6FDB1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07D40724">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Class</w:t>
            </w:r>
          </w:p>
        </w:tc>
        <w:tc>
          <w:tcPr>
            <w:tcW w:w="65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40676F5D">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bCs/>
                <w:color w:val="auto"/>
                <w:sz w:val="22"/>
                <w:szCs w:val="22"/>
              </w:rPr>
              <w:t>Meaning</w:t>
            </w:r>
          </w:p>
        </w:tc>
      </w:tr>
      <w:tr w14:paraId="208EA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9B01C32">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Consistent signal</w:t>
            </w:r>
          </w:p>
        </w:tc>
        <w:tc>
          <w:tcPr>
            <w:tcW w:w="6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DEE5491">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Detected overall and in at least half of the evaluable subgroups</w:t>
            </w:r>
          </w:p>
        </w:tc>
      </w:tr>
      <w:tr w14:paraId="29CCE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581CE5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Discordant signal</w:t>
            </w:r>
          </w:p>
        </w:tc>
        <w:tc>
          <w:tcPr>
            <w:tcW w:w="6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3BB800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Detected overall but in fewer than half of the evaluable subgroups</w:t>
            </w:r>
          </w:p>
        </w:tc>
      </w:tr>
      <w:tr w14:paraId="5DAB4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7DE1113">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Hidden subgroup signal</w:t>
            </w:r>
          </w:p>
        </w:tc>
        <w:tc>
          <w:tcPr>
            <w:tcW w:w="6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83A5D28">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Not detected overall, detected in at least one subgroup</w:t>
            </w:r>
          </w:p>
        </w:tc>
      </w:tr>
      <w:tr w14:paraId="378C2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688BE4D">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Aggregate signal only</w:t>
            </w:r>
          </w:p>
        </w:tc>
        <w:tc>
          <w:tcPr>
            <w:tcW w:w="6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EC24313">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Detected overall, in none of the subgroups (subgroups too small to confirm)</w:t>
            </w:r>
          </w:p>
        </w:tc>
      </w:tr>
      <w:tr w14:paraId="7B44D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7505E87">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No signal</w:t>
            </w:r>
          </w:p>
        </w:tc>
        <w:tc>
          <w:tcPr>
            <w:tcW w:w="6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4C254EC">
            <w:pPr>
              <w:spacing w:line="360" w:lineRule="auto"/>
              <w:jc w:val="both"/>
              <w:rPr>
                <w:rFonts w:hint="default" w:ascii="Times New Roman" w:hAnsi="Times New Roman" w:cs="Times New Roman"/>
                <w:color w:val="auto"/>
                <w:sz w:val="22"/>
                <w:szCs w:val="22"/>
              </w:rPr>
            </w:pPr>
            <w:r>
              <w:rPr>
                <w:rFonts w:hint="default" w:ascii="Times New Roman" w:hAnsi="Times New Roman" w:eastAsia="Calibri" w:cs="Times New Roman"/>
                <w:b w:val="0"/>
                <w:bCs w:val="0"/>
                <w:color w:val="auto"/>
                <w:sz w:val="22"/>
                <w:szCs w:val="22"/>
              </w:rPr>
              <w:t>Not detected anywhere</w:t>
            </w:r>
          </w:p>
        </w:tc>
      </w:tr>
    </w:tbl>
    <w:p w14:paraId="62C2B24C">
      <w:pPr>
        <w:spacing w:after="80" w:line="360" w:lineRule="auto"/>
        <w:jc w:val="both"/>
        <w:rPr>
          <w:rFonts w:hint="default" w:ascii="Times New Roman" w:hAnsi="Times New Roman" w:cs="Times New Roman"/>
          <w:color w:val="auto"/>
        </w:rPr>
      </w:pPr>
    </w:p>
    <w:p w14:paraId="5D06365D">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5.5 Evidence tiers and priority</w:t>
      </w:r>
    </w:p>
    <w:p w14:paraId="6D832F7F">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Before looking at results I fixed five checks for each hidden finding: </w:t>
      </w:r>
    </w:p>
    <w:p w14:paraId="098BB6F8">
      <w:pPr>
        <w:numPr>
          <w:ilvl w:val="0"/>
          <w:numId w:val="2"/>
        </w:numPr>
        <w:bidi w:val="0"/>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A</w:t>
      </w:r>
      <w:r>
        <w:rPr>
          <w:rFonts w:hint="default" w:ascii="Times New Roman" w:hAnsi="Times New Roman" w:cs="Times New Roman"/>
          <w:sz w:val="24"/>
          <w:szCs w:val="24"/>
        </w:rPr>
        <w:t>t least 5 cases</w:t>
      </w:r>
    </w:p>
    <w:p w14:paraId="64519893">
      <w:pPr>
        <w:numPr>
          <w:ilvl w:val="0"/>
          <w:numId w:val="2"/>
        </w:numPr>
        <w:bidi w:val="0"/>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BH q &lt; 0.05</w:t>
      </w:r>
    </w:p>
    <w:p w14:paraId="72DCE7D0">
      <w:pPr>
        <w:numPr>
          <w:ilvl w:val="0"/>
          <w:numId w:val="2"/>
        </w:numPr>
        <w:bidi w:val="0"/>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S</w:t>
      </w:r>
      <w:r>
        <w:rPr>
          <w:rFonts w:hint="default" w:ascii="Times New Roman" w:hAnsi="Times New Roman" w:cs="Times New Roman"/>
          <w:sz w:val="24"/>
          <w:szCs w:val="24"/>
        </w:rPr>
        <w:t>ubgroup-vs-rest interaction p &lt; 0.05</w:t>
      </w:r>
    </w:p>
    <w:p w14:paraId="005FBAAC">
      <w:pPr>
        <w:numPr>
          <w:ilvl w:val="0"/>
          <w:numId w:val="2"/>
        </w:numPr>
        <w:bidi w:val="0"/>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lang w:val="en-US"/>
        </w:rPr>
        <w:t>S</w:t>
      </w:r>
      <w:r>
        <w:rPr>
          <w:rFonts w:hint="default" w:ascii="Times New Roman" w:hAnsi="Times New Roman" w:cs="Times New Roman"/>
          <w:sz w:val="24"/>
          <w:szCs w:val="24"/>
        </w:rPr>
        <w:t>till detected in A2</w:t>
      </w:r>
    </w:p>
    <w:p w14:paraId="4B876D68">
      <w:pPr>
        <w:numPr>
          <w:ilvl w:val="0"/>
          <w:numId w:val="2"/>
        </w:numPr>
        <w:bidi w:val="0"/>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ROR above 1 with at least 3 cases against other GLP-1 drugs in A3. H3 = all five, H2 = checks 1–3, H1 = the rest. </w:t>
      </w:r>
    </w:p>
    <w:p w14:paraId="0F487639">
      <w:pPr>
        <w:bidi w:val="0"/>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These tiers are my own convention for ranking, not a regulatory classification.</w:t>
      </w:r>
    </w:p>
    <w:p w14:paraId="73A968E6">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Priority then reflects interpretability. P1: clinical event, H3, in a patient-characteristic subgroup (sex, age, indication). P2: H3 in region or reporter subgroups, or H2 in patient-characteristic subgroups. P3: all other clinical findings. PU: product-use or administration events (for example off-label use, device problems), which raise quality and usability questions rather than clinical safety signals.</w:t>
      </w:r>
    </w:p>
    <w:p w14:paraId="19D461E3">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6. Results</w:t>
      </w:r>
    </w:p>
    <w:p w14:paraId="5D95A089">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6.1 What the screening found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200"/>
        <w:gridCol w:w="2080"/>
        <w:gridCol w:w="2080"/>
      </w:tblGrid>
      <w:tr w14:paraId="45F8A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2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668A097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Class (primary analysis A1)</w:t>
            </w:r>
          </w:p>
        </w:tc>
        <w:tc>
          <w:tcPr>
            <w:tcW w:w="208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7D3A66F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Events</w:t>
            </w:r>
          </w:p>
        </w:tc>
        <w:tc>
          <w:tcPr>
            <w:tcW w:w="208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6051CFD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Share</w:t>
            </w:r>
          </w:p>
        </w:tc>
      </w:tr>
      <w:tr w14:paraId="5C52D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5989AC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No signal</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851F16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1,078</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1B8ED0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76.7%</w:t>
            </w:r>
          </w:p>
        </w:tc>
      </w:tr>
      <w:tr w14:paraId="2C363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3C786EA">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Hidden subgroup signal</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453A28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160</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A982AA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11.4%</w:t>
            </w:r>
          </w:p>
        </w:tc>
      </w:tr>
      <w:tr w14:paraId="43D78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C0658F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Consistent signal</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F8078E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111</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607A49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7.9%</w:t>
            </w:r>
          </w:p>
        </w:tc>
      </w:tr>
      <w:tr w14:paraId="40781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13F607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Discordant signal</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1DC468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55</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45D75C3">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3.9%</w:t>
            </w:r>
          </w:p>
        </w:tc>
      </w:tr>
      <w:tr w14:paraId="50F9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9EBC79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Aggregate signal only</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D4EB7A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6ADACC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0.1%</w:t>
            </w:r>
          </w:p>
        </w:tc>
      </w:tr>
      <w:tr w14:paraId="2D034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F57BA5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Total tested</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B0C897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1,406</w:t>
            </w:r>
          </w:p>
        </w:tc>
        <w:tc>
          <w:tcPr>
            <w:tcW w:w="208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161F05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100%</w:t>
            </w:r>
          </w:p>
        </w:tc>
      </w:tr>
    </w:tbl>
    <w:p w14:paraId="53D88594">
      <w:pPr>
        <w:spacing w:after="80" w:line="360" w:lineRule="auto"/>
        <w:jc w:val="both"/>
        <w:rPr>
          <w:rFonts w:hint="default" w:ascii="Times New Roman" w:hAnsi="Times New Roman" w:cs="Times New Roman"/>
          <w:color w:val="auto"/>
        </w:rPr>
      </w:pPr>
    </w:p>
    <w:p w14:paraId="0B2B9051">
      <w:pPr>
        <w:spacing w:after="12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conclusions are stable to how exposure is defined: with secondary-suspect reports included (A2) there were 168 hidden events and 111 consistent signals. With other GLP-1 drugs as the comparator (A3) fewer events stand out (23 consistent, 31 hidden), as expected, because shared class effects such as gastrointestinal events cancel out.</w:t>
      </w:r>
    </w:p>
    <w:p w14:paraId="4A1BD6B9">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6.2 Evidence grade of the hidden findings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60"/>
        <w:gridCol w:w="1700"/>
        <w:gridCol w:w="1700"/>
        <w:gridCol w:w="1700"/>
        <w:gridCol w:w="1700"/>
      </w:tblGrid>
      <w:tr w14:paraId="606A9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3020072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Subgroup type</w:t>
            </w:r>
          </w:p>
        </w:tc>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50ADA50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H3 Robust</w:t>
            </w:r>
          </w:p>
        </w:tc>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3E79791C">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H2 Supported</w:t>
            </w:r>
          </w:p>
        </w:tc>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3447300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H1 Candidate</w:t>
            </w:r>
          </w:p>
        </w:tc>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51E5932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Total</w:t>
            </w:r>
          </w:p>
        </w:tc>
      </w:tr>
      <w:tr w14:paraId="60B25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176106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Region</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FCFEAF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62</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5D10E8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21</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3C2EA5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33</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708A50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116</w:t>
            </w:r>
          </w:p>
        </w:tc>
      </w:tr>
      <w:tr w14:paraId="255DA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3C24102">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Reporter type</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0836748">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15</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9A77E8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9</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4606EA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29</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9910A2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53</w:t>
            </w:r>
          </w:p>
        </w:tc>
      </w:tr>
      <w:tr w14:paraId="11941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F63539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Age × sex</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42A427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7</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546CCF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ADFD07E">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12</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D4F740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29</w:t>
            </w:r>
          </w:p>
        </w:tc>
      </w:tr>
      <w:tr w14:paraId="44753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10C716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Age</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88031D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6</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EF02F18">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4E7091A">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13</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2958312">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24</w:t>
            </w:r>
          </w:p>
        </w:tc>
      </w:tr>
      <w:tr w14:paraId="16499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1CE333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Sex</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AFE028C">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4</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1D881F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6B296C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11</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1EB986E">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18</w:t>
            </w:r>
          </w:p>
        </w:tc>
      </w:tr>
      <w:tr w14:paraId="6CCB0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7D8200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Indication</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E5D1A4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7</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34F003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0</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EC29DF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CAA62D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w:t>
            </w:r>
          </w:p>
        </w:tc>
      </w:tr>
      <w:tr w14:paraId="52F8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1DF06D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Total</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A66B85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101</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10CCBD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48</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F9F041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101</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6E1F7A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250</w:t>
            </w:r>
          </w:p>
        </w:tc>
      </w:tr>
    </w:tbl>
    <w:p w14:paraId="47FEFD5E">
      <w:pPr>
        <w:spacing w:after="80" w:line="360" w:lineRule="auto"/>
        <w:jc w:val="both"/>
        <w:rPr>
          <w:rFonts w:hint="default" w:ascii="Times New Roman" w:hAnsi="Times New Roman" w:cs="Times New Roman"/>
          <w:color w:val="auto"/>
        </w:rPr>
      </w:pPr>
    </w:p>
    <w:p w14:paraId="79DAEDC4">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Region findings dominate. Tirzepatide reports are 88% US and 95% consumer-reported, whereas the comparator group is only 66% US and 43% consumer-reported, so the non-US and healthcare-professional subgroups behave differently from the rest of the data in reporting style alone. Reproductive findings in non-US reports (for example vaginal haemorrhage, menstruation delayed and intermenstrual bleeding, with subgroup ROR of about 8–11) and hepatic laboratory findings are the most striking in size, and they replicate against other GLP-1 drugs. They are nonetheless a reporting-context result first. Whether they reflect different prescribing, different patients, different product labelling or a real regional effect cannot be settled with FAERS alone.</w:t>
      </w:r>
    </w:p>
    <w:p w14:paraId="25DE0F40">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6.3 Highest-priority findings (P1)</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00"/>
        <w:gridCol w:w="1700"/>
        <w:gridCol w:w="800"/>
        <w:gridCol w:w="1500"/>
        <w:gridCol w:w="1760"/>
        <w:gridCol w:w="1300"/>
      </w:tblGrid>
      <w:tr w14:paraId="1C884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37601D7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Event</w:t>
            </w:r>
          </w:p>
        </w:tc>
        <w:tc>
          <w:tcPr>
            <w:tcW w:w="17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1E058B4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Subgroup</w:t>
            </w:r>
          </w:p>
        </w:tc>
        <w:tc>
          <w:tcPr>
            <w:tcW w:w="8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3FDA078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Cases</w:t>
            </w:r>
          </w:p>
        </w:tc>
        <w:tc>
          <w:tcPr>
            <w:tcW w:w="15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7A8535CC">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ROR (95% CI)</w:t>
            </w:r>
          </w:p>
        </w:tc>
        <w:tc>
          <w:tcPr>
            <w:tcW w:w="176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21EC7942">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Overall ROR (lower CI)</w:t>
            </w:r>
          </w:p>
        </w:tc>
        <w:tc>
          <w:tcPr>
            <w:tcW w:w="1300" w:type="dxa"/>
            <w:tcBorders>
              <w:top w:val="single" w:color="CCD3DA" w:sz="4" w:space="0"/>
              <w:left w:val="single" w:color="CCD3DA" w:sz="4" w:space="0"/>
              <w:bottom w:val="single" w:color="CCD3DA" w:sz="4" w:space="0"/>
              <w:right w:val="single" w:color="CCD3DA" w:sz="4" w:space="0"/>
            </w:tcBorders>
            <w:shd w:val="clear" w:color="auto" w:fill="12303A"/>
            <w:tcMar>
              <w:top w:w="50" w:type="dxa"/>
              <w:left w:w="90" w:type="dxa"/>
              <w:bottom w:w="50" w:type="dxa"/>
              <w:right w:w="90" w:type="dxa"/>
            </w:tcMar>
          </w:tcPr>
          <w:p w14:paraId="6A34EFFA">
            <w:pPr>
              <w:spacing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19"/>
                <w:szCs w:val="19"/>
              </w:rPr>
              <w:t>vs other GLP-1 ROR</w:t>
            </w:r>
          </w:p>
        </w:tc>
      </w:tr>
      <w:tr w14:paraId="28927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2C84093">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Vitreous detachment</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75D9B2E">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Male</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2BD2D8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6</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B3E36C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9.1 (3.7–22.0)</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DE021A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1.70 (0.89)</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4174B3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1.5</w:t>
            </w:r>
          </w:p>
        </w:tc>
      </w:tr>
      <w:tr w14:paraId="5BBA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9A5DC7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Liver function test abnormal</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EF7172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Age 18–44 F</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2796C48">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19</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F02F83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4.0 (2.4–6.6)</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2E1BFC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1.33 (1.00)</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9254B1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4.7</w:t>
            </w:r>
          </w:p>
        </w:tc>
      </w:tr>
      <w:tr w14:paraId="7E5F4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EE0325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Liver function test abnormal</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E87D3EA">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Age 18–44</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CF6922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20</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1EC7AC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2.7 (1.7–4.3)</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42CED9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1.33 (1.00)</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EA4665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5.2</w:t>
            </w:r>
          </w:p>
        </w:tc>
      </w:tr>
      <w:tr w14:paraId="12962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04B2B2E">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Micturition urgency</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17D363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Age 18–44 M</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BCAD56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DA993E7">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5.0 (1.9–12.7)</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AC202C8">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0.35 (0.2)</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55B9503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3.1</w:t>
            </w:r>
          </w:p>
        </w:tc>
      </w:tr>
      <w:tr w14:paraId="29A3B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01FD8BF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Cholangitis</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34C0E6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Male</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B1D25A6">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18</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ED9CDA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2.4 (1.5–3.9)</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B71BF3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1.16 (0.81)</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D3509E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1.9</w:t>
            </w:r>
          </w:p>
        </w:tc>
      </w:tr>
      <w:tr w14:paraId="264FD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AE52DAD">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Colitis</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2F3ECD4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Diabetes indication</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157C45A0">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19</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F24E13C">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2.3 (1.4–3.9)</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D10E0AA">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0.56 (0.45)</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35E59EB5">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1.6</w:t>
            </w:r>
          </w:p>
        </w:tc>
      </w:tr>
      <w:tr w14:paraId="715F4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708B66F">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Dysgeusia</w:t>
            </w:r>
          </w:p>
        </w:tc>
        <w:tc>
          <w:tcPr>
            <w:tcW w:w="17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648DCB1B">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Male</w:t>
            </w:r>
          </w:p>
        </w:tc>
        <w:tc>
          <w:tcPr>
            <w:tcW w:w="8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0A67271">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31</w:t>
            </w:r>
          </w:p>
        </w:tc>
        <w:tc>
          <w:tcPr>
            <w:tcW w:w="15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98FEDE9">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1.6 (1.1–2.3)</w:t>
            </w:r>
          </w:p>
        </w:tc>
        <w:tc>
          <w:tcPr>
            <w:tcW w:w="176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43CEA264">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1.04 (0.87)</w:t>
            </w:r>
          </w:p>
        </w:tc>
        <w:tc>
          <w:tcPr>
            <w:tcW w:w="1300" w:type="dxa"/>
            <w:tcBorders>
              <w:top w:val="single" w:color="CCD3DA" w:sz="4" w:space="0"/>
              <w:left w:val="single" w:color="CCD3DA" w:sz="4" w:space="0"/>
              <w:bottom w:val="single" w:color="CCD3DA" w:sz="4" w:space="0"/>
              <w:right w:val="single" w:color="CCD3DA" w:sz="4" w:space="0"/>
            </w:tcBorders>
            <w:tcMar>
              <w:top w:w="50" w:type="dxa"/>
              <w:left w:w="90" w:type="dxa"/>
              <w:bottom w:w="50" w:type="dxa"/>
              <w:right w:w="90" w:type="dxa"/>
            </w:tcMar>
          </w:tcPr>
          <w:p w14:paraId="79C1A62E">
            <w:pPr>
              <w:spacing w:line="360" w:lineRule="auto"/>
              <w:jc w:val="both"/>
              <w:rPr>
                <w:rFonts w:hint="default" w:ascii="Times New Roman" w:hAnsi="Times New Roman" w:cs="Times New Roman"/>
                <w:color w:val="auto"/>
              </w:rPr>
            </w:pPr>
            <w:r>
              <w:rPr>
                <w:rFonts w:hint="default" w:ascii="Times New Roman" w:hAnsi="Times New Roman" w:eastAsia="Calibri" w:cs="Times New Roman"/>
                <w:b w:val="0"/>
                <w:bCs w:val="0"/>
                <w:color w:val="auto"/>
                <w:sz w:val="19"/>
                <w:szCs w:val="19"/>
              </w:rPr>
              <w:t>1.6</w:t>
            </w:r>
          </w:p>
        </w:tc>
      </w:tr>
    </w:tbl>
    <w:p w14:paraId="292E4100">
      <w:pPr>
        <w:spacing w:after="80" w:line="360" w:lineRule="auto"/>
        <w:jc w:val="both"/>
        <w:rPr>
          <w:rFonts w:hint="default" w:ascii="Times New Roman" w:hAnsi="Times New Roman" w:cs="Times New Roman"/>
          <w:color w:val="auto"/>
        </w:rPr>
      </w:pPr>
    </w:p>
    <w:p w14:paraId="22C153F2">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Interpretation, finding by finding, with the caveats that matter:</w:t>
      </w:r>
    </w:p>
    <w:p w14:paraId="35BE8224">
      <w:pPr>
        <w:pStyle w:val="18"/>
        <w:numPr>
          <w:ilvl w:val="0"/>
          <w:numId w:val="1"/>
        </w:numPr>
        <w:spacing w:after="6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Liver function test abnormal in 18–44-year-olds. </w:t>
      </w:r>
      <w:r>
        <w:rPr>
          <w:rFonts w:hint="default" w:ascii="Times New Roman" w:hAnsi="Times New Roman" w:eastAsia="Calibri" w:cs="Times New Roman"/>
          <w:color w:val="auto"/>
          <w:sz w:val="22"/>
          <w:szCs w:val="22"/>
        </w:rPr>
        <w:t>This is the most consistent of the seven: disproportionate in three of four quarters, stronger against other GLP-1 drugs (ROR about 5), and located in the youngest adult group. Its overall lower confidence limit is about 1.0, so it is borderline overall rather than clearly hidden. It sits beside a group of hepatobiliary findings (including cholangitis in men) that deserve a combined look at hepatic events in the label and literature.</w:t>
      </w:r>
    </w:p>
    <w:p w14:paraId="49E00B03">
      <w:pPr>
        <w:pStyle w:val="18"/>
        <w:numPr>
          <w:ilvl w:val="0"/>
          <w:numId w:val="1"/>
        </w:numPr>
        <w:spacing w:after="6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Vitreous detachment in men. </w:t>
      </w:r>
      <w:r>
        <w:rPr>
          <w:rFonts w:hint="default" w:ascii="Times New Roman" w:hAnsi="Times New Roman" w:eastAsia="Calibri" w:cs="Times New Roman"/>
          <w:color w:val="auto"/>
          <w:sz w:val="22"/>
          <w:szCs w:val="22"/>
        </w:rPr>
        <w:t>Large ratio but only 6 cases; it fell short of the detection rule in the pooled data and was evaluable in only two quarters. The eye is of interest for GLP-1 drugs generally; I treat this as a small-number lead.</w:t>
      </w:r>
    </w:p>
    <w:p w14:paraId="42EF0A15">
      <w:pPr>
        <w:pStyle w:val="18"/>
        <w:numPr>
          <w:ilvl w:val="0"/>
          <w:numId w:val="1"/>
        </w:numPr>
        <w:spacing w:after="6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Dysgeusia in men. </w:t>
      </w:r>
      <w:r>
        <w:rPr>
          <w:rFonts w:hint="default" w:ascii="Times New Roman" w:hAnsi="Times New Roman" w:eastAsia="Calibri" w:cs="Times New Roman"/>
          <w:color w:val="auto"/>
          <w:sz w:val="22"/>
          <w:szCs w:val="22"/>
        </w:rPr>
        <w:t>The estimate is modest (lower limit 1.1). Taste disturbance is a known GLP-1-class effect, so I would expect it to be in the label; the point is that the male–female difference is the new question.</w:t>
      </w:r>
    </w:p>
    <w:p w14:paraId="448C2C77">
      <w:pPr>
        <w:pStyle w:val="18"/>
        <w:numPr>
          <w:ilvl w:val="0"/>
          <w:numId w:val="1"/>
        </w:numPr>
        <w:spacing w:after="6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2"/>
          <w:szCs w:val="22"/>
        </w:rPr>
        <w:t xml:space="preserve">Colitis in the diabetes indication and micturition urgency in younger men. </w:t>
      </w:r>
      <w:r>
        <w:rPr>
          <w:rFonts w:hint="default" w:ascii="Times New Roman" w:hAnsi="Times New Roman" w:eastAsia="Calibri" w:cs="Times New Roman"/>
          <w:color w:val="auto"/>
          <w:sz w:val="22"/>
          <w:szCs w:val="22"/>
        </w:rPr>
        <w:t>The overall estimates are below 1, and the Mantel–Haenszel adjusted ROR is also below 1, so these are subgroup-specific excesses in an event that is otherwise under-reported relative to other drugs. They need case-level review before any meaning is attached.</w:t>
      </w:r>
    </w:p>
    <w:p w14:paraId="26C60D1B">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2"/>
          <w:szCs w:val="22"/>
        </w:rPr>
        <w:t>The Mantel–Haenszel adjusted overall ROR (age × sex × quarter) was below 1 for colitis (0.51), micturition urgency (0.35) and dysgeusia (0.96), and only slightly above 1 for cholangitis (1.17), liver tests (1.22) and vitreous detachment (1.31); no adjusted interval excluded 1. The excess is therefore concentrated in the subgroup rather than spread across the whole population.</w:t>
      </w:r>
    </w:p>
    <w:p w14:paraId="13D570B4">
      <w:pPr>
        <w:pStyle w:val="3"/>
        <w:spacing w:before="200" w:after="8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25"/>
          <w:szCs w:val="25"/>
        </w:rPr>
        <w:t>6.4 Other patient-characteristic findings (P2)</w:t>
      </w:r>
    </w:p>
    <w:p w14:paraId="2D8D7EED">
      <w:pPr>
        <w:spacing w:after="120" w:line="360" w:lineRule="auto"/>
        <w:jc w:val="both"/>
        <w:rPr>
          <w:rFonts w:hint="default" w:ascii="Times New Roman" w:hAnsi="Times New Roman" w:cs="Times New Roman"/>
          <w:color w:val="auto"/>
        </w:rPr>
      </w:pPr>
      <w:r>
        <w:rPr>
          <w:rFonts w:hint="default" w:ascii="Times New Roman" w:hAnsi="Times New Roman" w:eastAsia="Calibri" w:cs="Times New Roman"/>
          <w:color w:val="auto"/>
          <w:sz w:val="24"/>
          <w:szCs w:val="24"/>
        </w:rPr>
        <w:t>Supported but not fully replicated: gout in men aged 18–44 (6 cases, ROR 5.6), small-intestinal obstruction in men 65+ (10 cases, ROR 3.7), retching and weight fluctuation in people 65+ (about 2.6–2.8), and pancreatic carcinoma in men (22 cases, ROR 2.4). The pancreatic carcinoma finding is of particular care: reports of pancreatic cancer in a population with obesity and diabetes, both risk factors, and with long latency, can reflect the indication or detection bias rather than the drug.</w:t>
      </w:r>
    </w:p>
    <w:p w14:paraId="4E5CEBE0">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7. Recommendations</w:t>
      </w:r>
    </w:p>
    <w:p w14:paraId="374226B7">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Medical review of the seven P1 findings with case-level narratives, starting with liver function abnormalities in adults 18–44, checking temporal relationship, concomitant drugs and dechallenge.</w:t>
      </w:r>
    </w:p>
    <w:p w14:paraId="6286CA7F">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Compare each P1 and P2 event with the current Mounjaro and Zepbound labels before further work; events already labelled move from “new question” to “subgroup pattern”.</w:t>
      </w:r>
    </w:p>
    <w:p w14:paraId="690E6F85">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Treat region and reporter findings as a data-source question first: examine whether non-US reports use different coding practice, different product mix or follow-up requests. Repeat the analysis restricted to healthcare-professional reports to remove the reporter-mix difference.</w:t>
      </w:r>
    </w:p>
    <w:p w14:paraId="567F6FD1">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Re-run the screening on later quarters as a replication. A finding that persists in new data is stronger than any threshold I could add to this one.</w:t>
      </w:r>
    </w:p>
    <w:p w14:paraId="073033A2">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Measure success of follow-up by the number of P1/P2 findings that are either confirmed in case review, matched to labelled events, or closed as reporting artefacts.</w:t>
      </w:r>
    </w:p>
    <w:p w14:paraId="7F964D64">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8. Limitations</w:t>
      </w:r>
    </w:p>
    <w:p w14:paraId="00418E63">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Spontaneous reports cannot give incidence, and under-reporting and stimulated reporting (media, litigation, new product launches) vary by event and over time.</w:t>
      </w:r>
    </w:p>
    <w:p w14:paraId="323C699B">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comparator is all other drugs, a mix of very different patients. A3 narrows this but is limited to patients on other GLP-1 drugs.</w:t>
      </w:r>
    </w:p>
    <w:p w14:paraId="2D1D072A">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The adjusted analysis is stratified on age, sex and quarter only. Reporter type, indication and concomitant drugs are not adjusted for, and the reporter-mix difference between tirzepatide and comparator reports is large.</w:t>
      </w:r>
    </w:p>
    <w:p w14:paraId="6B0340A9">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Roughly 40% of cases have no usable age, so age-specific results rely on the subset with age recorded.</w:t>
      </w:r>
    </w:p>
    <w:p w14:paraId="2701C4E9">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Events are MedDRA Preferred Terms as reported, not grouped by SOC or Standardised MedDRA Query, so related terms (for example several liver test terms) are counted separately. The clinical-area labels in the outputs are keyword groupings I built for navigation, not MedDRA classes.</w:t>
      </w:r>
    </w:p>
    <w:p w14:paraId="2C9ADF99">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1,406 events were tested across many subgroups. I controlled the false-discovery rate, but some false positives remain expected, especially in H1.</w:t>
      </w:r>
    </w:p>
    <w:p w14:paraId="3C8CB4C8">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Absence of a signal is not evidence of safety.</w:t>
      </w:r>
    </w:p>
    <w:p w14:paraId="349E2F8A">
      <w:pPr>
        <w:pStyle w:val="18"/>
        <w:numPr>
          <w:ilvl w:val="0"/>
          <w:numId w:val="1"/>
        </w:numPr>
        <w:spacing w:after="60" w:line="360" w:lineRule="auto"/>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All findings are statistical associations. I have not assessed individual cases, so no causal or clinical conclusion should be drawn.</w:t>
      </w:r>
    </w:p>
    <w:p w14:paraId="0470F0C9">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9. Reproducibility</w:t>
      </w:r>
    </w:p>
    <w:p w14:paraId="6B0BB892">
      <w:pPr>
        <w:spacing w:after="120" w:line="360" w:lineRule="auto"/>
        <w:jc w:val="both"/>
        <w:rPr>
          <w:rFonts w:hint="default" w:ascii="Times New Roman" w:hAnsi="Times New Roman" w:eastAsia="Calibri" w:cs="Times New Roman"/>
          <w:color w:val="auto"/>
          <w:sz w:val="24"/>
          <w:szCs w:val="24"/>
        </w:rPr>
      </w:pPr>
      <w:r>
        <w:rPr>
          <w:rFonts w:hint="default" w:ascii="Times New Roman" w:hAnsi="Times New Roman" w:eastAsia="Calibri" w:cs="Times New Roman"/>
          <w:color w:val="auto"/>
          <w:sz w:val="24"/>
          <w:szCs w:val="24"/>
        </w:rPr>
        <w:t>The whole pipeline is a sequence of MySQL scripts (sql/00 to sql/15; sql/99_run_all.sql runs them in order). Each script writes its row counts to the etl_log table, which is exported as the cleaning log. The final result tables are exported as CSV files that feed the interactive dashboard, the Power BI report and the Excel workbook, so every figure in this report can be traced to a query.</w:t>
      </w:r>
    </w:p>
    <w:p w14:paraId="3E1FA042">
      <w:pPr>
        <w:spacing w:after="120" w:line="360" w:lineRule="auto"/>
        <w:jc w:val="both"/>
        <w:rPr>
          <w:rFonts w:hint="default" w:ascii="Times New Roman" w:hAnsi="Times New Roman" w:eastAsia="Calibri" w:cs="Times New Roman"/>
          <w:color w:val="auto"/>
          <w:sz w:val="24"/>
          <w:szCs w:val="24"/>
        </w:rPr>
      </w:pPr>
    </w:p>
    <w:p w14:paraId="043B6C5B">
      <w:pPr>
        <w:spacing w:after="120" w:line="360" w:lineRule="auto"/>
        <w:jc w:val="both"/>
        <w:rPr>
          <w:rFonts w:hint="default" w:ascii="Times New Roman" w:hAnsi="Times New Roman" w:eastAsia="Calibri" w:cs="Times New Roman"/>
          <w:color w:val="auto"/>
          <w:sz w:val="24"/>
          <w:szCs w:val="24"/>
        </w:rPr>
      </w:pPr>
    </w:p>
    <w:p w14:paraId="5A185DBE">
      <w:pPr>
        <w:spacing w:after="120" w:line="360" w:lineRule="auto"/>
        <w:jc w:val="both"/>
        <w:rPr>
          <w:rFonts w:hint="default" w:ascii="Times New Roman" w:hAnsi="Times New Roman" w:eastAsia="Calibri" w:cs="Times New Roman"/>
          <w:color w:val="auto"/>
          <w:sz w:val="24"/>
          <w:szCs w:val="24"/>
        </w:rPr>
      </w:pPr>
    </w:p>
    <w:p w14:paraId="3B82E564">
      <w:pPr>
        <w:spacing w:after="120" w:line="360" w:lineRule="auto"/>
        <w:jc w:val="both"/>
        <w:rPr>
          <w:rFonts w:hint="default" w:ascii="Times New Roman" w:hAnsi="Times New Roman" w:eastAsia="Calibri" w:cs="Times New Roman"/>
          <w:color w:val="auto"/>
          <w:sz w:val="24"/>
          <w:szCs w:val="24"/>
        </w:rPr>
      </w:pPr>
    </w:p>
    <w:p w14:paraId="69CB1FD9">
      <w:pPr>
        <w:spacing w:after="120" w:line="360" w:lineRule="auto"/>
        <w:jc w:val="both"/>
        <w:rPr>
          <w:rFonts w:hint="default" w:ascii="Times New Roman" w:hAnsi="Times New Roman" w:eastAsia="Calibri" w:cs="Times New Roman"/>
          <w:color w:val="auto"/>
          <w:sz w:val="24"/>
          <w:szCs w:val="24"/>
        </w:rPr>
      </w:pPr>
    </w:p>
    <w:p w14:paraId="4844A266">
      <w:pPr>
        <w:spacing w:after="120" w:line="360" w:lineRule="auto"/>
        <w:jc w:val="both"/>
        <w:rPr>
          <w:rFonts w:hint="default" w:ascii="Times New Roman" w:hAnsi="Times New Roman" w:eastAsia="Calibri" w:cs="Times New Roman"/>
          <w:color w:val="auto"/>
          <w:sz w:val="24"/>
          <w:szCs w:val="24"/>
        </w:rPr>
      </w:pPr>
    </w:p>
    <w:p w14:paraId="07A47A93">
      <w:pPr>
        <w:spacing w:after="120" w:line="360" w:lineRule="auto"/>
        <w:jc w:val="both"/>
        <w:rPr>
          <w:rFonts w:hint="default" w:ascii="Times New Roman" w:hAnsi="Times New Roman" w:eastAsia="Calibri" w:cs="Times New Roman"/>
          <w:color w:val="auto"/>
          <w:sz w:val="24"/>
          <w:szCs w:val="24"/>
        </w:rPr>
      </w:pPr>
    </w:p>
    <w:p w14:paraId="19488802">
      <w:pPr>
        <w:spacing w:after="120" w:line="360" w:lineRule="auto"/>
        <w:jc w:val="both"/>
        <w:rPr>
          <w:rFonts w:hint="default" w:ascii="Times New Roman" w:hAnsi="Times New Roman" w:eastAsia="Calibri" w:cs="Times New Roman"/>
          <w:color w:val="auto"/>
          <w:sz w:val="24"/>
          <w:szCs w:val="24"/>
        </w:rPr>
      </w:pPr>
    </w:p>
    <w:p w14:paraId="4EB95783">
      <w:pPr>
        <w:spacing w:after="120" w:line="360" w:lineRule="auto"/>
        <w:jc w:val="both"/>
        <w:rPr>
          <w:rFonts w:hint="default" w:ascii="Times New Roman" w:hAnsi="Times New Roman" w:eastAsia="Calibri" w:cs="Times New Roman"/>
          <w:color w:val="auto"/>
          <w:sz w:val="24"/>
          <w:szCs w:val="24"/>
        </w:rPr>
      </w:pPr>
    </w:p>
    <w:p w14:paraId="28B0F79D">
      <w:pPr>
        <w:spacing w:after="120" w:line="360" w:lineRule="auto"/>
        <w:jc w:val="both"/>
        <w:rPr>
          <w:rFonts w:hint="default" w:ascii="Times New Roman" w:hAnsi="Times New Roman" w:eastAsia="Calibri" w:cs="Times New Roman"/>
          <w:color w:val="auto"/>
          <w:sz w:val="24"/>
          <w:szCs w:val="24"/>
        </w:rPr>
      </w:pPr>
    </w:p>
    <w:p w14:paraId="5A8CFD27">
      <w:pPr>
        <w:spacing w:after="120" w:line="360" w:lineRule="auto"/>
        <w:jc w:val="both"/>
        <w:rPr>
          <w:rFonts w:hint="default" w:ascii="Times New Roman" w:hAnsi="Times New Roman" w:eastAsia="Calibri" w:cs="Times New Roman"/>
          <w:color w:val="auto"/>
          <w:sz w:val="24"/>
          <w:szCs w:val="24"/>
        </w:rPr>
      </w:pPr>
    </w:p>
    <w:p w14:paraId="76B393ED">
      <w:pPr>
        <w:spacing w:after="120" w:line="360" w:lineRule="auto"/>
        <w:jc w:val="both"/>
        <w:rPr>
          <w:rFonts w:hint="default" w:ascii="Times New Roman" w:hAnsi="Times New Roman" w:eastAsia="Calibri" w:cs="Times New Roman"/>
          <w:color w:val="auto"/>
          <w:sz w:val="24"/>
          <w:szCs w:val="24"/>
        </w:rPr>
      </w:pPr>
    </w:p>
    <w:p w14:paraId="6168A206">
      <w:pPr>
        <w:pStyle w:val="2"/>
        <w:spacing w:before="320" w:after="120" w:line="360" w:lineRule="auto"/>
        <w:jc w:val="both"/>
        <w:rPr>
          <w:rFonts w:hint="default" w:ascii="Times New Roman" w:hAnsi="Times New Roman" w:cs="Times New Roman"/>
          <w:color w:val="auto"/>
        </w:rPr>
      </w:pPr>
      <w:r>
        <w:rPr>
          <w:rFonts w:hint="default" w:ascii="Times New Roman" w:hAnsi="Times New Roman" w:eastAsia="Calibri" w:cs="Times New Roman"/>
          <w:b/>
          <w:bCs/>
          <w:color w:val="auto"/>
          <w:sz w:val="30"/>
          <w:szCs w:val="30"/>
        </w:rPr>
        <w:t>References</w:t>
      </w:r>
    </w:p>
    <w:p w14:paraId="028E7C07">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Evans SJW, Waller PC, Davis S. Use of proportional reporting ratios (PRRs) for signal generation from spontaneous adverse drug reaction reports. Pharmacoepidemiology and Drug Safety 2001;10:483–486.</w:t>
      </w:r>
    </w:p>
    <w:p w14:paraId="741E0B85">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van Puijenbroek EP, Bate A, Leufkens HGM, Lindquist M, Orre R, Egberts ACG. A comparison of measures of disproportionality for signal detection in spontaneous reporting systems for adverse drug reactions. Pharmacoepidemiology and Drug Safety 2002;11:3–10.</w:t>
      </w:r>
    </w:p>
    <w:p w14:paraId="69150724">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Bate A, Lindquist M, Edwards IR, et al. A Bayesian neural network method for adverse drug reaction signal generation. European Journal of Clinical Pharmacology 1998;54:315–321.</w:t>
      </w:r>
    </w:p>
    <w:p w14:paraId="69A20E3D">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Norén GN, Bate A, Orre R, Edwards IR. Extending the methods used to screen the WHO drug safety database towards analysis of complex associations and improved accuracy for rare events. Statistics in Medicine 2006;25:3740–3757.</w:t>
      </w:r>
    </w:p>
    <w:p w14:paraId="40D17765">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Mantel N, Haenszel W. Statistical aspects of the analysis of data from retrospective studies of disease. Journal of the National Cancer Institute 1959;22:719–748.</w:t>
      </w:r>
    </w:p>
    <w:p w14:paraId="0489727B">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Robins J, Breslow N, Greenland S. Estimators of the Mantel–Haenszel variance consistent in both sparse data and large-strata limiting models. Biometrics 1986;42:311–323.</w:t>
      </w:r>
    </w:p>
    <w:p w14:paraId="3CB560C9">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Cochran WG. The combination of estimates from different experiments. Biometrics 1954;10:101–129.</w:t>
      </w:r>
    </w:p>
    <w:p w14:paraId="3E1332CB">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Benjamini Y, Hochberg Y. Controlling the false discovery rate: a practical and powerful approach to multiple testing. Journal of the Royal Statistical Society B 1995;57:289–300.</w:t>
      </w:r>
    </w:p>
    <w:p w14:paraId="1FFE6297">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Gelman A, Stern H. The difference between “significant” and “not significant” is not itself statistically significant. The American Statistician 2006;60:328–331.</w:t>
      </w:r>
    </w:p>
    <w:p w14:paraId="5247BBA9">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Europe</w:t>
      </w:r>
      <w:bookmarkStart w:id="0" w:name="_GoBack"/>
      <w:bookmarkEnd w:id="0"/>
      <w:r>
        <w:rPr>
          <w:rFonts w:hint="default" w:ascii="Times New Roman" w:hAnsi="Times New Roman" w:eastAsia="Calibri" w:cs="Times New Roman"/>
          <w:color w:val="auto"/>
          <w:sz w:val="24"/>
          <w:szCs w:val="24"/>
        </w:rPr>
        <w:t>an Medicines Agency. Guideline on good pharmacovigilance practices (GVP) Module IX – Signal management (Rev 1), 2017.</w:t>
      </w:r>
    </w:p>
    <w:p w14:paraId="2746891F">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CIOMS Working Group VIII. Practical aspects of signal detection in pharmacovigilance. Geneva: CIOMS; 2010.</w:t>
      </w:r>
    </w:p>
    <w:p w14:paraId="03115C57">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US Food and Drug Administration. FDA Adverse Event Reporting System (FAERS) public dashboard and quarterly data files.</w:t>
      </w:r>
    </w:p>
    <w:p w14:paraId="4879BF68">
      <w:pPr>
        <w:spacing w:after="80" w:line="360" w:lineRule="auto"/>
        <w:ind w:left="360" w:hanging="360"/>
        <w:jc w:val="both"/>
        <w:rPr>
          <w:rFonts w:hint="default" w:ascii="Times New Roman" w:hAnsi="Times New Roman" w:cs="Times New Roman"/>
          <w:color w:val="auto"/>
          <w:sz w:val="24"/>
          <w:szCs w:val="24"/>
        </w:rPr>
      </w:pPr>
      <w:r>
        <w:rPr>
          <w:rFonts w:hint="default" w:ascii="Times New Roman" w:hAnsi="Times New Roman" w:eastAsia="Calibri" w:cs="Times New Roman"/>
          <w:color w:val="auto"/>
          <w:sz w:val="24"/>
          <w:szCs w:val="24"/>
        </w:rPr>
        <w:t>Fusaroli M, et al. The REporting of A Disproportionality analysis for drUg Safety signal detection using spontaneously reported adverse events in PharmacoVigilance (READUS-PV) guideline. Drug Safety 2024.</w:t>
      </w:r>
    </w:p>
    <w:sectPr>
      <w:footerReference r:id="rId3" w:type="default"/>
      <w:pgSz w:w="11906" w:h="16838"/>
      <w:pgMar w:top="1300" w:right="1273" w:bottom="1300" w:left="1273" w:header="708" w:footer="708"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047E03">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1429663">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01429663">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EE4ABB"/>
    <w:multiLevelType w:val="singleLevel"/>
    <w:tmpl w:val="AAEE4ABB"/>
    <w:lvl w:ilvl="0" w:tentative="0">
      <w:start w:val="1"/>
      <w:numFmt w:val="decimal"/>
      <w:lvlText w:val="%1)"/>
      <w:lvlJc w:val="left"/>
      <w:pPr>
        <w:tabs>
          <w:tab w:val="left" w:pos="425"/>
        </w:tabs>
        <w:ind w:left="425" w:leftChars="0" w:hanging="425" w:firstLineChars="0"/>
      </w:pPr>
      <w:rPr>
        <w:rFonts w:hint="default"/>
      </w:rPr>
    </w:lvl>
  </w:abstractNum>
  <w:abstractNum w:abstractNumId="1">
    <w:nsid w:val="0053208E"/>
    <w:multiLevelType w:val="singleLevel"/>
    <w:tmpl w:val="0053208E"/>
    <w:lvl w:ilvl="0" w:tentative="0">
      <w:start w:val="1"/>
      <w:numFmt w:val="bullet"/>
      <w:lvlText w:val="•"/>
      <w:lvlJc w:val="left"/>
      <w:pPr>
        <w:ind w:left="540" w:hanging="27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documentProtection w:enforcement="0"/>
  <w:compat>
    <w:compatSetting w:name="compatibilityMode" w:uri="http://schemas.microsoft.com/office/word" w:val="15"/>
  </w:compat>
  <w:rsids>
    <w:rsidRoot w:val="00000000"/>
    <w:rsid w:val="155B60B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next w:val="1"/>
    <w:qFormat/>
    <w:uiPriority w:val="0"/>
    <w:rPr>
      <w:rFonts w:ascii="Calibri" w:hAnsi="Calibri" w:eastAsia="Calibri" w:cs="Calibri"/>
      <w:color w:val="2E74B5"/>
      <w:sz w:val="32"/>
      <w:szCs w:val="32"/>
    </w:rPr>
  </w:style>
  <w:style w:type="paragraph" w:styleId="3">
    <w:name w:val="heading 2"/>
    <w:next w:val="1"/>
    <w:qFormat/>
    <w:uiPriority w:val="0"/>
    <w:rPr>
      <w:rFonts w:ascii="Calibri" w:hAnsi="Calibri" w:eastAsia="Calibri" w:cs="Calibri"/>
      <w:color w:val="2E74B5"/>
      <w:sz w:val="26"/>
      <w:szCs w:val="26"/>
    </w:rPr>
  </w:style>
  <w:style w:type="paragraph" w:styleId="4">
    <w:name w:val="heading 3"/>
    <w:next w:val="1"/>
    <w:qFormat/>
    <w:uiPriority w:val="0"/>
    <w:rPr>
      <w:rFonts w:ascii="Calibri" w:hAnsi="Calibri" w:eastAsia="Calibri" w:cs="Calibri"/>
      <w:color w:val="1F4D78"/>
      <w:sz w:val="24"/>
      <w:szCs w:val="24"/>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Calibri" w:hAnsi="Calibri" w:eastAsia="Calibri" w:cs="Calibri"/>
      <w:sz w:val="20"/>
      <w:szCs w:val="20"/>
    </w:rPr>
  </w:style>
  <w:style w:type="paragraph" w:styleId="12">
    <w:name w:val="footer"/>
    <w:basedOn w:val="1"/>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19"/>
    <w:semiHidden/>
    <w:unhideWhenUsed/>
    <w:qFormat/>
    <w:uiPriority w:val="99"/>
    <w:pPr>
      <w:spacing w:after="0" w:line="240" w:lineRule="auto"/>
    </w:pPr>
    <w:rPr>
      <w:rFonts w:ascii="Calibri" w:hAnsi="Calibri" w:eastAsia="Calibri" w:cs="Calibri"/>
      <w:sz w:val="20"/>
      <w:szCs w:val="20"/>
    </w:rPr>
  </w:style>
  <w:style w:type="paragraph" w:styleId="15">
    <w:name w:val="header"/>
    <w:basedOn w:val="1"/>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Title"/>
    <w:qFormat/>
    <w:uiPriority w:val="0"/>
    <w:rPr>
      <w:rFonts w:ascii="Calibri" w:hAnsi="Calibri" w:eastAsia="Calibri" w:cs="Calibri"/>
      <w:sz w:val="56"/>
      <w:szCs w:val="56"/>
    </w:rPr>
  </w:style>
  <w:style w:type="paragraph" w:styleId="18">
    <w:name w:val="List Paragraph"/>
    <w:qFormat/>
    <w:uiPriority w:val="0"/>
    <w:rPr>
      <w:rFonts w:ascii="Calibri" w:hAnsi="Calibri" w:eastAsia="Calibri" w:cs="Calibri"/>
      <w:sz w:val="22"/>
      <w:szCs w:val="22"/>
    </w:rPr>
  </w:style>
  <w:style w:type="character" w:customStyle="1" w:styleId="19">
    <w:name w:val="Footnote Text Char"/>
    <w:link w:val="14"/>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10</Pages>
  <Words>2822</Words>
  <Characters>15697</Characters>
  <TotalTime>26</TotalTime>
  <ScaleCrop>false</ScaleCrop>
  <LinksUpToDate>false</LinksUpToDate>
  <CharactersWithSpaces>18263</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2026-10-26T06:55:00Z</dcterms:created>
  <dc:creator>Humphery Eloke</dc:creator>
  <cp:lastModifiedBy>ELOKE HUMPHERY</cp:lastModifiedBy>
  <dcterms:modified xsi:type="dcterms:W3CDTF">2026-10-26T07:39:09Z</dcterms:modified>
  <dc:title>Tirzepatide FAERS subgroup signal analysis</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eyJoZGlkIjoiNTczMzkxNDJhMzZhNzdkZTBjYzZmZWY3OTAwZWM4YzMiLCJ1c2VySWQiOiIyNzQ4NzgwMDE5NzUwIn0=</vt:lpwstr>
  </property>
  <property fmtid="{D5CDD505-2E9C-101B-9397-08002B2CF9AE}" pid="3" name="KSOProductBuildVer">
    <vt:lpwstr>1033-12.1.0.29162</vt:lpwstr>
  </property>
  <property fmtid="{D5CDD505-2E9C-101B-9397-08002B2CF9AE}" pid="4" name="ICV">
    <vt:lpwstr>8BF51AD38F2E4C179F9DD04D09B27FF6_13</vt:lpwstr>
  </property>
</Properties>
</file>