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0"/>
          <w:szCs w:val="40"/>
        </w:rPr>
        <w:t xml:space="preserve">Running Out of Gas:</w:t>
      </w:r>
    </w:p>
    <w:p>
      <w:pPr>
        <w:spacing w:after="80"/>
        <w:jc w:val="center"/>
      </w:pPr>
      <w:r>
        <w:rPr>
          <w:rFonts w:ascii="Arial" w:cs="Arial" w:eastAsia="Arial" w:hAnsi="Arial"/>
          <w:b/>
          <w:bCs/>
          <w:color w:val="2E75B6"/>
          <w:sz w:val="28"/>
          <w:szCs w:val="28"/>
        </w:rPr>
        <w:t xml:space="preserve">High-Speed Running Decay Across Match Halves in the Uganda Premier League</w:t>
      </w:r>
    </w:p>
    <w:p>
      <w:pPr>
        <w:spacing w:after="80"/>
        <w:jc w:val="center"/>
      </w:pPr>
      <w:r>
        <w:rPr>
          <w:rFonts w:ascii="Arial" w:cs="Arial" w:eastAsia="Arial" w:hAnsi="Arial"/>
          <w:i/>
          <w:iCs/>
          <w:color w:val="666666"/>
          <w:sz w:val="22"/>
          <w:szCs w:val="22"/>
        </w:rPr>
        <w:t xml:space="preserve">A GPS-Based Physical Performance Analysis</w:t>
      </w:r>
    </w:p>
    <w:p>
      <w:pPr>
        <w:spacing w:after="320"/>
        <w:jc w:val="center"/>
      </w:pPr>
      <w:r>
        <w:rPr>
          <w:rFonts w:ascii="Arial" w:cs="Arial" w:eastAsia="Arial" w:hAnsi="Arial"/>
          <w:color w:val="888888"/>
          <w:sz w:val="20"/>
          <w:szCs w:val="20"/>
        </w:rPr>
        <w:t xml:space="preserve">Uganda Premier League | 2024/25 Season | Catapult GPS Data</w:t>
      </w:r>
    </w:p>
    <w:p>
      <w:pPr>
        <w:pBdr>
          <w:bottom w:val="single" w:color="2E75B6" w:sz="6" w:space="1"/>
        </w:pBdr>
        <w:spacing w:after="200"/>
      </w:pPr>
    </w:p>
    <w:p>
      <w:pPr>
        <w:pStyle w:val="Heading1"/>
      </w:pPr>
      <w:r>
        <w:rPr>
          <w:rFonts w:ascii="Arial" w:cs="Arial" w:eastAsia="Arial" w:hAnsi="Arial"/>
          <w:b/>
          <w:bCs/>
          <w:sz w:val="28"/>
          <w:szCs w:val="28"/>
        </w:rPr>
        <w:t xml:space="preserve">1. Overview</w:t>
      </w:r>
    </w:p>
    <w:p>
      <w:pPr>
        <w:spacing w:after="160"/>
      </w:pPr>
      <w:r>
        <w:rPr>
          <w:rFonts w:ascii="Arial" w:cs="Arial" w:eastAsia="Arial" w:hAnsi="Arial"/>
          <w:sz w:val="22"/>
          <w:szCs w:val="22"/>
        </w:rPr>
        <w:t xml:space="preserve">This project investigates the extent to which high-speed running (HSR) output declines between the first and second halves of Uganda Premier League (UPL) matches, and whether that decline varies meaningfully across playing positions. The analysis uses GPS data collected via Catapult tracking systems from the 2024/25 UPL season, covering all 16 clubs across multiple match days.</w:t>
      </w:r>
    </w:p>
    <w:p>
      <w:pPr>
        <w:spacing w:after="160"/>
      </w:pPr>
      <w:r>
        <w:rPr>
          <w:rFonts w:ascii="Arial" w:cs="Arial" w:eastAsia="Arial" w:hAnsi="Arial"/>
          <w:sz w:val="22"/>
          <w:szCs w:val="22"/>
        </w:rPr>
        <w:t xml:space="preserve">The central question is straightforward: do UPL outfield players run significantly less at high speed in the second half compared to the first, and if so, does that decay differ for defenders, midfielders, and forwards? Understanding this matters because physical fatigue patterns directly inform how coaches structure training loads, substitution strategies, and positional conditioning priorities.</w:t>
      </w:r>
    </w:p>
    <w:p>
      <w:pPr>
        <w:pStyle w:val="Heading1"/>
      </w:pPr>
      <w:r>
        <w:rPr>
          <w:rFonts w:ascii="Arial" w:cs="Arial" w:eastAsia="Arial" w:hAnsi="Arial"/>
          <w:b/>
          <w:bCs/>
          <w:sz w:val="28"/>
          <w:szCs w:val="28"/>
        </w:rPr>
        <w:t xml:space="preserve">2. Background and Relevance</w:t>
      </w:r>
    </w:p>
    <w:p>
      <w:pPr>
        <w:spacing w:after="160"/>
      </w:pPr>
      <w:r>
        <w:rPr>
          <w:rFonts w:ascii="Arial" w:cs="Arial" w:eastAsia="Arial" w:hAnsi="Arial"/>
          <w:sz w:val="22"/>
          <w:szCs w:val="22"/>
        </w:rPr>
        <w:t xml:space="preserve">Second-half physical decline is one of the most consistently documented findings in elite football research. Studies across the English Premier League, Bundesliga, and La Liga have shown that total distance, high-speed running distance, and sprint counts all decrease in the second half relative to the first. In elite environments, HSR reductions between halves typically range from 5% to 15%, with forwards and wide players showing the steepest drops due to the higher intermittent sprint demands of their roles.</w:t>
      </w:r>
    </w:p>
    <w:p>
      <w:pPr>
        <w:spacing w:after="160"/>
      </w:pPr>
      <w:r>
        <w:rPr>
          <w:rFonts w:ascii="Arial" w:cs="Arial" w:eastAsia="Arial" w:hAnsi="Arial"/>
          <w:sz w:val="22"/>
          <w:szCs w:val="22"/>
        </w:rPr>
        <w:t xml:space="preserve">What is largely absent from the literature is equivalent data from African domestic leagues. The UPL operates in a different environmental context: altitude variation across venues, pitch quality variation, squad depth constraints, and training load monitoring that is still developing at most clubs. Whether elite-level decay patterns translate to the Ugandan context is not known, and this project begins to answer that.</w:t>
      </w:r>
    </w:p>
    <w:p>
      <w:pPr>
        <w:spacing w:after="160"/>
      </w:pPr>
      <w:r>
        <w:rPr>
          <w:rFonts w:ascii="Arial" w:cs="Arial" w:eastAsia="Arial" w:hAnsi="Arial"/>
          <w:sz w:val="22"/>
          <w:szCs w:val="22"/>
        </w:rPr>
        <w:t xml:space="preserve">Beyond academic interest, this has direct practical value. If UPL midfielders show significantly steeper second-half HSR decay than defenders, for example, that should influence how conditioning coaches design second-half training blocks and how technical staff set physical benchmarks for positional fitness standards. The findings are actionable, not just descriptive.</w:t>
      </w:r>
    </w:p>
    <w:p>
      <w:pPr>
        <w:pStyle w:val="Heading1"/>
      </w:pPr>
      <w:r>
        <w:rPr>
          <w:rFonts w:ascii="Arial" w:cs="Arial" w:eastAsia="Arial" w:hAnsi="Arial"/>
          <w:b/>
          <w:bCs/>
          <w:sz w:val="28"/>
          <w:szCs w:val="28"/>
        </w:rPr>
        <w:t xml:space="preserve">3. Data Source and Scope</w:t>
      </w:r>
    </w:p>
    <w:p>
      <w:pPr>
        <w:spacing w:after="160"/>
      </w:pPr>
      <w:r>
        <w:rPr>
          <w:rFonts w:ascii="Arial" w:cs="Arial" w:eastAsia="Arial" w:hAnsi="Arial"/>
          <w:sz w:val="22"/>
          <w:szCs w:val="22"/>
        </w:rPr>
        <w:t xml:space="preserve">Data source: Catapult GPS tracking system (Catapult One), collected and managed by the Uganda Football Federation (FUFA) Research, Science and Technology department across the 2024/25 UPL season.</w:t>
      </w:r>
    </w:p>
    <w:p>
      <w:pPr>
        <w:spacing w:after="160"/>
      </w:pPr>
      <w:r>
        <w:rPr>
          <w:rFonts w:ascii="Arial" w:cs="Arial" w:eastAsia="Arial" w:hAnsi="Arial"/>
          <w:sz w:val="22"/>
          <w:szCs w:val="22"/>
        </w:rPr>
        <w:t xml:space="preserve">Coverage: All 16 UPL clubs, up to 30 match days per club. Each match file contains per-player GPS summaries split by full match, first half, and second half. Metrics available include total distance, top speed, Player Load, High-Speed Running distance (Speed Zones 4 and 5, above 18 km/h), acceleration/deceleration counts, power score, and work ratio, among others.</w:t>
      </w:r>
    </w:p>
    <w:p>
      <w:pPr>
        <w:spacing w:after="160"/>
      </w:pPr>
      <w:r>
        <w:rPr>
          <w:rFonts w:ascii="Arial" w:cs="Arial" w:eastAsia="Arial" w:hAnsi="Arial"/>
          <w:sz w:val="22"/>
          <w:szCs w:val="22"/>
        </w:rPr>
        <w:t xml:space="preserve">The primary analytical metric is HSR Rate, defined as the combined distance covered in Speed Zones 4 and 5 (above 18 km/h) divided by total half duration in minutes. This metric captures the volume of high-intensity running per unit of playing time, making it comparable across players with different substitution timings and directly sensitive to fatigue-driven output reduction.</w:t>
      </w:r>
    </w:p>
    <w:p>
      <w:pPr>
        <w:spacing w:after="160"/>
      </w:pPr>
      <w:r>
        <w:rPr>
          <w:rFonts w:ascii="Arial" w:cs="Arial" w:eastAsia="Arial" w:hAnsi="Arial"/>
          <w:sz w:val="22"/>
          <w:szCs w:val="22"/>
        </w:rPr>
        <w:t xml:space="preserve">Goalkeepers are excluded from all analyses. Players with half durations below 35 minutes in either half are excluded to control for substitution effects, as short durations artificially inflate or deflate rate-based metrics.</w:t>
      </w:r>
    </w:p>
    <w:p>
      <w:pPr>
        <w:pStyle w:val="Heading1"/>
      </w:pPr>
      <w:r>
        <w:rPr>
          <w:rFonts w:ascii="Arial" w:cs="Arial" w:eastAsia="Arial" w:hAnsi="Arial"/>
          <w:b/>
          <w:bCs/>
          <w:sz w:val="28"/>
          <w:szCs w:val="28"/>
        </w:rPr>
        <w:t xml:space="preserve">4. Analytical Approach</w:t>
      </w:r>
    </w:p>
    <w:p>
      <w:pPr>
        <w:spacing w:after="160"/>
      </w:pPr>
      <w:r>
        <w:rPr>
          <w:rFonts w:ascii="Arial" w:cs="Arial" w:eastAsia="Arial" w:hAnsi="Arial"/>
          <w:sz w:val="22"/>
          <w:szCs w:val="22"/>
        </w:rPr>
        <w:t xml:space="preserve">The analysis proceeds in three stages.</w:t>
      </w:r>
    </w:p>
    <w:p>
      <w:pPr>
        <w:spacing w:after="160"/>
      </w:pPr>
      <w:r>
        <w:rPr>
          <w:rFonts w:ascii="Arial" w:cs="Arial" w:eastAsia="Arial" w:hAnsi="Arial"/>
          <w:sz w:val="22"/>
          <w:szCs w:val="22"/>
        </w:rPr>
        <w:t xml:space="preserve">First, a data audit and sanity check establishes dataset completeness: number of valid matches per club, player observation counts, position distribution, and identification of outlier HSR values that may reflect data errors. All cleaning decisions are documented with explicit justification.</w:t>
      </w:r>
    </w:p>
    <w:p>
      <w:pPr>
        <w:spacing w:after="160"/>
      </w:pPr>
      <w:r>
        <w:rPr>
          <w:rFonts w:ascii="Arial" w:cs="Arial" w:eastAsia="Arial" w:hAnsi="Arial"/>
          <w:sz w:val="22"/>
          <w:szCs w:val="22"/>
        </w:rPr>
        <w:t xml:space="preserve">Second, the existence of HSR decay is tested statistically using a paired t-test comparing first-half and second-half HSR rates across all valid player-match observations. The paired design is appropriate because each observation compares the same player against themselves across the two halves of the same match, controlling for individual variation in fitness and playing style.</w:t>
      </w:r>
    </w:p>
    <w:p>
      <w:pPr>
        <w:spacing w:after="160"/>
      </w:pPr>
      <w:r>
        <w:rPr>
          <w:rFonts w:ascii="Arial" w:cs="Arial" w:eastAsia="Arial" w:hAnsi="Arial"/>
          <w:sz w:val="22"/>
          <w:szCs w:val="22"/>
        </w:rPr>
        <w:t xml:space="preserve">Third, variation in decay magnitude across positions (defender, midfielder, forward) is examined using one-way ANOVA with post-hoc pairwise comparisons. A separate ANOVA tests whether decay magnitude differs by match outcome (win, draw, loss), exploring whether competitive context influences physical output patterns in the second half.</w:t>
      </w:r>
    </w:p>
    <w:p>
      <w:pPr>
        <w:spacing w:after="160"/>
      </w:pPr>
      <w:r>
        <w:rPr>
          <w:rFonts w:ascii="Arial" w:cs="Arial" w:eastAsia="Arial" w:hAnsi="Arial"/>
          <w:sz w:val="22"/>
          <w:szCs w:val="22"/>
        </w:rPr>
        <w:t xml:space="preserve">All analyses are conducted in Python using pandas, scipy, and matplotlib. Code and data pipeline are fully documented and available in the project repository.</w:t>
      </w:r>
    </w:p>
    <w:p>
      <w:pPr>
        <w:pStyle w:val="Heading1"/>
      </w:pPr>
      <w:r>
        <w:rPr>
          <w:rFonts w:ascii="Arial" w:cs="Arial" w:eastAsia="Arial" w:hAnsi="Arial"/>
          <w:b/>
          <w:bCs/>
          <w:sz w:val="28"/>
          <w:szCs w:val="28"/>
        </w:rPr>
        <w:t xml:space="preserve">5. Scope and Limitations</w:t>
      </w:r>
    </w:p>
    <w:p>
      <w:pPr>
        <w:spacing w:after="160"/>
      </w:pPr>
      <w:r>
        <w:rPr>
          <w:rFonts w:ascii="Arial" w:cs="Arial" w:eastAsia="Arial" w:hAnsi="Arial"/>
          <w:sz w:val="22"/>
          <w:szCs w:val="22"/>
        </w:rPr>
        <w:t xml:space="preserve">This analysis is descriptive and exploratory. It establishes whether decay exists and characterises its magnitude and positional variation in the UPL context. It does not establish causal mechanisms, does not account for match tempo, possession share, or tactical structure, and does not control for environmental factors such as venue altitude or temperature.</w:t>
      </w:r>
    </w:p>
    <w:p>
      <w:pPr>
        <w:spacing w:after="160"/>
      </w:pPr>
      <w:r>
        <w:rPr>
          <w:rFonts w:ascii="Arial" w:cs="Arial" w:eastAsia="Arial" w:hAnsi="Arial"/>
          <w:sz w:val="22"/>
          <w:szCs w:val="22"/>
        </w:rPr>
        <w:t xml:space="preserve">Position assignments are extracted from GPS session tags and may not reflect actual in-game positional roles, particularly for players who operate in hybrid or transitional roles. Match outcome is taken as the final result and does not account for scoreline dynamics during the match itself.</w:t>
      </w:r>
    </w:p>
    <w:p>
      <w:pPr>
        <w:spacing w:after="160"/>
      </w:pPr>
      <w:r>
        <w:rPr>
          <w:rFonts w:ascii="Arial" w:cs="Arial" w:eastAsia="Arial" w:hAnsi="Arial"/>
          <w:sz w:val="22"/>
          <w:szCs w:val="22"/>
        </w:rPr>
        <w:t xml:space="preserve">Data completeness varies by club. Some clubs missed upload windows on certain match days, meaning club-level comparisons are not representative and are not part of this analysis. The unit of analysis is the player-match observation, not the club.</w:t>
      </w:r>
    </w:p>
    <w:p>
      <w:pPr>
        <w:spacing w:after="160"/>
      </w:pPr>
      <w:r>
        <w:rPr>
          <w:rFonts w:ascii="Arial" w:cs="Arial" w:eastAsia="Arial" w:hAnsi="Arial"/>
          <w:sz w:val="22"/>
          <w:szCs w:val="22"/>
        </w:rPr>
        <w:t xml:space="preserve">Despite these constraints, the dataset represents the most comprehensive GPS-based physical performance record of UPL football collected to date, and the findings provide a meaningful first benchmark for physical performance standards in Ugandan club football.</w:t>
      </w:r>
    </w:p>
    <w:p>
      <w:pPr>
        <w:pBdr>
          <w:bottom w:val="single" w:color="2E75B6" w:sz="6" w:space="1"/>
        </w:pBdr>
        <w:spacing w:after="200"/>
      </w:pPr>
    </w:p>
    <w:p>
      <w:pPr>
        <w:spacing w:after="80"/>
      </w:pPr>
      <w:r>
        <w:rPr>
          <w:rFonts w:ascii="Arial" w:cs="Arial" w:eastAsia="Arial" w:hAnsi="Arial"/>
          <w:i/>
          <w:iCs/>
          <w:color w:val="888888"/>
          <w:sz w:val="18"/>
          <w:szCs w:val="18"/>
        </w:rPr>
        <w:t xml:space="preserve">Prepared by: FUFA Research, Science and Technology Department</w:t>
      </w:r>
    </w:p>
    <w:p>
      <w:r>
        <w:rPr>
          <w:rFonts w:ascii="Arial" w:cs="Arial" w:eastAsia="Arial" w:hAnsi="Arial"/>
          <w:i/>
          <w:iCs/>
          <w:color w:val="888888"/>
          <w:sz w:val="18"/>
          <w:szCs w:val="18"/>
        </w:rPr>
        <w:t xml:space="preserve">Season: Uganda Premier League 2024/25  |  Data: Catapult GPS (Catapult One)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2026-02-24T19:54:03.773Z</dcterms:created>
  <dcterms:modified xsi:type="dcterms:W3CDTF">2026-02-24T19:54:03.776Z</dcterms:modified>
</cp:coreProperties>
</file>

<file path=docProps/custom.xml><?xml version="1.0" encoding="utf-8"?>
<Properties xmlns="http://schemas.openxmlformats.org/officeDocument/2006/custom-properties" xmlns:vt="http://schemas.openxmlformats.org/officeDocument/2006/docPropsVTypes"/>
</file>