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017520" cy="3017520"/>
            <wp:docPr id="1" name="Picture 1"/>
            <wp:cNvGraphicFramePr>
              <a:graphicFrameLocks noChangeAspect="1"/>
            </wp:cNvGraphicFramePr>
            <a:graphic>
              <a:graphicData uri="http://schemas.openxmlformats.org/drawingml/2006/picture">
                <pic:pic>
                  <pic:nvPicPr>
                    <pic:cNvPr id="0" name="a_clean_high_resolution_vector_style_logo_badge.png"/>
                    <pic:cNvPicPr/>
                  </pic:nvPicPr>
                  <pic:blipFill>
                    <a:blip r:embed="rId10"/>
                    <a:stretch>
                      <a:fillRect/>
                    </a:stretch>
                  </pic:blipFill>
                  <pic:spPr>
                    <a:xfrm>
                      <a:off x="0" y="0"/>
                      <a:ext cx="3017520" cy="3017520"/>
                    </a:xfrm>
                    <a:prstGeom prst="rect"/>
                  </pic:spPr>
                </pic:pic>
              </a:graphicData>
            </a:graphic>
          </wp:inline>
        </w:drawing>
      </w:r>
    </w:p>
    <w:p>
      <w:pPr>
        <w:jc w:val="center"/>
      </w:pPr>
      <w:r>
        <w:rPr>
          <w:rFonts w:ascii="Aptos Display" w:hAnsi="Aptos Display"/>
          <w:b/>
          <w:color w:val="062A53"/>
          <w:sz w:val="56"/>
        </w:rPr>
        <w:t>BRAND GUIDELINES</w:t>
      </w:r>
    </w:p>
    <w:p>
      <w:pPr>
        <w:jc w:val="center"/>
      </w:pPr>
      <w:r>
        <w:rPr>
          <w:rFonts w:ascii="Aptos" w:hAnsi="Aptos"/>
          <w:b/>
          <w:color w:val="087DB8"/>
          <w:sz w:val="30"/>
        </w:rPr>
        <w:t>KampieDa Medical Group &amp; Behavioral Health, Corp.</w:t>
      </w:r>
    </w:p>
    <w:p>
      <w:pPr>
        <w:jc w:val="center"/>
      </w:pPr>
      <w:r>
        <w:rPr>
          <w:rFonts w:ascii="Aptos" w:hAnsi="Aptos"/>
          <w:i/>
          <w:color w:val="D6A33B"/>
          <w:sz w:val="24"/>
        </w:rPr>
        <w:t>Healing Minds. Strengthening Bodies. Restoring Lives.</w:t>
      </w:r>
    </w:p>
    <w:p>
      <w:pPr>
        <w:spacing w:after="120"/>
        <w:pBdr>
          <w:bottom w:val="single" w:sz="12" w:space="1" w:color="062A53"/>
        </w:pBdr>
      </w:pPr>
    </w:p>
    <w:p>
      <w:pPr>
        <w:jc w:val="center"/>
      </w:pPr>
      <w:r>
        <w:rPr>
          <w:color w:val="667788"/>
          <w:sz w:val="18"/>
        </w:rPr>
        <w:t>Version 1.0</w:t>
      </w:r>
    </w:p>
    <w:p>
      <w:r>
        <w:br w:type="page"/>
      </w:r>
    </w:p>
    <w:p>
      <w:pPr>
        <w:spacing w:before="120" w:after="80"/>
      </w:pPr>
      <w:r>
        <w:rPr>
          <w:rFonts w:ascii="Aptos Display" w:hAnsi="Aptos Display"/>
          <w:b/>
          <w:color w:val="062A53"/>
          <w:sz w:val="40"/>
        </w:rPr>
        <w:t>1. Brand Foundation</w:t>
      </w:r>
    </w:p>
    <w:p>
      <w:pPr>
        <w:spacing w:after="120"/>
        <w:pBdr>
          <w:bottom w:val="single" w:sz="8" w:space="1" w:color="D6A33B"/>
        </w:pBdr>
      </w:pPr>
    </w:p>
    <w:p>
      <w:pPr>
        <w:spacing w:before="60" w:after="80"/>
      </w:pPr>
      <w:r>
        <w:rPr>
          <w:rFonts w:ascii="Aptos" w:hAnsi="Aptos"/>
          <w:b/>
          <w:color w:val="087DB8"/>
          <w:sz w:val="26"/>
        </w:rPr>
        <w:t>Official Brand Name</w:t>
      </w:r>
    </w:p>
    <w:p>
      <w:pPr>
        <w:spacing w:after="80" w:line="259" w:lineRule="auto"/>
      </w:pPr>
      <w:r>
        <w:rPr>
          <w:rFonts w:ascii="Aptos" w:hAnsi="Aptos"/>
          <w:color w:val="172A3A"/>
          <w:sz w:val="21"/>
        </w:rPr>
        <w:t>KampieDa Medical Group &amp; Behavioral Health, Corp.</w:t>
      </w:r>
    </w:p>
    <w:p>
      <w:pPr>
        <w:spacing w:before="60" w:after="80"/>
      </w:pPr>
      <w:r>
        <w:rPr>
          <w:rFonts w:ascii="Aptos" w:hAnsi="Aptos"/>
          <w:b/>
          <w:color w:val="087DB8"/>
          <w:sz w:val="26"/>
        </w:rPr>
        <w:t>Short Brand Name</w:t>
      </w:r>
    </w:p>
    <w:p>
      <w:pPr>
        <w:spacing w:after="80" w:line="259" w:lineRule="auto"/>
      </w:pPr>
      <w:r>
        <w:rPr>
          <w:rFonts w:ascii="Aptos" w:hAnsi="Aptos"/>
          <w:color w:val="172A3A"/>
          <w:sz w:val="21"/>
        </w:rPr>
        <w:t>KampieDa</w:t>
      </w:r>
    </w:p>
    <w:p>
      <w:pPr>
        <w:spacing w:before="60" w:after="80"/>
      </w:pPr>
      <w:r>
        <w:rPr>
          <w:rFonts w:ascii="Aptos" w:hAnsi="Aptos"/>
          <w:b/>
          <w:color w:val="087DB8"/>
          <w:sz w:val="26"/>
        </w:rPr>
        <w:t>Primary Tagline</w:t>
      </w:r>
    </w:p>
    <w:p>
      <w:pPr>
        <w:spacing w:after="80" w:line="259" w:lineRule="auto"/>
      </w:pPr>
      <w:r>
        <w:rPr>
          <w:rFonts w:ascii="Aptos" w:hAnsi="Aptos"/>
          <w:color w:val="172A3A"/>
          <w:sz w:val="21"/>
        </w:rPr>
        <w:t>Healing Minds. Strengthening Bodies. Restoring Lives.</w:t>
      </w:r>
    </w:p>
    <w:p>
      <w:pPr>
        <w:spacing w:before="60" w:after="80"/>
      </w:pPr>
      <w:r>
        <w:rPr>
          <w:rFonts w:ascii="Aptos" w:hAnsi="Aptos"/>
          <w:b/>
          <w:color w:val="087DB8"/>
          <w:sz w:val="26"/>
        </w:rPr>
        <w:t>Brand Purpose</w:t>
      </w:r>
    </w:p>
    <w:p>
      <w:pPr>
        <w:spacing w:after="80" w:line="259" w:lineRule="auto"/>
      </w:pPr>
      <w:r>
        <w:rPr>
          <w:rFonts w:ascii="Aptos" w:hAnsi="Aptos"/>
          <w:color w:val="172A3A"/>
          <w:sz w:val="21"/>
        </w:rPr>
        <w:t>KampieDa Medical Group &amp; Behavioral Health exists to provide compassionate, comprehensive, patient-centered healthcare that integrates physical health, mental health, and behavioral wellness.</w:t>
      </w:r>
    </w:p>
    <w:p>
      <w:pPr>
        <w:spacing w:before="60" w:after="80"/>
      </w:pPr>
      <w:r>
        <w:rPr>
          <w:rFonts w:ascii="Aptos" w:hAnsi="Aptos"/>
          <w:b/>
          <w:color w:val="087DB8"/>
          <w:sz w:val="26"/>
        </w:rPr>
        <w:t>Brand Personality</w:t>
      </w:r>
    </w:p>
    <w:p>
      <w:pPr>
        <w:pStyle w:val="ListBullet"/>
        <w:spacing w:after="40"/>
      </w:pPr>
      <w:r>
        <w:rPr>
          <w:rFonts w:ascii="Aptos" w:hAnsi="Aptos"/>
          <w:color w:val="172A3A"/>
          <w:sz w:val="21"/>
        </w:rPr>
        <w:t>Compassionate and reassuring</w:t>
      </w:r>
    </w:p>
    <w:p>
      <w:pPr>
        <w:pStyle w:val="ListBullet"/>
        <w:spacing w:after="40"/>
      </w:pPr>
      <w:r>
        <w:rPr>
          <w:rFonts w:ascii="Aptos" w:hAnsi="Aptos"/>
          <w:color w:val="172A3A"/>
          <w:sz w:val="21"/>
        </w:rPr>
        <w:t>Professional and clinically credible</w:t>
      </w:r>
    </w:p>
    <w:p>
      <w:pPr>
        <w:pStyle w:val="ListBullet"/>
        <w:spacing w:after="40"/>
      </w:pPr>
      <w:r>
        <w:rPr>
          <w:rFonts w:ascii="Aptos" w:hAnsi="Aptos"/>
          <w:color w:val="172A3A"/>
          <w:sz w:val="21"/>
        </w:rPr>
        <w:t>Sophisticated without feeling cold</w:t>
      </w:r>
    </w:p>
    <w:p>
      <w:pPr>
        <w:pStyle w:val="ListBullet"/>
        <w:spacing w:after="40"/>
      </w:pPr>
      <w:r>
        <w:rPr>
          <w:rFonts w:ascii="Aptos" w:hAnsi="Aptos"/>
          <w:color w:val="172A3A"/>
          <w:sz w:val="21"/>
        </w:rPr>
        <w:t>Inclusive and patient-centered</w:t>
      </w:r>
    </w:p>
    <w:p>
      <w:pPr>
        <w:pStyle w:val="ListBullet"/>
        <w:spacing w:after="40"/>
      </w:pPr>
      <w:r>
        <w:rPr>
          <w:rFonts w:ascii="Aptos" w:hAnsi="Aptos"/>
          <w:color w:val="172A3A"/>
          <w:sz w:val="21"/>
        </w:rPr>
        <w:t>Modern, trustworthy, and community-minded</w:t>
      </w:r>
    </w:p>
    <w:p>
      <w:pPr>
        <w:spacing w:before="60" w:after="80"/>
      </w:pPr>
      <w:r>
        <w:rPr>
          <w:rFonts w:ascii="Aptos" w:hAnsi="Aptos"/>
          <w:b/>
          <w:color w:val="087DB8"/>
          <w:sz w:val="26"/>
        </w:rPr>
        <w:t>Core Messaging Pillars</w:t>
      </w:r>
    </w:p>
    <w:p>
      <w:pPr>
        <w:pStyle w:val="ListBullet"/>
        <w:spacing w:after="40"/>
      </w:pPr>
      <w:r>
        <w:rPr>
          <w:rFonts w:ascii="Aptos" w:hAnsi="Aptos"/>
          <w:color w:val="172A3A"/>
          <w:sz w:val="21"/>
        </w:rPr>
        <w:t>Whole-Person Care — physical and mental health are connected.</w:t>
      </w:r>
    </w:p>
    <w:p>
      <w:pPr>
        <w:pStyle w:val="ListBullet"/>
        <w:spacing w:after="40"/>
      </w:pPr>
      <w:r>
        <w:rPr>
          <w:rFonts w:ascii="Aptos" w:hAnsi="Aptos"/>
          <w:color w:val="172A3A"/>
          <w:sz w:val="21"/>
        </w:rPr>
        <w:t>Compassionate Care — patients should feel heard, respected, and understood.</w:t>
      </w:r>
    </w:p>
    <w:p>
      <w:pPr>
        <w:pStyle w:val="ListBullet"/>
        <w:spacing w:after="40"/>
      </w:pPr>
      <w:r>
        <w:rPr>
          <w:rFonts w:ascii="Aptos" w:hAnsi="Aptos"/>
          <w:color w:val="172A3A"/>
          <w:sz w:val="21"/>
        </w:rPr>
        <w:t>Clinical Excellence — qualified professionals and responsible standards of care.</w:t>
      </w:r>
    </w:p>
    <w:p>
      <w:pPr>
        <w:pStyle w:val="ListBullet"/>
        <w:spacing w:after="40"/>
      </w:pPr>
      <w:r>
        <w:rPr>
          <w:rFonts w:ascii="Aptos" w:hAnsi="Aptos"/>
          <w:color w:val="172A3A"/>
          <w:sz w:val="21"/>
        </w:rPr>
        <w:t>Accessible Care — convenient access through in-person and telehealth services.</w:t>
      </w:r>
    </w:p>
    <w:p>
      <w:r>
        <w:br w:type="page"/>
      </w:r>
    </w:p>
    <w:p>
      <w:pPr>
        <w:spacing w:before="120" w:after="80"/>
      </w:pPr>
      <w:r>
        <w:rPr>
          <w:rFonts w:ascii="Aptos Display" w:hAnsi="Aptos Display"/>
          <w:b/>
          <w:color w:val="062A53"/>
          <w:sz w:val="40"/>
        </w:rPr>
        <w:t>2. Logo System</w:t>
      </w:r>
    </w:p>
    <w:p>
      <w:pPr>
        <w:spacing w:after="120"/>
        <w:pBdr>
          <w:bottom w:val="single" w:sz="8" w:space="1" w:color="D6A33B"/>
        </w:pBdr>
      </w:pPr>
    </w:p>
    <w:p>
      <w:pPr>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a_clean_high_resolution_vector_style_logo_badge.png"/>
                    <pic:cNvPicPr/>
                  </pic:nvPicPr>
                  <pic:blipFill>
                    <a:blip r:embed="rId10"/>
                    <a:stretch>
                      <a:fillRect/>
                    </a:stretch>
                  </pic:blipFill>
                  <pic:spPr>
                    <a:xfrm>
                      <a:off x="0" y="0"/>
                      <a:ext cx="2377440" cy="2377440"/>
                    </a:xfrm>
                    <a:prstGeom prst="rect"/>
                  </pic:spPr>
                </pic:pic>
              </a:graphicData>
            </a:graphic>
          </wp:inline>
        </w:drawing>
      </w:r>
    </w:p>
    <w:p>
      <w:pPr>
        <w:spacing w:after="80" w:line="259" w:lineRule="auto"/>
      </w:pPr>
      <w:r>
        <w:rPr>
          <w:rFonts w:ascii="Aptos" w:hAnsi="Aptos"/>
          <w:color w:val="172A3A"/>
          <w:sz w:val="21"/>
        </w:rPr>
        <w:t>The circular crest is the primary corporate mark. It should be used on the website, formal documents, signage, presentations, brochures, and major brand touchpoints.</w:t>
      </w:r>
    </w:p>
    <w:p>
      <w:pPr>
        <w:spacing w:before="60" w:after="80"/>
      </w:pPr>
      <w:r>
        <w:rPr>
          <w:rFonts w:ascii="Aptos" w:hAnsi="Aptos"/>
          <w:b/>
          <w:color w:val="087DB8"/>
          <w:sz w:val="26"/>
        </w:rPr>
        <w:t>Meaning of the Mark</w:t>
      </w:r>
    </w:p>
    <w:p>
      <w:pPr>
        <w:pStyle w:val="ListBullet"/>
        <w:spacing w:after="40"/>
      </w:pPr>
      <w:r>
        <w:rPr>
          <w:rFonts w:ascii="Aptos" w:hAnsi="Aptos"/>
          <w:color w:val="172A3A"/>
          <w:sz w:val="21"/>
        </w:rPr>
        <w:t>Anatomical heart — life, medicine, physical health, and compassionate care.</w:t>
      </w:r>
    </w:p>
    <w:p>
      <w:pPr>
        <w:pStyle w:val="ListBullet"/>
        <w:spacing w:after="40"/>
      </w:pPr>
      <w:r>
        <w:rPr>
          <w:rFonts w:ascii="Aptos" w:hAnsi="Aptos"/>
          <w:color w:val="172A3A"/>
          <w:sz w:val="21"/>
        </w:rPr>
        <w:t>ECG line — clinical medicine and continuous care.</w:t>
      </w:r>
    </w:p>
    <w:p>
      <w:pPr>
        <w:pStyle w:val="ListBullet"/>
        <w:spacing w:after="40"/>
      </w:pPr>
      <w:r>
        <w:rPr>
          <w:rFonts w:ascii="Aptos" w:hAnsi="Aptos"/>
          <w:color w:val="172A3A"/>
          <w:sz w:val="21"/>
        </w:rPr>
        <w:t>Hands — protection, healing, service, and empathy.</w:t>
      </w:r>
    </w:p>
    <w:p>
      <w:pPr>
        <w:pStyle w:val="ListBullet"/>
        <w:spacing w:after="40"/>
      </w:pPr>
      <w:r>
        <w:rPr>
          <w:rFonts w:ascii="Aptos" w:hAnsi="Aptos"/>
          <w:color w:val="172A3A"/>
          <w:sz w:val="21"/>
        </w:rPr>
        <w:t>Medical symbol — clinical identity and professional practice.</w:t>
      </w:r>
    </w:p>
    <w:p>
      <w:pPr>
        <w:pStyle w:val="ListBullet"/>
        <w:spacing w:after="40"/>
      </w:pPr>
      <w:r>
        <w:rPr>
          <w:rFonts w:ascii="Aptos" w:hAnsi="Aptos"/>
          <w:color w:val="172A3A"/>
          <w:sz w:val="21"/>
        </w:rPr>
        <w:t>Globe — community reach and a broader vision for care.</w:t>
      </w:r>
    </w:p>
    <w:p>
      <w:pPr>
        <w:pStyle w:val="ListBullet"/>
        <w:spacing w:after="40"/>
      </w:pPr>
      <w:r>
        <w:rPr>
          <w:rFonts w:ascii="Aptos" w:hAnsi="Aptos"/>
          <w:color w:val="172A3A"/>
          <w:sz w:val="21"/>
        </w:rPr>
        <w:t>Laurel and stars — excellence, achievement, trust, and aspiration.</w:t>
      </w:r>
    </w:p>
    <w:p>
      <w:pPr>
        <w:spacing w:before="60" w:after="80"/>
      </w:pPr>
      <w:r>
        <w:rPr>
          <w:rFonts w:ascii="Aptos" w:hAnsi="Aptos"/>
          <w:b/>
          <w:color w:val="087DB8"/>
          <w:sz w:val="26"/>
        </w:rPr>
        <w:t>Clear Space</w:t>
      </w:r>
    </w:p>
    <w:p>
      <w:pPr>
        <w:spacing w:after="80" w:line="259" w:lineRule="auto"/>
      </w:pPr>
      <w:r>
        <w:rPr>
          <w:rFonts w:ascii="Aptos" w:hAnsi="Aptos"/>
          <w:color w:val="172A3A"/>
          <w:sz w:val="21"/>
        </w:rPr>
        <w:t>Maintain clear space equal to approximately 10–15% of the logo width on every side. Never crowd the logo against text, photos, borders, or other marks.</w:t>
      </w:r>
    </w:p>
    <w:p>
      <w:pPr>
        <w:spacing w:before="60" w:after="80"/>
      </w:pPr>
      <w:r>
        <w:rPr>
          <w:rFonts w:ascii="Aptos" w:hAnsi="Aptos"/>
          <w:b/>
          <w:color w:val="087DB8"/>
          <w:sz w:val="26"/>
        </w:rPr>
        <w:t>Do Not</w:t>
      </w:r>
    </w:p>
    <w:p>
      <w:pPr>
        <w:pStyle w:val="ListBullet"/>
        <w:spacing w:after="40"/>
      </w:pPr>
      <w:r>
        <w:rPr>
          <w:rFonts w:ascii="Aptos" w:hAnsi="Aptos"/>
          <w:color w:val="172A3A"/>
          <w:sz w:val="21"/>
        </w:rPr>
        <w:t>Stretch, squash, or rotate the logo.</w:t>
      </w:r>
    </w:p>
    <w:p>
      <w:pPr>
        <w:pStyle w:val="ListBullet"/>
        <w:spacing w:after="40"/>
      </w:pPr>
      <w:r>
        <w:rPr>
          <w:rFonts w:ascii="Aptos" w:hAnsi="Aptos"/>
          <w:color w:val="172A3A"/>
          <w:sz w:val="21"/>
        </w:rPr>
        <w:t>Change individual logo colors.</w:t>
      </w:r>
    </w:p>
    <w:p>
      <w:pPr>
        <w:pStyle w:val="ListBullet"/>
        <w:spacing w:after="40"/>
      </w:pPr>
      <w:r>
        <w:rPr>
          <w:rFonts w:ascii="Aptos" w:hAnsi="Aptos"/>
          <w:color w:val="172A3A"/>
          <w:sz w:val="21"/>
        </w:rPr>
        <w:t>Add extra outlines, shadows, or effects.</w:t>
      </w:r>
    </w:p>
    <w:p>
      <w:pPr>
        <w:pStyle w:val="ListBullet"/>
        <w:spacing w:after="40"/>
      </w:pPr>
      <w:r>
        <w:rPr>
          <w:rFonts w:ascii="Aptos" w:hAnsi="Aptos"/>
          <w:color w:val="172A3A"/>
          <w:sz w:val="21"/>
        </w:rPr>
        <w:t>Place the logo on a busy image without sufficient contrast.</w:t>
      </w:r>
    </w:p>
    <w:p>
      <w:pPr>
        <w:pStyle w:val="ListBullet"/>
        <w:spacing w:after="40"/>
      </w:pPr>
      <w:r>
        <w:rPr>
          <w:rFonts w:ascii="Aptos" w:hAnsi="Aptos"/>
          <w:color w:val="172A3A"/>
          <w:sz w:val="21"/>
        </w:rPr>
        <w:t>Recreate the name with unrelated fonts.</w:t>
      </w:r>
    </w:p>
    <w:p>
      <w:pPr>
        <w:pStyle w:val="ListBullet"/>
        <w:spacing w:after="40"/>
      </w:pPr>
      <w:r>
        <w:rPr>
          <w:rFonts w:ascii="Aptos" w:hAnsi="Aptos"/>
          <w:color w:val="172A3A"/>
          <w:sz w:val="21"/>
        </w:rPr>
        <w:t>Remove parts of the crest unless using an approved secondary mark.</w:t>
      </w:r>
    </w:p>
    <w:p>
      <w:pPr>
        <w:spacing w:before="60" w:after="80"/>
      </w:pPr>
      <w:r>
        <w:rPr>
          <w:rFonts w:ascii="Aptos" w:hAnsi="Aptos"/>
          <w:b/>
          <w:color w:val="087DB8"/>
          <w:sz w:val="26"/>
        </w:rPr>
        <w:t>Recommended Secondary Marks</w:t>
      </w:r>
    </w:p>
    <w:p>
      <w:pPr>
        <w:pStyle w:val="ListBullet"/>
        <w:spacing w:after="40"/>
      </w:pPr>
      <w:r>
        <w:rPr>
          <w:rFonts w:ascii="Aptos" w:hAnsi="Aptos"/>
          <w:color w:val="172A3A"/>
          <w:sz w:val="21"/>
        </w:rPr>
        <w:t>Horizontal lockup: crest at left, KampieDa name at right.</w:t>
      </w:r>
    </w:p>
    <w:p>
      <w:pPr>
        <w:pStyle w:val="ListBullet"/>
        <w:spacing w:after="40"/>
      </w:pPr>
      <w:r>
        <w:rPr>
          <w:rFonts w:ascii="Aptos" w:hAnsi="Aptos"/>
          <w:color w:val="172A3A"/>
          <w:sz w:val="21"/>
        </w:rPr>
        <w:t>Simplified icon: heart/hands or simplified crest for favicon and social profiles.</w:t>
      </w:r>
    </w:p>
    <w:p>
      <w:pPr>
        <w:spacing w:before="120" w:after="80"/>
      </w:pPr>
      <w:r>
        <w:rPr>
          <w:rFonts w:ascii="Aptos Display" w:hAnsi="Aptos Display"/>
          <w:b/>
          <w:color w:val="062A53"/>
          <w:sz w:val="40"/>
        </w:rPr>
        <w:t>3. Color Palette</w:t>
      </w:r>
    </w:p>
    <w:p>
      <w:pPr>
        <w:spacing w:after="120"/>
        <w:pBdr>
          <w:bottom w:val="single" w:sz="8" w:space="1" w:color="D6A33B"/>
        </w:pBdr>
      </w:pPr>
    </w:p>
    <w:p>
      <w:pPr>
        <w:spacing w:after="80" w:line="259" w:lineRule="auto"/>
      </w:pPr>
      <w:r>
        <w:rPr>
          <w:rFonts w:ascii="Aptos" w:hAnsi="Aptos"/>
          <w:color w:val="172A3A"/>
          <w:sz w:val="21"/>
        </w:rPr>
        <w:t>The palette balances trust and professionalism (navy/blue), premium distinction (gold), and human warmth/health (red). Use white and soft gray generously to keep communications clean and modern.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062A53"/>
            <w:tcMar>
              <w:top w:w="90" w:type="dxa"/>
              <w:start w:w="90" w:type="dxa"/>
              <w:bottom w:w="90" w:type="dxa"/>
              <w:end w:w="90" w:type="dxa"/>
            </w:tcMar>
          </w:tcPr>
          <w:p>
            <w:r>
              <w:rPr>
                <w:b/>
                <w:color w:val="FFFFFF"/>
                <w:sz w:val="18"/>
              </w:rPr>
              <w:t>Color</w:t>
            </w:r>
          </w:p>
        </w:tc>
        <w:tc>
          <w:tcPr>
            <w:tcW w:type="dxa" w:w="2556"/>
            <w:shd w:fill="062A53"/>
            <w:tcMar>
              <w:top w:w="90" w:type="dxa"/>
              <w:start w:w="90" w:type="dxa"/>
              <w:bottom w:w="90" w:type="dxa"/>
              <w:end w:w="90" w:type="dxa"/>
            </w:tcMar>
          </w:tcPr>
          <w:p>
            <w:r>
              <w:rPr>
                <w:b/>
                <w:color w:val="FFFFFF"/>
                <w:sz w:val="18"/>
              </w:rPr>
              <w:t>Role</w:t>
            </w:r>
          </w:p>
        </w:tc>
        <w:tc>
          <w:tcPr>
            <w:tcW w:type="dxa" w:w="2556"/>
            <w:shd w:fill="062A53"/>
            <w:tcMar>
              <w:top w:w="90" w:type="dxa"/>
              <w:start w:w="90" w:type="dxa"/>
              <w:bottom w:w="90" w:type="dxa"/>
              <w:end w:w="90" w:type="dxa"/>
            </w:tcMar>
          </w:tcPr>
          <w:p>
            <w:r>
              <w:rPr>
                <w:b/>
                <w:color w:val="FFFFFF"/>
                <w:sz w:val="18"/>
              </w:rPr>
              <w:t>HEX</w:t>
            </w:r>
          </w:p>
        </w:tc>
        <w:tc>
          <w:tcPr>
            <w:tcW w:type="dxa" w:w="2556"/>
            <w:shd w:fill="062A53"/>
            <w:tcMar>
              <w:top w:w="90" w:type="dxa"/>
              <w:start w:w="90" w:type="dxa"/>
              <w:bottom w:w="90" w:type="dxa"/>
              <w:end w:w="90" w:type="dxa"/>
            </w:tcMar>
          </w:tcPr>
          <w:p>
            <w:r>
              <w:rPr>
                <w:b/>
                <w:color w:val="FFFFFF"/>
                <w:sz w:val="18"/>
              </w:rPr>
              <w:t>Recommended Use</w:t>
            </w:r>
          </w:p>
        </w:tc>
      </w:tr>
      <w:tr>
        <w:tc>
          <w:tcPr>
            <w:tcW w:type="dxa" w:w="2556"/>
            <w:shd w:fill="062A53"/>
            <w:vAlign w:val="center"/>
          </w:tcPr>
          <w:p>
            <w:r>
              <w:rPr>
                <w:b/>
                <w:color w:val="FFFFFF"/>
                <w:sz w:val="18"/>
              </w:rPr>
              <w:t xml:space="preserve">     Deep Navy</w:t>
            </w:r>
          </w:p>
        </w:tc>
        <w:tc>
          <w:tcPr>
            <w:tcW w:type="dxa" w:w="2556"/>
            <w:tcMar>
              <w:top w:w="90" w:type="dxa"/>
              <w:start w:w="90" w:type="dxa"/>
              <w:bottom w:w="90" w:type="dxa"/>
              <w:end w:w="90" w:type="dxa"/>
            </w:tcMar>
          </w:tcPr>
          <w:p>
            <w:r>
              <w:rPr>
                <w:rFonts w:ascii="Aptos" w:hAnsi="Aptos"/>
                <w:color w:val="172A3A"/>
                <w:sz w:val="17"/>
              </w:rPr>
              <w:t>Primary</w:t>
            </w:r>
          </w:p>
        </w:tc>
        <w:tc>
          <w:tcPr>
            <w:tcW w:type="dxa" w:w="2556"/>
            <w:tcMar>
              <w:top w:w="90" w:type="dxa"/>
              <w:start w:w="90" w:type="dxa"/>
              <w:bottom w:w="90" w:type="dxa"/>
              <w:end w:w="90" w:type="dxa"/>
            </w:tcMar>
          </w:tcPr>
          <w:p>
            <w:r>
              <w:rPr>
                <w:rFonts w:ascii="Aptos" w:hAnsi="Aptos"/>
                <w:color w:val="172A3A"/>
                <w:sz w:val="17"/>
              </w:rPr>
              <w:t>#062A53</w:t>
            </w:r>
          </w:p>
        </w:tc>
        <w:tc>
          <w:tcPr>
            <w:tcW w:type="dxa" w:w="2556"/>
            <w:tcMar>
              <w:top w:w="90" w:type="dxa"/>
              <w:start w:w="90" w:type="dxa"/>
              <w:bottom w:w="90" w:type="dxa"/>
              <w:end w:w="90" w:type="dxa"/>
            </w:tcMar>
          </w:tcPr>
          <w:p>
            <w:r>
              <w:rPr>
                <w:rFonts w:ascii="Aptos" w:hAnsi="Aptos"/>
                <w:color w:val="172A3A"/>
                <w:sz w:val="17"/>
              </w:rPr>
              <w:t>Trust, authority, professionalism</w:t>
            </w:r>
          </w:p>
        </w:tc>
      </w:tr>
      <w:tr>
        <w:tc>
          <w:tcPr>
            <w:tcW w:type="dxa" w:w="2556"/>
            <w:shd w:fill="087DB8"/>
            <w:vAlign w:val="center"/>
          </w:tcPr>
          <w:p>
            <w:r>
              <w:rPr>
                <w:b/>
                <w:color w:val="FFFFFF"/>
                <w:sz w:val="18"/>
              </w:rPr>
              <w:t xml:space="preserve">     Medical Blue</w:t>
            </w:r>
          </w:p>
        </w:tc>
        <w:tc>
          <w:tcPr>
            <w:tcW w:type="dxa" w:w="2556"/>
            <w:tcMar>
              <w:top w:w="90" w:type="dxa"/>
              <w:start w:w="90" w:type="dxa"/>
              <w:bottom w:w="90" w:type="dxa"/>
              <w:end w:w="90" w:type="dxa"/>
            </w:tcMar>
          </w:tcPr>
          <w:p>
            <w:r>
              <w:rPr>
                <w:rFonts w:ascii="Aptos" w:hAnsi="Aptos"/>
                <w:color w:val="172A3A"/>
                <w:sz w:val="17"/>
              </w:rPr>
              <w:t>Secondary</w:t>
            </w:r>
          </w:p>
        </w:tc>
        <w:tc>
          <w:tcPr>
            <w:tcW w:type="dxa" w:w="2556"/>
            <w:tcMar>
              <w:top w:w="90" w:type="dxa"/>
              <w:start w:w="90" w:type="dxa"/>
              <w:bottom w:w="90" w:type="dxa"/>
              <w:end w:w="90" w:type="dxa"/>
            </w:tcMar>
          </w:tcPr>
          <w:p>
            <w:r>
              <w:rPr>
                <w:rFonts w:ascii="Aptos" w:hAnsi="Aptos"/>
                <w:color w:val="172A3A"/>
                <w:sz w:val="17"/>
              </w:rPr>
              <w:t>#087DB8</w:t>
            </w:r>
          </w:p>
        </w:tc>
        <w:tc>
          <w:tcPr>
            <w:tcW w:type="dxa" w:w="2556"/>
            <w:tcMar>
              <w:top w:w="90" w:type="dxa"/>
              <w:start w:w="90" w:type="dxa"/>
              <w:bottom w:w="90" w:type="dxa"/>
              <w:end w:w="90" w:type="dxa"/>
            </w:tcMar>
          </w:tcPr>
          <w:p>
            <w:r>
              <w:rPr>
                <w:rFonts w:ascii="Aptos" w:hAnsi="Aptos"/>
                <w:color w:val="172A3A"/>
                <w:sz w:val="17"/>
              </w:rPr>
              <w:t>Clinical clarity, calm, accessibility</w:t>
            </w:r>
          </w:p>
        </w:tc>
      </w:tr>
      <w:tr>
        <w:tc>
          <w:tcPr>
            <w:tcW w:type="dxa" w:w="2556"/>
            <w:shd w:fill="0BA4DB"/>
            <w:vAlign w:val="center"/>
          </w:tcPr>
          <w:p>
            <w:r>
              <w:rPr>
                <w:b/>
                <w:color w:val="172A3A"/>
                <w:sz w:val="18"/>
              </w:rPr>
              <w:t xml:space="preserve">     Light Clinical Blue</w:t>
            </w:r>
          </w:p>
        </w:tc>
        <w:tc>
          <w:tcPr>
            <w:tcW w:type="dxa" w:w="2556"/>
            <w:tcMar>
              <w:top w:w="90" w:type="dxa"/>
              <w:start w:w="90" w:type="dxa"/>
              <w:bottom w:w="90" w:type="dxa"/>
              <w:end w:w="90" w:type="dxa"/>
            </w:tcMar>
          </w:tcPr>
          <w:p>
            <w:r>
              <w:rPr>
                <w:rFonts w:ascii="Aptos" w:hAnsi="Aptos"/>
                <w:color w:val="172A3A"/>
                <w:sz w:val="17"/>
              </w:rPr>
              <w:t>Accent</w:t>
            </w:r>
          </w:p>
        </w:tc>
        <w:tc>
          <w:tcPr>
            <w:tcW w:type="dxa" w:w="2556"/>
            <w:tcMar>
              <w:top w:w="90" w:type="dxa"/>
              <w:start w:w="90" w:type="dxa"/>
              <w:bottom w:w="90" w:type="dxa"/>
              <w:end w:w="90" w:type="dxa"/>
            </w:tcMar>
          </w:tcPr>
          <w:p>
            <w:r>
              <w:rPr>
                <w:rFonts w:ascii="Aptos" w:hAnsi="Aptos"/>
                <w:color w:val="172A3A"/>
                <w:sz w:val="17"/>
              </w:rPr>
              <w:t>#0BA4DB</w:t>
            </w:r>
          </w:p>
        </w:tc>
        <w:tc>
          <w:tcPr>
            <w:tcW w:type="dxa" w:w="2556"/>
            <w:tcMar>
              <w:top w:w="90" w:type="dxa"/>
              <w:start w:w="90" w:type="dxa"/>
              <w:bottom w:w="90" w:type="dxa"/>
              <w:end w:w="90" w:type="dxa"/>
            </w:tcMar>
          </w:tcPr>
          <w:p>
            <w:r>
              <w:rPr>
                <w:rFonts w:ascii="Aptos" w:hAnsi="Aptos"/>
                <w:color w:val="172A3A"/>
                <w:sz w:val="17"/>
              </w:rPr>
              <w:t>Energy, digital highlights, links</w:t>
            </w:r>
          </w:p>
        </w:tc>
      </w:tr>
      <w:tr>
        <w:tc>
          <w:tcPr>
            <w:tcW w:type="dxa" w:w="2556"/>
            <w:shd w:fill="D6A33B"/>
            <w:vAlign w:val="center"/>
          </w:tcPr>
          <w:p>
            <w:r>
              <w:rPr>
                <w:b/>
                <w:color w:val="172A3A"/>
                <w:sz w:val="18"/>
              </w:rPr>
              <w:t xml:space="preserve">     Medical Gold</w:t>
            </w:r>
          </w:p>
        </w:tc>
        <w:tc>
          <w:tcPr>
            <w:tcW w:type="dxa" w:w="2556"/>
            <w:tcMar>
              <w:top w:w="90" w:type="dxa"/>
              <w:start w:w="90" w:type="dxa"/>
              <w:bottom w:w="90" w:type="dxa"/>
              <w:end w:w="90" w:type="dxa"/>
            </w:tcMar>
          </w:tcPr>
          <w:p>
            <w:r>
              <w:rPr>
                <w:rFonts w:ascii="Aptos" w:hAnsi="Aptos"/>
                <w:color w:val="172A3A"/>
                <w:sz w:val="17"/>
              </w:rPr>
              <w:t>Premium Accent</w:t>
            </w:r>
          </w:p>
        </w:tc>
        <w:tc>
          <w:tcPr>
            <w:tcW w:type="dxa" w:w="2556"/>
            <w:tcMar>
              <w:top w:w="90" w:type="dxa"/>
              <w:start w:w="90" w:type="dxa"/>
              <w:bottom w:w="90" w:type="dxa"/>
              <w:end w:w="90" w:type="dxa"/>
            </w:tcMar>
          </w:tcPr>
          <w:p>
            <w:r>
              <w:rPr>
                <w:rFonts w:ascii="Aptos" w:hAnsi="Aptos"/>
                <w:color w:val="172A3A"/>
                <w:sz w:val="17"/>
              </w:rPr>
              <w:t>#D6A33B</w:t>
            </w:r>
          </w:p>
        </w:tc>
        <w:tc>
          <w:tcPr>
            <w:tcW w:type="dxa" w:w="2556"/>
            <w:tcMar>
              <w:top w:w="90" w:type="dxa"/>
              <w:start w:w="90" w:type="dxa"/>
              <w:bottom w:w="90" w:type="dxa"/>
              <w:end w:w="90" w:type="dxa"/>
            </w:tcMar>
          </w:tcPr>
          <w:p>
            <w:r>
              <w:rPr>
                <w:rFonts w:ascii="Aptos" w:hAnsi="Aptos"/>
                <w:color w:val="172A3A"/>
                <w:sz w:val="17"/>
              </w:rPr>
              <w:t>Excellence, prestige, warmth</w:t>
            </w:r>
          </w:p>
        </w:tc>
      </w:tr>
      <w:tr>
        <w:tc>
          <w:tcPr>
            <w:tcW w:type="dxa" w:w="2556"/>
            <w:shd w:fill="B71924"/>
            <w:vAlign w:val="center"/>
          </w:tcPr>
          <w:p>
            <w:r>
              <w:rPr>
                <w:b/>
                <w:color w:val="FFFFFF"/>
                <w:sz w:val="18"/>
              </w:rPr>
              <w:t xml:space="preserve">     Heart Red</w:t>
            </w:r>
          </w:p>
        </w:tc>
        <w:tc>
          <w:tcPr>
            <w:tcW w:type="dxa" w:w="2556"/>
            <w:tcMar>
              <w:top w:w="90" w:type="dxa"/>
              <w:start w:w="90" w:type="dxa"/>
              <w:bottom w:w="90" w:type="dxa"/>
              <w:end w:w="90" w:type="dxa"/>
            </w:tcMar>
          </w:tcPr>
          <w:p>
            <w:r>
              <w:rPr>
                <w:rFonts w:ascii="Aptos" w:hAnsi="Aptos"/>
                <w:color w:val="172A3A"/>
                <w:sz w:val="17"/>
              </w:rPr>
              <w:t>Health Accent</w:t>
            </w:r>
          </w:p>
        </w:tc>
        <w:tc>
          <w:tcPr>
            <w:tcW w:type="dxa" w:w="2556"/>
            <w:tcMar>
              <w:top w:w="90" w:type="dxa"/>
              <w:start w:w="90" w:type="dxa"/>
              <w:bottom w:w="90" w:type="dxa"/>
              <w:end w:w="90" w:type="dxa"/>
            </w:tcMar>
          </w:tcPr>
          <w:p>
            <w:r>
              <w:rPr>
                <w:rFonts w:ascii="Aptos" w:hAnsi="Aptos"/>
                <w:color w:val="172A3A"/>
                <w:sz w:val="17"/>
              </w:rPr>
              <w:t>#B71924</w:t>
            </w:r>
          </w:p>
        </w:tc>
        <w:tc>
          <w:tcPr>
            <w:tcW w:type="dxa" w:w="2556"/>
            <w:tcMar>
              <w:top w:w="90" w:type="dxa"/>
              <w:start w:w="90" w:type="dxa"/>
              <w:bottom w:w="90" w:type="dxa"/>
              <w:end w:w="90" w:type="dxa"/>
            </w:tcMar>
          </w:tcPr>
          <w:p>
            <w:r>
              <w:rPr>
                <w:rFonts w:ascii="Aptos" w:hAnsi="Aptos"/>
                <w:color w:val="172A3A"/>
                <w:sz w:val="17"/>
              </w:rPr>
              <w:t>Life, compassion, selective emphasis</w:t>
            </w:r>
          </w:p>
        </w:tc>
      </w:tr>
      <w:tr>
        <w:tc>
          <w:tcPr>
            <w:tcW w:type="dxa" w:w="2556"/>
            <w:shd w:fill="F4F7F9"/>
            <w:vAlign w:val="center"/>
          </w:tcPr>
          <w:p>
            <w:r>
              <w:rPr>
                <w:b/>
                <w:color w:val="172A3A"/>
                <w:sz w:val="18"/>
              </w:rPr>
              <w:t xml:space="preserve">     Soft Gray</w:t>
            </w:r>
          </w:p>
        </w:tc>
        <w:tc>
          <w:tcPr>
            <w:tcW w:type="dxa" w:w="2556"/>
            <w:tcMar>
              <w:top w:w="90" w:type="dxa"/>
              <w:start w:w="90" w:type="dxa"/>
              <w:bottom w:w="90" w:type="dxa"/>
              <w:end w:w="90" w:type="dxa"/>
            </w:tcMar>
          </w:tcPr>
          <w:p>
            <w:r>
              <w:rPr>
                <w:rFonts w:ascii="Aptos" w:hAnsi="Aptos"/>
                <w:color w:val="172A3A"/>
                <w:sz w:val="17"/>
              </w:rPr>
              <w:t>Background</w:t>
            </w:r>
          </w:p>
        </w:tc>
        <w:tc>
          <w:tcPr>
            <w:tcW w:type="dxa" w:w="2556"/>
            <w:tcMar>
              <w:top w:w="90" w:type="dxa"/>
              <w:start w:w="90" w:type="dxa"/>
              <w:bottom w:w="90" w:type="dxa"/>
              <w:end w:w="90" w:type="dxa"/>
            </w:tcMar>
          </w:tcPr>
          <w:p>
            <w:r>
              <w:rPr>
                <w:rFonts w:ascii="Aptos" w:hAnsi="Aptos"/>
                <w:color w:val="172A3A"/>
                <w:sz w:val="17"/>
              </w:rPr>
              <w:t>#F4F7F9</w:t>
            </w:r>
          </w:p>
        </w:tc>
        <w:tc>
          <w:tcPr>
            <w:tcW w:type="dxa" w:w="2556"/>
            <w:tcMar>
              <w:top w:w="90" w:type="dxa"/>
              <w:start w:w="90" w:type="dxa"/>
              <w:bottom w:w="90" w:type="dxa"/>
              <w:end w:w="90" w:type="dxa"/>
            </w:tcMar>
          </w:tcPr>
          <w:p>
            <w:r>
              <w:rPr>
                <w:rFonts w:ascii="Aptos" w:hAnsi="Aptos"/>
                <w:color w:val="172A3A"/>
                <w:sz w:val="17"/>
              </w:rPr>
              <w:t>Clean section backgrounds</w:t>
            </w:r>
          </w:p>
        </w:tc>
      </w:tr>
      <w:tr>
        <w:tc>
          <w:tcPr>
            <w:tcW w:type="dxa" w:w="2556"/>
            <w:shd w:fill="172A3A"/>
            <w:vAlign w:val="center"/>
          </w:tcPr>
          <w:p>
            <w:r>
              <w:rPr>
                <w:b/>
                <w:color w:val="FFFFFF"/>
                <w:sz w:val="18"/>
              </w:rPr>
              <w:t xml:space="preserve">     Charcoal Navy</w:t>
            </w:r>
          </w:p>
        </w:tc>
        <w:tc>
          <w:tcPr>
            <w:tcW w:type="dxa" w:w="2556"/>
            <w:tcMar>
              <w:top w:w="90" w:type="dxa"/>
              <w:start w:w="90" w:type="dxa"/>
              <w:bottom w:w="90" w:type="dxa"/>
              <w:end w:w="90" w:type="dxa"/>
            </w:tcMar>
          </w:tcPr>
          <w:p>
            <w:r>
              <w:rPr>
                <w:rFonts w:ascii="Aptos" w:hAnsi="Aptos"/>
                <w:color w:val="172A3A"/>
                <w:sz w:val="17"/>
              </w:rPr>
              <w:t>Body Text</w:t>
            </w:r>
          </w:p>
        </w:tc>
        <w:tc>
          <w:tcPr>
            <w:tcW w:type="dxa" w:w="2556"/>
            <w:tcMar>
              <w:top w:w="90" w:type="dxa"/>
              <w:start w:w="90" w:type="dxa"/>
              <w:bottom w:w="90" w:type="dxa"/>
              <w:end w:w="90" w:type="dxa"/>
            </w:tcMar>
          </w:tcPr>
          <w:p>
            <w:r>
              <w:rPr>
                <w:rFonts w:ascii="Aptos" w:hAnsi="Aptos"/>
                <w:color w:val="172A3A"/>
                <w:sz w:val="17"/>
              </w:rPr>
              <w:t>#172A3A</w:t>
            </w:r>
          </w:p>
        </w:tc>
        <w:tc>
          <w:tcPr>
            <w:tcW w:type="dxa" w:w="2556"/>
            <w:tcMar>
              <w:top w:w="90" w:type="dxa"/>
              <w:start w:w="90" w:type="dxa"/>
              <w:bottom w:w="90" w:type="dxa"/>
              <w:end w:w="90" w:type="dxa"/>
            </w:tcMar>
          </w:tcPr>
          <w:p>
            <w:r>
              <w:rPr>
                <w:rFonts w:ascii="Aptos" w:hAnsi="Aptos"/>
                <w:color w:val="172A3A"/>
                <w:sz w:val="17"/>
              </w:rPr>
              <w:t>Readable copy and interface text</w:t>
            </w:r>
          </w:p>
        </w:tc>
      </w:tr>
    </w:tbl>
    <w:p>
      <w:pPr>
        <w:spacing w:before="60" w:after="80"/>
      </w:pPr>
      <w:r>
        <w:rPr>
          <w:rFonts w:ascii="Aptos" w:hAnsi="Aptos"/>
          <w:b/>
          <w:color w:val="087DB8"/>
          <w:sz w:val="26"/>
        </w:rPr>
        <w:t>Suggested Color Balance</w:t>
      </w:r>
    </w:p>
    <w:p>
      <w:pPr>
        <w:spacing w:after="80" w:line="259" w:lineRule="auto"/>
      </w:pPr>
      <w:r>
        <w:rPr>
          <w:rFonts w:ascii="Aptos" w:hAnsi="Aptos"/>
          <w:color w:val="172A3A"/>
          <w:sz w:val="21"/>
        </w:rPr>
        <w:t>For the website and most marketing materials, aim for approximately 60% white/light backgrounds, 25% navy and blue, 10% gold, and 5% red. Red and gold should be accents—not dominant page colors.</w:t>
      </w:r>
    </w:p>
    <w:p>
      <w:r>
        <w:br w:type="page"/>
      </w:r>
    </w:p>
    <w:p>
      <w:pPr>
        <w:spacing w:before="120" w:after="80"/>
      </w:pPr>
      <w:r>
        <w:rPr>
          <w:rFonts w:ascii="Aptos Display" w:hAnsi="Aptos Display"/>
          <w:b/>
          <w:color w:val="062A53"/>
          <w:sz w:val="40"/>
        </w:rPr>
        <w:t>4. Typography &amp; Visual Style</w:t>
      </w:r>
    </w:p>
    <w:p>
      <w:pPr>
        <w:spacing w:after="120"/>
        <w:pBdr>
          <w:bottom w:val="single" w:sz="8" w:space="1" w:color="D6A33B"/>
        </w:pBdr>
      </w:pPr>
    </w:p>
    <w:p>
      <w:pPr>
        <w:spacing w:before="60" w:after="80"/>
      </w:pPr>
      <w:r>
        <w:rPr>
          <w:rFonts w:ascii="Aptos" w:hAnsi="Aptos"/>
          <w:b/>
          <w:color w:val="087DB8"/>
          <w:sz w:val="26"/>
        </w:rPr>
        <w:t>Recommended Typography</w:t>
      </w:r>
    </w:p>
    <w:p>
      <w:pPr>
        <w:spacing w:after="80" w:line="259" w:lineRule="auto"/>
      </w:pPr>
      <w:r>
        <w:rPr>
          <w:rFonts w:ascii="Aptos" w:hAnsi="Aptos"/>
          <w:color w:val="172A3A"/>
          <w:sz w:val="21"/>
        </w:rPr>
        <w:t>Headings: Merriweather or Libre Baskerville — established, warm, and professional.</w:t>
      </w:r>
    </w:p>
    <w:p>
      <w:pPr>
        <w:spacing w:after="80" w:line="259" w:lineRule="auto"/>
      </w:pPr>
      <w:r>
        <w:rPr>
          <w:rFonts w:ascii="Aptos" w:hAnsi="Aptos"/>
          <w:color w:val="172A3A"/>
          <w:sz w:val="21"/>
        </w:rPr>
        <w:t>Body/UI: Inter — clean, modern, highly readable, and well suited to digital interfaces.</w:t>
      </w:r>
    </w:p>
    <w:p>
      <w:r>
        <w:rPr>
          <w:rFonts w:ascii="Merriweather" w:hAnsi="Merriweather"/>
          <w:b/>
          <w:color w:val="062A53"/>
          <w:sz w:val="40"/>
        </w:rPr>
        <w:t>Compassionate Care for Mind and Body</w:t>
      </w:r>
    </w:p>
    <w:p>
      <w:r>
        <w:rPr>
          <w:rFonts w:ascii="Inter" w:hAnsi="Inter"/>
          <w:color w:val="172A3A"/>
          <w:sz w:val="21"/>
        </w:rPr>
        <w:t>Our providers work collaboratively to deliver comprehensive physical, behavioral, and mental healthcare.</w:t>
      </w:r>
    </w:p>
    <w:p>
      <w:pPr>
        <w:spacing w:before="60" w:after="80"/>
      </w:pPr>
      <w:r>
        <w:rPr>
          <w:rFonts w:ascii="Aptos" w:hAnsi="Aptos"/>
          <w:b/>
          <w:color w:val="087DB8"/>
          <w:sz w:val="26"/>
        </w:rPr>
        <w:t>Photography Direction</w:t>
      </w:r>
    </w:p>
    <w:p>
      <w:pPr>
        <w:pStyle w:val="ListBullet"/>
        <w:spacing w:after="40"/>
      </w:pPr>
      <w:r>
        <w:rPr>
          <w:rFonts w:ascii="Aptos" w:hAnsi="Aptos"/>
          <w:color w:val="172A3A"/>
          <w:sz w:val="21"/>
        </w:rPr>
        <w:t>Use authentic healthcare interactions whenever possible.</w:t>
      </w:r>
    </w:p>
    <w:p>
      <w:pPr>
        <w:pStyle w:val="ListBullet"/>
        <w:spacing w:after="40"/>
      </w:pPr>
      <w:r>
        <w:rPr>
          <w:rFonts w:ascii="Aptos" w:hAnsi="Aptos"/>
          <w:color w:val="172A3A"/>
          <w:sz w:val="21"/>
        </w:rPr>
        <w:t>Favor natural light, warm expressions, and clean clinical environments.</w:t>
      </w:r>
    </w:p>
    <w:p>
      <w:pPr>
        <w:pStyle w:val="ListBullet"/>
        <w:spacing w:after="40"/>
      </w:pPr>
      <w:r>
        <w:rPr>
          <w:rFonts w:ascii="Aptos" w:hAnsi="Aptos"/>
          <w:color w:val="172A3A"/>
          <w:sz w:val="21"/>
        </w:rPr>
        <w:t>Represent diverse patients, families, and providers.</w:t>
      </w:r>
    </w:p>
    <w:p>
      <w:pPr>
        <w:pStyle w:val="ListBullet"/>
        <w:spacing w:after="40"/>
      </w:pPr>
      <w:r>
        <w:rPr>
          <w:rFonts w:ascii="Aptos" w:hAnsi="Aptos"/>
          <w:color w:val="172A3A"/>
          <w:sz w:val="21"/>
        </w:rPr>
        <w:t>Show collaboration, listening, care, wellness, and community.</w:t>
      </w:r>
    </w:p>
    <w:p>
      <w:pPr>
        <w:pStyle w:val="ListBullet"/>
        <w:spacing w:after="40"/>
      </w:pPr>
      <w:r>
        <w:rPr>
          <w:rFonts w:ascii="Aptos" w:hAnsi="Aptos"/>
          <w:color w:val="172A3A"/>
          <w:sz w:val="21"/>
        </w:rPr>
        <w:t>Avoid overly staged stock photos or imagery that feels cold or generic.</w:t>
      </w:r>
    </w:p>
    <w:p>
      <w:pPr>
        <w:spacing w:before="60" w:after="80"/>
      </w:pPr>
      <w:r>
        <w:rPr>
          <w:rFonts w:ascii="Aptos" w:hAnsi="Aptos"/>
          <w:b/>
          <w:color w:val="087DB8"/>
          <w:sz w:val="26"/>
        </w:rPr>
        <w:t>Iconography</w:t>
      </w:r>
    </w:p>
    <w:p>
      <w:pPr>
        <w:spacing w:after="80" w:line="259" w:lineRule="auto"/>
      </w:pPr>
      <w:r>
        <w:rPr>
          <w:rFonts w:ascii="Aptos" w:hAnsi="Aptos"/>
          <w:color w:val="172A3A"/>
          <w:sz w:val="21"/>
        </w:rPr>
        <w:t>Use simple line icons in navy or medical blue, with restrained gold accents. Primary care can use a medical cross or heart; psychiatry a brain; telehealth a monitor/video icon; patient portal a secure profile; insurance a shield/card.</w:t>
      </w:r>
    </w:p>
    <w:p>
      <w:r>
        <w:br w:type="page"/>
      </w:r>
    </w:p>
    <w:p>
      <w:pPr>
        <w:spacing w:before="120" w:after="80"/>
      </w:pPr>
      <w:r>
        <w:rPr>
          <w:rFonts w:ascii="Aptos Display" w:hAnsi="Aptos Display"/>
          <w:b/>
          <w:color w:val="062A53"/>
          <w:sz w:val="40"/>
        </w:rPr>
        <w:t>5. Voice, Tone &amp; Messaging</w:t>
      </w:r>
    </w:p>
    <w:p>
      <w:pPr>
        <w:spacing w:after="120"/>
        <w:pBdr>
          <w:bottom w:val="single" w:sz="8" w:space="1" w:color="D6A33B"/>
        </w:pBdr>
      </w:pPr>
    </w:p>
    <w:p>
      <w:pPr>
        <w:spacing w:before="60" w:after="80"/>
      </w:pPr>
      <w:r>
        <w:rPr>
          <w:rFonts w:ascii="Aptos" w:hAnsi="Aptos"/>
          <w:b/>
          <w:color w:val="087DB8"/>
          <w:sz w:val="26"/>
        </w:rPr>
        <w:t>Tone of Voice</w:t>
      </w:r>
    </w:p>
    <w:p>
      <w:pPr>
        <w:spacing w:after="80" w:line="259" w:lineRule="auto"/>
      </w:pPr>
      <w:r>
        <w:rPr>
          <w:rFonts w:ascii="Aptos" w:hAnsi="Aptos"/>
          <w:color w:val="172A3A"/>
          <w:sz w:val="21"/>
        </w:rPr>
        <w:t>KampieDa should communicate in plain, reassuring language. Patients should understand the message immediately without needing medical or business jargon.</w:t>
      </w:r>
    </w:p>
    <w:p>
      <w:pPr>
        <w:spacing w:before="60" w:after="80"/>
      </w:pPr>
      <w:r>
        <w:rPr>
          <w:rFonts w:ascii="Aptos" w:hAnsi="Aptos"/>
          <w:b/>
          <w:color w:val="087DB8"/>
          <w:sz w:val="26"/>
        </w:rPr>
        <w:t>Preferred Example</w:t>
      </w:r>
    </w:p>
    <w:p>
      <w:r>
        <w:rPr>
          <w:i/>
          <w:color w:val="087DB8"/>
          <w:sz w:val="22"/>
        </w:rPr>
        <w:t>“Your health deserves care that considers the whole person. Our medical and behavioral health providers work together to support better physical and emotional wellness.”</w:t>
      </w:r>
    </w:p>
    <w:p>
      <w:pPr>
        <w:spacing w:before="60" w:after="80"/>
      </w:pPr>
      <w:r>
        <w:rPr>
          <w:rFonts w:ascii="Aptos" w:hAnsi="Aptos"/>
          <w:b/>
          <w:color w:val="087DB8"/>
          <w:sz w:val="26"/>
        </w:rPr>
        <w:t>Avoid</w:t>
      </w:r>
    </w:p>
    <w:p>
      <w:r>
        <w:rPr>
          <w:i/>
          <w:color w:val="B71924"/>
          <w:sz w:val="22"/>
        </w:rPr>
        <w:t>“KampieDa leverages a multidisciplinary paradigm to optimize integrated healthcare outcomes.”</w:t>
      </w:r>
    </w:p>
    <w:p>
      <w:pPr>
        <w:spacing w:before="60" w:after="80"/>
      </w:pPr>
      <w:r>
        <w:rPr>
          <w:rFonts w:ascii="Aptos" w:hAnsi="Aptos"/>
          <w:b/>
          <w:color w:val="087DB8"/>
          <w:sz w:val="26"/>
        </w:rPr>
        <w:t>Recommended Brand Language</w:t>
      </w:r>
    </w:p>
    <w:p>
      <w:pPr>
        <w:pStyle w:val="ListBullet"/>
        <w:spacing w:after="40"/>
      </w:pPr>
      <w:r>
        <w:rPr>
          <w:rFonts w:ascii="Aptos" w:hAnsi="Aptos"/>
          <w:color w:val="172A3A"/>
          <w:sz w:val="21"/>
        </w:rPr>
        <w:t>Whole-person healthcare</w:t>
      </w:r>
    </w:p>
    <w:p>
      <w:pPr>
        <w:pStyle w:val="ListBullet"/>
        <w:spacing w:after="40"/>
      </w:pPr>
      <w:r>
        <w:rPr>
          <w:rFonts w:ascii="Aptos" w:hAnsi="Aptos"/>
          <w:color w:val="172A3A"/>
          <w:sz w:val="21"/>
        </w:rPr>
        <w:t>Care for mind and body</w:t>
      </w:r>
    </w:p>
    <w:p>
      <w:pPr>
        <w:pStyle w:val="ListBullet"/>
        <w:spacing w:after="40"/>
      </w:pPr>
      <w:r>
        <w:rPr>
          <w:rFonts w:ascii="Aptos" w:hAnsi="Aptos"/>
          <w:color w:val="172A3A"/>
          <w:sz w:val="21"/>
        </w:rPr>
        <w:t>Compassionate care</w:t>
      </w:r>
    </w:p>
    <w:p>
      <w:pPr>
        <w:pStyle w:val="ListBullet"/>
        <w:spacing w:after="40"/>
      </w:pPr>
      <w:r>
        <w:rPr>
          <w:rFonts w:ascii="Aptos" w:hAnsi="Aptos"/>
          <w:color w:val="172A3A"/>
          <w:sz w:val="21"/>
        </w:rPr>
        <w:t>Integrated healthcare</w:t>
      </w:r>
    </w:p>
    <w:p>
      <w:pPr>
        <w:pStyle w:val="ListBullet"/>
        <w:spacing w:after="40"/>
      </w:pPr>
      <w:r>
        <w:rPr>
          <w:rFonts w:ascii="Aptos" w:hAnsi="Aptos"/>
          <w:color w:val="172A3A"/>
          <w:sz w:val="21"/>
        </w:rPr>
        <w:t>Personalized treatment</w:t>
      </w:r>
    </w:p>
    <w:p>
      <w:pPr>
        <w:pStyle w:val="ListBullet"/>
        <w:spacing w:after="40"/>
      </w:pPr>
      <w:r>
        <w:rPr>
          <w:rFonts w:ascii="Aptos" w:hAnsi="Aptos"/>
          <w:color w:val="172A3A"/>
          <w:sz w:val="21"/>
        </w:rPr>
        <w:t>Patient-centered care</w:t>
      </w:r>
    </w:p>
    <w:p>
      <w:pPr>
        <w:pStyle w:val="ListBullet"/>
        <w:spacing w:after="40"/>
      </w:pPr>
      <w:r>
        <w:rPr>
          <w:rFonts w:ascii="Aptos" w:hAnsi="Aptos"/>
          <w:color w:val="172A3A"/>
          <w:sz w:val="21"/>
        </w:rPr>
        <w:t>Behavioral wellness</w:t>
      </w:r>
    </w:p>
    <w:p>
      <w:pPr>
        <w:pStyle w:val="ListBullet"/>
        <w:spacing w:after="40"/>
      </w:pPr>
      <w:r>
        <w:rPr>
          <w:rFonts w:ascii="Aptos" w:hAnsi="Aptos"/>
          <w:color w:val="172A3A"/>
          <w:sz w:val="21"/>
        </w:rPr>
        <w:t>Healing Minds. Strengthening Bodies. Restoring Lives.</w:t>
      </w:r>
    </w:p>
    <w:p>
      <w:pPr>
        <w:spacing w:before="60" w:after="80"/>
      </w:pPr>
      <w:r>
        <w:rPr>
          <w:rFonts w:ascii="Aptos" w:hAnsi="Aptos"/>
          <w:b/>
          <w:color w:val="087DB8"/>
          <w:sz w:val="26"/>
        </w:rPr>
        <w:t>Claims to Avoid</w:t>
      </w:r>
    </w:p>
    <w:p>
      <w:pPr>
        <w:spacing w:after="80" w:line="259" w:lineRule="auto"/>
      </w:pPr>
      <w:r>
        <w:rPr>
          <w:rFonts w:ascii="Aptos" w:hAnsi="Aptos"/>
          <w:color w:val="172A3A"/>
          <w:sz w:val="21"/>
        </w:rPr>
        <w:t>Avoid unsupported promises such as “the best,” “guaranteed results,” “cure,” or any claim that could imply a medical outcome is guaranteed.</w:t>
      </w:r>
    </w:p>
    <w:p>
      <w:r>
        <w:br w:type="page"/>
      </w:r>
    </w:p>
    <w:p>
      <w:pPr>
        <w:spacing w:before="120" w:after="80"/>
      </w:pPr>
      <w:r>
        <w:rPr>
          <w:rFonts w:ascii="Aptos Display" w:hAnsi="Aptos Display"/>
          <w:b/>
          <w:color w:val="062A53"/>
          <w:sz w:val="40"/>
        </w:rPr>
        <w:t>6. Website &amp; Brand Applications</w:t>
      </w:r>
    </w:p>
    <w:p>
      <w:pPr>
        <w:spacing w:after="120"/>
        <w:pBdr>
          <w:bottom w:val="single" w:sz="8" w:space="1" w:color="D6A33B"/>
        </w:pBdr>
      </w:pPr>
    </w:p>
    <w:p>
      <w:pPr>
        <w:spacing w:before="60" w:after="80"/>
      </w:pPr>
      <w:r>
        <w:rPr>
          <w:rFonts w:ascii="Aptos" w:hAnsi="Aptos"/>
          <w:b/>
          <w:color w:val="087DB8"/>
          <w:sz w:val="26"/>
        </w:rPr>
        <w:t>Website Style</w:t>
      </w:r>
    </w:p>
    <w:p>
      <w:pPr>
        <w:spacing w:after="80" w:line="259" w:lineRule="auto"/>
      </w:pPr>
      <w:r>
        <w:rPr>
          <w:rFonts w:ascii="Aptos" w:hAnsi="Aptos"/>
          <w:color w:val="172A3A"/>
          <w:sz w:val="21"/>
        </w:rPr>
        <w:t>The website should feel modern, clean, calm, and premium. Let the detailed crest carry the ceremonial visual weight while the website uses generous white space, navy typography, blue accents, gold details, and restrained red highlights.</w:t>
      </w:r>
    </w:p>
    <w:p>
      <w:pPr>
        <w:spacing w:before="60" w:after="80"/>
      </w:pPr>
      <w:r>
        <w:rPr>
          <w:rFonts w:ascii="Aptos" w:hAnsi="Aptos"/>
          <w:b/>
          <w:color w:val="087DB8"/>
          <w:sz w:val="26"/>
        </w:rPr>
        <w:t>Homepage Hierarchy</w:t>
      </w:r>
    </w:p>
    <w:p>
      <w:pPr>
        <w:pStyle w:val="ListBullet"/>
        <w:spacing w:after="40"/>
      </w:pPr>
      <w:r>
        <w:rPr>
          <w:rFonts w:ascii="Aptos" w:hAnsi="Aptos"/>
          <w:color w:val="172A3A"/>
          <w:sz w:val="21"/>
        </w:rPr>
        <w:t>Header with compact logo, navigation, and Request Appointment button.</w:t>
      </w:r>
    </w:p>
    <w:p>
      <w:pPr>
        <w:pStyle w:val="ListBullet"/>
        <w:spacing w:after="40"/>
      </w:pPr>
      <w:r>
        <w:rPr>
          <w:rFonts w:ascii="Aptos" w:hAnsi="Aptos"/>
          <w:color w:val="172A3A"/>
          <w:sz w:val="21"/>
        </w:rPr>
        <w:t>Hero message focused on whole-person care.</w:t>
      </w:r>
    </w:p>
    <w:p>
      <w:pPr>
        <w:pStyle w:val="ListBullet"/>
        <w:spacing w:after="40"/>
      </w:pPr>
      <w:r>
        <w:rPr>
          <w:rFonts w:ascii="Aptos" w:hAnsi="Aptos"/>
          <w:color w:val="172A3A"/>
          <w:sz w:val="21"/>
        </w:rPr>
        <w:t>Service cards: Primary Care, Psychiatry, Behavioral Health, Telehealth.</w:t>
      </w:r>
    </w:p>
    <w:p>
      <w:pPr>
        <w:pStyle w:val="ListBullet"/>
        <w:spacing w:after="40"/>
      </w:pPr>
      <w:r>
        <w:rPr>
          <w:rFonts w:ascii="Aptos" w:hAnsi="Aptos"/>
          <w:color w:val="172A3A"/>
          <w:sz w:val="21"/>
        </w:rPr>
        <w:t>About/Why Choose Us section.</w:t>
      </w:r>
    </w:p>
    <w:p>
      <w:pPr>
        <w:pStyle w:val="ListBullet"/>
        <w:spacing w:after="40"/>
      </w:pPr>
      <w:r>
        <w:rPr>
          <w:rFonts w:ascii="Aptos" w:hAnsi="Aptos"/>
          <w:color w:val="172A3A"/>
          <w:sz w:val="21"/>
        </w:rPr>
        <w:t>Provider profiles.</w:t>
      </w:r>
    </w:p>
    <w:p>
      <w:pPr>
        <w:pStyle w:val="ListBullet"/>
        <w:spacing w:after="40"/>
      </w:pPr>
      <w:r>
        <w:rPr>
          <w:rFonts w:ascii="Aptos" w:hAnsi="Aptos"/>
          <w:color w:val="172A3A"/>
          <w:sz w:val="21"/>
        </w:rPr>
        <w:t>Insurance and patient resources.</w:t>
      </w:r>
    </w:p>
    <w:p>
      <w:pPr>
        <w:pStyle w:val="ListBullet"/>
        <w:spacing w:after="40"/>
      </w:pPr>
      <w:r>
        <w:rPr>
          <w:rFonts w:ascii="Aptos" w:hAnsi="Aptos"/>
          <w:color w:val="172A3A"/>
          <w:sz w:val="21"/>
        </w:rPr>
        <w:t>Appointment call-to-action.</w:t>
      </w:r>
    </w:p>
    <w:p>
      <w:pPr>
        <w:pStyle w:val="ListBullet"/>
        <w:spacing w:after="40"/>
      </w:pPr>
      <w:r>
        <w:rPr>
          <w:rFonts w:ascii="Aptos" w:hAnsi="Aptos"/>
          <w:color w:val="172A3A"/>
          <w:sz w:val="21"/>
        </w:rPr>
        <w:t>Contact information and professional footer.</w:t>
      </w:r>
    </w:p>
    <w:p>
      <w:pPr>
        <w:spacing w:before="60" w:after="80"/>
      </w:pPr>
      <w:r>
        <w:rPr>
          <w:rFonts w:ascii="Aptos" w:hAnsi="Aptos"/>
          <w:b/>
          <w:color w:val="087DB8"/>
          <w:sz w:val="26"/>
        </w:rPr>
        <w:t>Business Cards</w:t>
      </w:r>
    </w:p>
    <w:p>
      <w:pPr>
        <w:spacing w:after="80" w:line="259" w:lineRule="auto"/>
      </w:pPr>
      <w:r>
        <w:rPr>
          <w:rFonts w:ascii="Aptos" w:hAnsi="Aptos"/>
          <w:color w:val="172A3A"/>
          <w:sz w:val="21"/>
        </w:rPr>
        <w:t>Front: centered crest and corporate name. Back: provider name/credentials, role, phone, email, website, and tagline. Navy, white, and restrained gold foil are appropriate for premium print pieces.</w:t>
      </w:r>
    </w:p>
    <w:p>
      <w:pPr>
        <w:spacing w:before="60" w:after="80"/>
      </w:pPr>
      <w:r>
        <w:rPr>
          <w:rFonts w:ascii="Aptos" w:hAnsi="Aptos"/>
          <w:b/>
          <w:color w:val="087DB8"/>
          <w:sz w:val="26"/>
        </w:rPr>
        <w:t>Letterhead</w:t>
      </w:r>
    </w:p>
    <w:p>
      <w:pPr>
        <w:spacing w:after="80" w:line="259" w:lineRule="auto"/>
      </w:pPr>
      <w:r>
        <w:rPr>
          <w:rFonts w:ascii="Aptos" w:hAnsi="Aptos"/>
          <w:color w:val="172A3A"/>
          <w:sz w:val="21"/>
        </w:rPr>
        <w:t>Use a smaller logo at the top left with the corporate name. Keep contact information in the header or footer and use a thin gold rule. The logo should not compete with clinical or administrative correspondence.</w:t>
      </w:r>
    </w:p>
    <w:p>
      <w:pPr>
        <w:spacing w:before="60" w:after="80"/>
      </w:pPr>
      <w:r>
        <w:rPr>
          <w:rFonts w:ascii="Aptos" w:hAnsi="Aptos"/>
          <w:b/>
          <w:color w:val="087DB8"/>
          <w:sz w:val="26"/>
        </w:rPr>
        <w:t>Email Signature</w:t>
      </w:r>
    </w:p>
    <w:p>
      <w:pPr>
        <w:spacing w:after="80" w:line="259" w:lineRule="auto"/>
      </w:pPr>
      <w:r>
        <w:rPr>
          <w:rFonts w:ascii="Aptos" w:hAnsi="Aptos"/>
          <w:color w:val="172A3A"/>
          <w:sz w:val="21"/>
        </w:rPr>
        <w:t>Use provider name and credentials, title, organization name, phone, email, website, and the tagline. Keep the logo small for compatibility across email clients.</w:t>
      </w:r>
    </w:p>
    <w:p>
      <w:pPr>
        <w:spacing w:before="60" w:after="80"/>
      </w:pPr>
      <w:r>
        <w:rPr>
          <w:rFonts w:ascii="Aptos" w:hAnsi="Aptos"/>
          <w:b/>
          <w:color w:val="087DB8"/>
          <w:sz w:val="26"/>
        </w:rPr>
        <w:t>Social Media</w:t>
      </w:r>
    </w:p>
    <w:p>
      <w:pPr>
        <w:spacing w:after="80" w:line="259" w:lineRule="auto"/>
      </w:pPr>
      <w:r>
        <w:rPr>
          <w:rFonts w:ascii="Aptos" w:hAnsi="Aptos"/>
          <w:color w:val="172A3A"/>
          <w:sz w:val="21"/>
        </w:rPr>
        <w:t>Use the simplified crest for profile images and a clean branded banner featuring the name and tagline. Content should emphasize patient education, provider introductions, healthy living, mental health awareness, services, and community outreach.</w:t>
      </w:r>
    </w:p>
    <w:p>
      <w:r>
        <w:br w:type="page"/>
      </w:r>
    </w:p>
    <w:p>
      <w:pPr>
        <w:spacing w:before="120" w:after="80"/>
      </w:pPr>
      <w:r>
        <w:rPr>
          <w:rFonts w:ascii="Aptos Display" w:hAnsi="Aptos Display"/>
          <w:b/>
          <w:color w:val="062A53"/>
          <w:sz w:val="40"/>
        </w:rPr>
        <w:t>7. Quick Brand Reference</w:t>
      </w:r>
    </w:p>
    <w:p>
      <w:pPr>
        <w:spacing w:after="120"/>
        <w:pBdr>
          <w:bottom w:val="single" w:sz="8" w:space="1" w:color="D6A33B"/>
        </w:pBdr>
      </w:pPr>
    </w:p>
    <w:tbl>
      <w:tblPr>
        <w:tblStyle w:val="TableGrid"/>
        <w:tblW w:type="auto" w:w="0"/>
        <w:jc w:val="center"/>
        <w:tblLook w:firstColumn="1" w:firstRow="1" w:lastColumn="0" w:lastRow="0" w:noHBand="0" w:noVBand="1" w:val="04A0"/>
      </w:tblPr>
      <w:tblGrid>
        <w:gridCol w:w="5112"/>
        <w:gridCol w:w="5112"/>
      </w:tblGrid>
      <w:tr>
        <w:tc>
          <w:tcPr>
            <w:tcW w:type="dxa" w:w="5112"/>
            <w:shd w:fill="F4F7F9"/>
            <w:tcMar>
              <w:top w:w="100" w:type="dxa"/>
              <w:start w:w="120" w:type="dxa"/>
              <w:bottom w:w="100" w:type="dxa"/>
              <w:end w:w="120" w:type="dxa"/>
            </w:tcMar>
          </w:tcPr>
          <w:p>
            <w:r>
              <w:rPr>
                <w:rFonts w:ascii="Aptos" w:hAnsi="Aptos"/>
                <w:b/>
                <w:color w:val="172A3A"/>
                <w:sz w:val="19"/>
              </w:rPr>
              <w:t>Official Name</w:t>
            </w:r>
          </w:p>
        </w:tc>
        <w:tc>
          <w:tcPr>
            <w:tcW w:type="dxa" w:w="5112"/>
            <w:tcMar>
              <w:top w:w="100" w:type="dxa"/>
              <w:start w:w="120" w:type="dxa"/>
              <w:bottom w:w="100" w:type="dxa"/>
              <w:end w:w="120" w:type="dxa"/>
            </w:tcMar>
          </w:tcPr>
          <w:p>
            <w:r>
              <w:rPr>
                <w:rFonts w:ascii="Aptos" w:hAnsi="Aptos"/>
                <w:color w:val="172A3A"/>
                <w:sz w:val="19"/>
              </w:rPr>
              <w:t>KampieDa Medical Group &amp; Behavioral Health, Corp.</w:t>
            </w:r>
          </w:p>
        </w:tc>
      </w:tr>
      <w:tr>
        <w:tc>
          <w:tcPr>
            <w:tcW w:type="dxa" w:w="5112"/>
            <w:shd w:fill="F4F7F9"/>
            <w:tcMar>
              <w:top w:w="100" w:type="dxa"/>
              <w:start w:w="120" w:type="dxa"/>
              <w:bottom w:w="100" w:type="dxa"/>
              <w:end w:w="120" w:type="dxa"/>
            </w:tcMar>
          </w:tcPr>
          <w:p>
            <w:r>
              <w:rPr>
                <w:rFonts w:ascii="Aptos" w:hAnsi="Aptos"/>
                <w:b/>
                <w:color w:val="172A3A"/>
                <w:sz w:val="19"/>
              </w:rPr>
              <w:t>Short Name</w:t>
            </w:r>
          </w:p>
        </w:tc>
        <w:tc>
          <w:tcPr>
            <w:tcW w:type="dxa" w:w="5112"/>
            <w:tcMar>
              <w:top w:w="100" w:type="dxa"/>
              <w:start w:w="120" w:type="dxa"/>
              <w:bottom w:w="100" w:type="dxa"/>
              <w:end w:w="120" w:type="dxa"/>
            </w:tcMar>
          </w:tcPr>
          <w:p>
            <w:r>
              <w:rPr>
                <w:rFonts w:ascii="Aptos" w:hAnsi="Aptos"/>
                <w:color w:val="172A3A"/>
                <w:sz w:val="19"/>
              </w:rPr>
              <w:t>KampieDa</w:t>
            </w:r>
          </w:p>
        </w:tc>
      </w:tr>
      <w:tr>
        <w:tc>
          <w:tcPr>
            <w:tcW w:type="dxa" w:w="5112"/>
            <w:shd w:fill="F4F7F9"/>
            <w:tcMar>
              <w:top w:w="100" w:type="dxa"/>
              <w:start w:w="120" w:type="dxa"/>
              <w:bottom w:w="100" w:type="dxa"/>
              <w:end w:w="120" w:type="dxa"/>
            </w:tcMar>
          </w:tcPr>
          <w:p>
            <w:r>
              <w:rPr>
                <w:rFonts w:ascii="Aptos" w:hAnsi="Aptos"/>
                <w:b/>
                <w:color w:val="172A3A"/>
                <w:sz w:val="19"/>
              </w:rPr>
              <w:t>Tagline</w:t>
            </w:r>
          </w:p>
        </w:tc>
        <w:tc>
          <w:tcPr>
            <w:tcW w:type="dxa" w:w="5112"/>
            <w:tcMar>
              <w:top w:w="100" w:type="dxa"/>
              <w:start w:w="120" w:type="dxa"/>
              <w:bottom w:w="100" w:type="dxa"/>
              <w:end w:w="120" w:type="dxa"/>
            </w:tcMar>
          </w:tcPr>
          <w:p>
            <w:r>
              <w:rPr>
                <w:rFonts w:ascii="Aptos" w:hAnsi="Aptos"/>
                <w:color w:val="172A3A"/>
                <w:sz w:val="19"/>
              </w:rPr>
              <w:t>Healing Minds. Strengthening Bodies. Restoring Lives.</w:t>
            </w:r>
          </w:p>
        </w:tc>
      </w:tr>
      <w:tr>
        <w:tc>
          <w:tcPr>
            <w:tcW w:type="dxa" w:w="5112"/>
            <w:shd w:fill="F4F7F9"/>
            <w:tcMar>
              <w:top w:w="100" w:type="dxa"/>
              <w:start w:w="120" w:type="dxa"/>
              <w:bottom w:w="100" w:type="dxa"/>
              <w:end w:w="120" w:type="dxa"/>
            </w:tcMar>
          </w:tcPr>
          <w:p>
            <w:r>
              <w:rPr>
                <w:rFonts w:ascii="Aptos" w:hAnsi="Aptos"/>
                <w:b/>
                <w:color w:val="172A3A"/>
                <w:sz w:val="19"/>
              </w:rPr>
              <w:t>Primary Color</w:t>
            </w:r>
          </w:p>
        </w:tc>
        <w:tc>
          <w:tcPr>
            <w:tcW w:type="dxa" w:w="5112"/>
            <w:tcMar>
              <w:top w:w="100" w:type="dxa"/>
              <w:start w:w="120" w:type="dxa"/>
              <w:bottom w:w="100" w:type="dxa"/>
              <w:end w:w="120" w:type="dxa"/>
            </w:tcMar>
          </w:tcPr>
          <w:p>
            <w:r>
              <w:rPr>
                <w:rFonts w:ascii="Aptos" w:hAnsi="Aptos"/>
                <w:color w:val="172A3A"/>
                <w:sz w:val="19"/>
              </w:rPr>
              <w:t>#062A53 Deep Navy</w:t>
            </w:r>
          </w:p>
        </w:tc>
      </w:tr>
      <w:tr>
        <w:tc>
          <w:tcPr>
            <w:tcW w:type="dxa" w:w="5112"/>
            <w:shd w:fill="F4F7F9"/>
            <w:tcMar>
              <w:top w:w="100" w:type="dxa"/>
              <w:start w:w="120" w:type="dxa"/>
              <w:bottom w:w="100" w:type="dxa"/>
              <w:end w:w="120" w:type="dxa"/>
            </w:tcMar>
          </w:tcPr>
          <w:p>
            <w:r>
              <w:rPr>
                <w:rFonts w:ascii="Aptos" w:hAnsi="Aptos"/>
                <w:b/>
                <w:color w:val="172A3A"/>
                <w:sz w:val="19"/>
              </w:rPr>
              <w:t>Secondary Color</w:t>
            </w:r>
          </w:p>
        </w:tc>
        <w:tc>
          <w:tcPr>
            <w:tcW w:type="dxa" w:w="5112"/>
            <w:tcMar>
              <w:top w:w="100" w:type="dxa"/>
              <w:start w:w="120" w:type="dxa"/>
              <w:bottom w:w="100" w:type="dxa"/>
              <w:end w:w="120" w:type="dxa"/>
            </w:tcMar>
          </w:tcPr>
          <w:p>
            <w:r>
              <w:rPr>
                <w:rFonts w:ascii="Aptos" w:hAnsi="Aptos"/>
                <w:color w:val="172A3A"/>
                <w:sz w:val="19"/>
              </w:rPr>
              <w:t>#087DB8 Medical Blue</w:t>
            </w:r>
          </w:p>
        </w:tc>
      </w:tr>
      <w:tr>
        <w:tc>
          <w:tcPr>
            <w:tcW w:type="dxa" w:w="5112"/>
            <w:shd w:fill="F4F7F9"/>
            <w:tcMar>
              <w:top w:w="100" w:type="dxa"/>
              <w:start w:w="120" w:type="dxa"/>
              <w:bottom w:w="100" w:type="dxa"/>
              <w:end w:w="120" w:type="dxa"/>
            </w:tcMar>
          </w:tcPr>
          <w:p>
            <w:r>
              <w:rPr>
                <w:rFonts w:ascii="Aptos" w:hAnsi="Aptos"/>
                <w:b/>
                <w:color w:val="172A3A"/>
                <w:sz w:val="19"/>
              </w:rPr>
              <w:t>Premium Accent</w:t>
            </w:r>
          </w:p>
        </w:tc>
        <w:tc>
          <w:tcPr>
            <w:tcW w:type="dxa" w:w="5112"/>
            <w:tcMar>
              <w:top w:w="100" w:type="dxa"/>
              <w:start w:w="120" w:type="dxa"/>
              <w:bottom w:w="100" w:type="dxa"/>
              <w:end w:w="120" w:type="dxa"/>
            </w:tcMar>
          </w:tcPr>
          <w:p>
            <w:r>
              <w:rPr>
                <w:rFonts w:ascii="Aptos" w:hAnsi="Aptos"/>
                <w:color w:val="172A3A"/>
                <w:sz w:val="19"/>
              </w:rPr>
              <w:t>#D6A33B Medical Gold</w:t>
            </w:r>
          </w:p>
        </w:tc>
      </w:tr>
      <w:tr>
        <w:tc>
          <w:tcPr>
            <w:tcW w:type="dxa" w:w="5112"/>
            <w:shd w:fill="F4F7F9"/>
            <w:tcMar>
              <w:top w:w="100" w:type="dxa"/>
              <w:start w:w="120" w:type="dxa"/>
              <w:bottom w:w="100" w:type="dxa"/>
              <w:end w:w="120" w:type="dxa"/>
            </w:tcMar>
          </w:tcPr>
          <w:p>
            <w:r>
              <w:rPr>
                <w:rFonts w:ascii="Aptos" w:hAnsi="Aptos"/>
                <w:b/>
                <w:color w:val="172A3A"/>
                <w:sz w:val="19"/>
              </w:rPr>
              <w:t>Health Accent</w:t>
            </w:r>
          </w:p>
        </w:tc>
        <w:tc>
          <w:tcPr>
            <w:tcW w:type="dxa" w:w="5112"/>
            <w:tcMar>
              <w:top w:w="100" w:type="dxa"/>
              <w:start w:w="120" w:type="dxa"/>
              <w:bottom w:w="100" w:type="dxa"/>
              <w:end w:w="120" w:type="dxa"/>
            </w:tcMar>
          </w:tcPr>
          <w:p>
            <w:r>
              <w:rPr>
                <w:rFonts w:ascii="Aptos" w:hAnsi="Aptos"/>
                <w:color w:val="172A3A"/>
                <w:sz w:val="19"/>
              </w:rPr>
              <w:t>#B71924 Heart Red</w:t>
            </w:r>
          </w:p>
        </w:tc>
      </w:tr>
      <w:tr>
        <w:tc>
          <w:tcPr>
            <w:tcW w:type="dxa" w:w="5112"/>
            <w:shd w:fill="F4F7F9"/>
            <w:tcMar>
              <w:top w:w="100" w:type="dxa"/>
              <w:start w:w="120" w:type="dxa"/>
              <w:bottom w:w="100" w:type="dxa"/>
              <w:end w:w="120" w:type="dxa"/>
            </w:tcMar>
          </w:tcPr>
          <w:p>
            <w:r>
              <w:rPr>
                <w:rFonts w:ascii="Aptos" w:hAnsi="Aptos"/>
                <w:b/>
                <w:color w:val="172A3A"/>
                <w:sz w:val="19"/>
              </w:rPr>
              <w:t>Heading Font</w:t>
            </w:r>
          </w:p>
        </w:tc>
        <w:tc>
          <w:tcPr>
            <w:tcW w:type="dxa" w:w="5112"/>
            <w:tcMar>
              <w:top w:w="100" w:type="dxa"/>
              <w:start w:w="120" w:type="dxa"/>
              <w:bottom w:w="100" w:type="dxa"/>
              <w:end w:w="120" w:type="dxa"/>
            </w:tcMar>
          </w:tcPr>
          <w:p>
            <w:r>
              <w:rPr>
                <w:rFonts w:ascii="Aptos" w:hAnsi="Aptos"/>
                <w:color w:val="172A3A"/>
                <w:sz w:val="19"/>
              </w:rPr>
              <w:t>Merriweather / Libre Baskerville</w:t>
            </w:r>
          </w:p>
        </w:tc>
      </w:tr>
      <w:tr>
        <w:tc>
          <w:tcPr>
            <w:tcW w:type="dxa" w:w="5112"/>
            <w:shd w:fill="F4F7F9"/>
            <w:tcMar>
              <w:top w:w="100" w:type="dxa"/>
              <w:start w:w="120" w:type="dxa"/>
              <w:bottom w:w="100" w:type="dxa"/>
              <w:end w:w="120" w:type="dxa"/>
            </w:tcMar>
          </w:tcPr>
          <w:p>
            <w:r>
              <w:rPr>
                <w:rFonts w:ascii="Aptos" w:hAnsi="Aptos"/>
                <w:b/>
                <w:color w:val="172A3A"/>
                <w:sz w:val="19"/>
              </w:rPr>
              <w:t>Body Font</w:t>
            </w:r>
          </w:p>
        </w:tc>
        <w:tc>
          <w:tcPr>
            <w:tcW w:type="dxa" w:w="5112"/>
            <w:tcMar>
              <w:top w:w="100" w:type="dxa"/>
              <w:start w:w="120" w:type="dxa"/>
              <w:bottom w:w="100" w:type="dxa"/>
              <w:end w:w="120" w:type="dxa"/>
            </w:tcMar>
          </w:tcPr>
          <w:p>
            <w:r>
              <w:rPr>
                <w:rFonts w:ascii="Aptos" w:hAnsi="Aptos"/>
                <w:color w:val="172A3A"/>
                <w:sz w:val="19"/>
              </w:rPr>
              <w:t>Inter</w:t>
            </w:r>
          </w:p>
        </w:tc>
      </w:tr>
      <w:tr>
        <w:tc>
          <w:tcPr>
            <w:tcW w:type="dxa" w:w="5112"/>
            <w:shd w:fill="F4F7F9"/>
            <w:tcMar>
              <w:top w:w="100" w:type="dxa"/>
              <w:start w:w="120" w:type="dxa"/>
              <w:bottom w:w="100" w:type="dxa"/>
              <w:end w:w="120" w:type="dxa"/>
            </w:tcMar>
          </w:tcPr>
          <w:p>
            <w:r>
              <w:rPr>
                <w:rFonts w:ascii="Aptos" w:hAnsi="Aptos"/>
                <w:b/>
                <w:color w:val="172A3A"/>
                <w:sz w:val="19"/>
              </w:rPr>
              <w:t>Brand Style</w:t>
            </w:r>
          </w:p>
        </w:tc>
        <w:tc>
          <w:tcPr>
            <w:tcW w:type="dxa" w:w="5112"/>
            <w:tcMar>
              <w:top w:w="100" w:type="dxa"/>
              <w:start w:w="120" w:type="dxa"/>
              <w:bottom w:w="100" w:type="dxa"/>
              <w:end w:w="120" w:type="dxa"/>
            </w:tcMar>
          </w:tcPr>
          <w:p>
            <w:r>
              <w:rPr>
                <w:rFonts w:ascii="Aptos" w:hAnsi="Aptos"/>
                <w:color w:val="172A3A"/>
                <w:sz w:val="19"/>
              </w:rPr>
              <w:t>Modern clinical + premium + compassionate</w:t>
            </w:r>
          </w:p>
        </w:tc>
      </w:tr>
      <w:tr>
        <w:tc>
          <w:tcPr>
            <w:tcW w:type="dxa" w:w="5112"/>
            <w:shd w:fill="F4F7F9"/>
            <w:tcMar>
              <w:top w:w="100" w:type="dxa"/>
              <w:start w:w="120" w:type="dxa"/>
              <w:bottom w:w="100" w:type="dxa"/>
              <w:end w:w="120" w:type="dxa"/>
            </w:tcMar>
          </w:tcPr>
          <w:p>
            <w:r>
              <w:rPr>
                <w:rFonts w:ascii="Aptos" w:hAnsi="Aptos"/>
                <w:b/>
                <w:color w:val="172A3A"/>
                <w:sz w:val="19"/>
              </w:rPr>
              <w:t>Primary Message</w:t>
            </w:r>
          </w:p>
        </w:tc>
        <w:tc>
          <w:tcPr>
            <w:tcW w:type="dxa" w:w="5112"/>
            <w:tcMar>
              <w:top w:w="100" w:type="dxa"/>
              <w:start w:w="120" w:type="dxa"/>
              <w:bottom w:w="100" w:type="dxa"/>
              <w:end w:w="120" w:type="dxa"/>
            </w:tcMar>
          </w:tcPr>
          <w:p>
            <w:r>
              <w:rPr>
                <w:rFonts w:ascii="Aptos" w:hAnsi="Aptos"/>
                <w:color w:val="172A3A"/>
                <w:sz w:val="19"/>
              </w:rPr>
              <w:t>Whole-person care for mind and body</w:t>
            </w:r>
          </w:p>
        </w:tc>
      </w:tr>
    </w:tbl>
    <w:p>
      <w:pPr>
        <w:spacing w:before="280"/>
        <w:jc w:val="center"/>
      </w:pPr>
      <w:r>
        <w:rPr>
          <w:b/>
          <w:color w:val="062A53"/>
          <w:sz w:val="24"/>
        </w:rPr>
        <w:t>Consistency builds trust. Every touchpoint should feel unmistakably KampieDa.</w:t>
      </w:r>
    </w:p>
    <w:sectPr w:rsidR="00FC693F" w:rsidRPr="0006063C" w:rsidSect="00034616">
      <w:footerReference w:type="default" r:id="rId9"/>
      <w:headerReference w:type="default" r:id="rId11"/>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KampieDa Medical Group &amp; Behavioral Health, Corp.  •  Brand Guidelines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a_clean_high_resolution_vector_style_logo_badge.png"/>
                  <pic:cNvPicPr/>
                </pic:nvPicPr>
                <pic:blipFill>
                  <a:blip r:embed="rId1"/>
                  <a:stretch>
                    <a:fillRect/>
                  </a:stretch>
                </pic:blipFill>
                <pic:spPr>
                  <a:xfrm>
                    <a:off x="0" y="0"/>
                    <a:ext cx="502920" cy="5029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