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E6B6" w14:textId="09343790" w:rsidR="008A55B5" w:rsidRDefault="00722B19">
      <w:pPr>
        <w:pStyle w:val="papertitle"/>
        <w:rPr>
          <w:rFonts w:eastAsia="MS Mincho"/>
        </w:rPr>
      </w:pPr>
      <w:r>
        <w:rPr>
          <w:rFonts w:eastAsia="MS Mincho"/>
        </w:rPr>
        <w:t>Assessing the relative effect of inflation on UK crime.</w:t>
      </w:r>
    </w:p>
    <w:p w14:paraId="126B3989" w14:textId="5493783D" w:rsidR="008A55B5" w:rsidRDefault="00722B19" w:rsidP="00722B19">
      <w:pPr>
        <w:pStyle w:val="papersubtitle"/>
        <w:rPr>
          <w:rFonts w:eastAsia="MS Mincho"/>
        </w:rPr>
      </w:pPr>
      <w:r>
        <w:rPr>
          <w:rFonts w:eastAsia="MS Mincho"/>
        </w:rPr>
        <w:t>Csct Masters Project</w:t>
      </w:r>
    </w:p>
    <w:p w14:paraId="368AFBEF"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EFDE63" w14:textId="6858DBD2" w:rsidR="008A55B5" w:rsidRDefault="00E60252">
      <w:pPr>
        <w:pStyle w:val="Author"/>
        <w:rPr>
          <w:rFonts w:eastAsia="MS Mincho"/>
        </w:rPr>
      </w:pPr>
      <w:r>
        <w:rPr>
          <w:rFonts w:eastAsia="MS Mincho"/>
        </w:rPr>
        <w:t>Humzah Awan</w:t>
      </w:r>
    </w:p>
    <w:p w14:paraId="69333848" w14:textId="215DDAD9" w:rsidR="008A55B5" w:rsidRDefault="00735F69">
      <w:pPr>
        <w:pStyle w:val="Affiliation"/>
        <w:rPr>
          <w:rFonts w:eastAsia="MS Mincho"/>
        </w:rPr>
      </w:pPr>
      <w:r>
        <w:rPr>
          <w:rFonts w:eastAsia="MS Mincho"/>
        </w:rPr>
        <w:t>MSc Data Science</w:t>
      </w:r>
    </w:p>
    <w:p w14:paraId="6D030476" w14:textId="11A4F9FC" w:rsidR="008A55B5" w:rsidRDefault="00536556">
      <w:pPr>
        <w:pStyle w:val="Affiliation"/>
        <w:rPr>
          <w:rFonts w:eastAsia="MS Mincho"/>
        </w:rPr>
      </w:pPr>
      <w:r w:rsidRPr="00536556">
        <w:rPr>
          <w:rFonts w:eastAsia="MS Mincho"/>
        </w:rPr>
        <w:t>Department of Computer Science and Creative Technologies</w:t>
      </w:r>
      <w:r>
        <w:rPr>
          <w:rFonts w:eastAsia="MS Mincho"/>
        </w:rPr>
        <w:t>, UWE</w:t>
      </w:r>
    </w:p>
    <w:p w14:paraId="27CF08B2" w14:textId="6637720E" w:rsidR="008A55B5" w:rsidRDefault="00536556">
      <w:pPr>
        <w:pStyle w:val="Affiliation"/>
        <w:rPr>
          <w:rFonts w:eastAsia="MS Mincho"/>
        </w:rPr>
      </w:pPr>
      <w:r>
        <w:rPr>
          <w:rFonts w:eastAsia="MS Mincho"/>
        </w:rPr>
        <w:t>Bristol, UK</w:t>
      </w:r>
    </w:p>
    <w:p w14:paraId="229437C8" w14:textId="508DA3B5" w:rsidR="00BE327C" w:rsidRDefault="00536556" w:rsidP="00BE327C">
      <w:pPr>
        <w:pStyle w:val="Affiliation"/>
        <w:rPr>
          <w:rFonts w:eastAsia="MS Mincho"/>
        </w:rPr>
      </w:pPr>
      <w:r>
        <w:rPr>
          <w:rFonts w:eastAsia="MS Mincho"/>
        </w:rPr>
        <w:t>humzah2.awan@live.uwe.ac.uk</w:t>
      </w:r>
    </w:p>
    <w:p w14:paraId="3A4A76FA" w14:textId="77777777" w:rsidR="008A55B5" w:rsidRDefault="008A55B5">
      <w:pPr>
        <w:pStyle w:val="Affiliation"/>
        <w:rPr>
          <w:rFonts w:eastAsia="MS Mincho"/>
        </w:rPr>
      </w:pPr>
    </w:p>
    <w:p w14:paraId="55C320DF" w14:textId="77777777" w:rsidR="008A55B5" w:rsidRDefault="008A55B5">
      <w:pPr>
        <w:rPr>
          <w:rFonts w:eastAsia="MS Mincho"/>
        </w:rPr>
      </w:pPr>
    </w:p>
    <w:p w14:paraId="39D0F2D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1E28799" w14:textId="6D9A93AC" w:rsidR="008A55B5" w:rsidRDefault="0072064C">
      <w:pPr>
        <w:pStyle w:val="keywords"/>
        <w:rPr>
          <w:rFonts w:eastAsia="MS Mincho"/>
        </w:rPr>
      </w:pPr>
      <w:r>
        <w:rPr>
          <w:rFonts w:eastAsia="MS Mincho"/>
        </w:rPr>
        <w:t>Keywords—</w:t>
      </w:r>
      <w:r w:rsidR="00214E44">
        <w:rPr>
          <w:rFonts w:eastAsia="MS Mincho"/>
        </w:rPr>
        <w:t xml:space="preserve">Inflation, </w:t>
      </w:r>
      <w:r w:rsidR="009342D3">
        <w:rPr>
          <w:rFonts w:eastAsia="MS Mincho"/>
        </w:rPr>
        <w:t>economic</w:t>
      </w:r>
      <w:r w:rsidR="00280482">
        <w:rPr>
          <w:rFonts w:eastAsia="MS Mincho"/>
        </w:rPr>
        <w:t>, unemployment</w:t>
      </w:r>
      <w:r w:rsidR="00A8011F">
        <w:rPr>
          <w:rFonts w:eastAsia="MS Mincho"/>
        </w:rPr>
        <w:t>, granger causality</w:t>
      </w:r>
    </w:p>
    <w:p w14:paraId="6A7899C6" w14:textId="6F4DE3F3" w:rsidR="008A55B5" w:rsidRDefault="008A55B5" w:rsidP="00CB1404">
      <w:pPr>
        <w:pStyle w:val="Heading1"/>
      </w:pPr>
      <w:r>
        <w:t xml:space="preserve"> Introduction </w:t>
      </w:r>
    </w:p>
    <w:p w14:paraId="1A2EDA84" w14:textId="06A2A15E" w:rsidR="00704515" w:rsidRPr="00DB3050" w:rsidRDefault="002E02BC" w:rsidP="00DB3050">
      <w:pPr>
        <w:jc w:val="both"/>
      </w:pPr>
      <w:r w:rsidRPr="002E02BC">
        <w:rPr>
          <w:i/>
          <w:iCs/>
        </w:rPr>
        <w:t>“The history of prices is the history of change”</w:t>
      </w:r>
      <w:r w:rsidR="00DB3050">
        <w:rPr>
          <w:i/>
          <w:iCs/>
        </w:rPr>
        <w:t xml:space="preserve"> </w:t>
      </w:r>
      <w:r>
        <w:rPr>
          <w:i/>
          <w:iCs/>
        </w:rPr>
        <w:fldChar w:fldCharType="begin"/>
      </w:r>
      <w:r w:rsidR="00DB3050">
        <w:rPr>
          <w:i/>
          <w:iCs/>
        </w:rPr>
        <w:instrText xml:space="preserve"> ADDIN ZOTERO_ITEM CSL_CITATION {"citationID":"Ti7ywnSD","properties":{"formattedCitation":"(Fischer, 1996)","plainCitation":"(Fischer, 1996)","noteIndex":0},"citationItems":[{"id":77,"uris":["http://zotero.org/users/local/YO6H6hZo/items/9BHKDHK3"],"itemData":{"id":77,"type":"book","edition":"1st edition","event-place":"New York","ISBN":"978-0-19-505377-7","language":"English","number-of-pages":"556","publisher":"Oxford University Press","publisher-place":"New York","source":"Amazon","title":"The Great Wave: Price Revolutions and the Rhythym of History","title-short":"The Great Wave","author":[{"family":"Fischer","given":"David Hackett"}],"issued":{"date-parts":[["1996",11,7]]}}}],"schema":"https://github.com/citation-style-language/schema/raw/master/csl-citation.json"} </w:instrText>
      </w:r>
      <w:r>
        <w:rPr>
          <w:i/>
          <w:iCs/>
        </w:rPr>
        <w:fldChar w:fldCharType="separate"/>
      </w:r>
      <w:r w:rsidR="00DB3050" w:rsidRPr="00DB3050">
        <w:t>(Fischer, 1996)</w:t>
      </w:r>
      <w:r>
        <w:rPr>
          <w:i/>
          <w:iCs/>
        </w:rPr>
        <w:fldChar w:fldCharType="end"/>
      </w:r>
      <w:r>
        <w:rPr>
          <w:i/>
          <w:iCs/>
        </w:rPr>
        <w:t>.</w:t>
      </w:r>
      <w:r w:rsidR="000C7A87">
        <w:rPr>
          <w:i/>
          <w:iCs/>
        </w:rPr>
        <w:t xml:space="preserve"> </w:t>
      </w:r>
      <w:r w:rsidR="000C7A87">
        <w:t xml:space="preserve">Over the last 60 years, there has been a sharp uptake in the use of quantitative methods for the study of living standards.  With the growing accessibility of data, scholars have been able to transform what was before a </w:t>
      </w:r>
      <w:r w:rsidR="003A5347">
        <w:t>conundrum challenging power of qualitative philosophical deduction</w:t>
      </w:r>
      <w:r w:rsidR="000C7A87">
        <w:t xml:space="preserve"> to </w:t>
      </w:r>
      <w:r w:rsidR="00907164">
        <w:t>one of</w:t>
      </w:r>
      <w:r w:rsidR="003A5347">
        <w:t xml:space="preserve"> empirical question</w:t>
      </w:r>
      <w:r w:rsidR="00907164">
        <w:t>ing</w:t>
      </w:r>
      <w:r w:rsidR="003A5347">
        <w:t xml:space="preserve">.  </w:t>
      </w:r>
    </w:p>
    <w:p w14:paraId="59FEDFE7" w14:textId="29147AEB" w:rsidR="009E26BA" w:rsidRDefault="00562805" w:rsidP="002D03A0">
      <w:pPr>
        <w:jc w:val="both"/>
        <w:rPr>
          <w:lang w:val="en-GB"/>
        </w:rPr>
      </w:pPr>
      <w:bookmarkStart w:id="0" w:name="_Hlk100583028"/>
      <w:r w:rsidRPr="00562805">
        <w:rPr>
          <w:lang w:val="en-GB"/>
        </w:rPr>
        <w:t>Fleisher’s 1963 paper on “The effect of unemployment on juvenile delinquency” was among the first to stress the importance of understanding economic predictors of crime. The paper presents an empirical approach to estimating the opportunity cost of policy decisions</w:t>
      </w:r>
      <w:r w:rsidR="002D03A0">
        <w:rPr>
          <w:lang w:val="en-GB"/>
        </w:rPr>
        <w:t>.</w:t>
      </w:r>
      <w:r w:rsidRPr="00562805">
        <w:rPr>
          <w:lang w:val="en-GB"/>
        </w:rPr>
        <w:t xml:space="preserve"> In 1974 Becker took this methodology of inferential modelling further </w:t>
      </w:r>
      <w:r w:rsidR="009E26BA">
        <w:rPr>
          <w:lang w:val="en-GB"/>
        </w:rPr>
        <w:t xml:space="preserve">with </w:t>
      </w:r>
      <w:r w:rsidRPr="00562805">
        <w:rPr>
          <w:lang w:val="en-GB"/>
        </w:rPr>
        <w:t>his “economic approach” to crime and punishment which formulised a model for criminal choice, claiming</w:t>
      </w:r>
      <w:r w:rsidR="009E26BA">
        <w:rPr>
          <w:lang w:val="en-GB"/>
        </w:rPr>
        <w:t xml:space="preserve"> </w:t>
      </w:r>
      <w:r w:rsidR="001E14A6">
        <w:rPr>
          <w:lang w:val="en-GB"/>
        </w:rPr>
        <w:t>some persons become criminals if the expected utility derived from the offense exceeds the potential they</w:t>
      </w:r>
      <w:r w:rsidR="00907164">
        <w:rPr>
          <w:lang w:val="en-GB"/>
        </w:rPr>
        <w:t xml:space="preserve"> woul</w:t>
      </w:r>
      <w:r w:rsidR="001E14A6">
        <w:rPr>
          <w:lang w:val="en-GB"/>
        </w:rPr>
        <w:t xml:space="preserve">d expect to achieve from engaging in </w:t>
      </w:r>
      <w:r w:rsidR="00907164">
        <w:rPr>
          <w:lang w:val="en-GB"/>
        </w:rPr>
        <w:t xml:space="preserve">a </w:t>
      </w:r>
      <w:r w:rsidR="001E14A6">
        <w:rPr>
          <w:lang w:val="en-GB"/>
        </w:rPr>
        <w:t>legitimate</w:t>
      </w:r>
      <w:r w:rsidR="00907164">
        <w:rPr>
          <w:lang w:val="en-GB"/>
        </w:rPr>
        <w:t xml:space="preserve"> alternative</w:t>
      </w:r>
      <w:r w:rsidR="001E14A6">
        <w:rPr>
          <w:lang w:val="en-GB"/>
        </w:rPr>
        <w:t xml:space="preserve"> </w:t>
      </w:r>
      <w:r w:rsidRPr="00562805">
        <w:rPr>
          <w:lang w:val="en-GB"/>
        </w:rPr>
        <w:fldChar w:fldCharType="begin"/>
      </w:r>
      <w:r w:rsidRPr="00562805">
        <w:rPr>
          <w:lang w:val="en-GB"/>
        </w:rPr>
        <w:instrText xml:space="preserve"> ADDIN ZOTERO_ITEM CSL_CITATION {"citationID":"tYzaFJWn","properties":{"formattedCitation":"(Becker, 1974)","plainCitation":"(Becker, 1974)","noteIndex":0},"citationItems":[{"id":59,"uris":["http://zotero.org/users/local/YO6H6hZo/items/HIW6CMYZ"],"itemData":{"id":59,"type":"chapter","container-title":"Essays in the Economics of Crime and Punishment","page":"1-54","publisher":"NBER","source":"National Bureau of Economic Research","title":"Crime and Punishment: An Economic Approach","title-short":"Crime and Punishment","URL":"https://www.nber.org/books-and-chapters/essays-economics-crime-and-punishment/crime-and-punishment-economic-approach","author":[{"family":"Becker","given":"Gary S."}],"accessed":{"date-parts":[["2022",4,11]]},"issued":{"date-parts":[["1974"]]}}}],"schema":"https://github.com/citation-style-language/schema/raw/master/csl-citation.json"} </w:instrText>
      </w:r>
      <w:r w:rsidRPr="00562805">
        <w:rPr>
          <w:lang w:val="en-GB"/>
        </w:rPr>
        <w:fldChar w:fldCharType="separate"/>
      </w:r>
      <w:r w:rsidRPr="00562805">
        <w:rPr>
          <w:lang w:val="en-GB"/>
        </w:rPr>
        <w:t>(Becker, 1974)</w:t>
      </w:r>
      <w:r w:rsidRPr="00562805">
        <w:fldChar w:fldCharType="end"/>
      </w:r>
      <w:r w:rsidRPr="00562805">
        <w:rPr>
          <w:lang w:val="en-GB"/>
        </w:rPr>
        <w:t xml:space="preserve">.  </w:t>
      </w:r>
    </w:p>
    <w:p w14:paraId="0A0E3679" w14:textId="4B1C2168" w:rsidR="003E26DE" w:rsidRDefault="00562805" w:rsidP="003A5347">
      <w:pPr>
        <w:jc w:val="both"/>
        <w:rPr>
          <w:lang w:val="en-GB"/>
        </w:rPr>
      </w:pPr>
      <w:r w:rsidRPr="00562805">
        <w:rPr>
          <w:lang w:val="en-GB"/>
        </w:rPr>
        <w:t>Since then, inferential studies identifying determinants of criminal behaviour and crime rates has supported, although often known to be ignored by</w:t>
      </w:r>
      <w:r w:rsidR="009E364E">
        <w:rPr>
          <w:lang w:val="en-GB"/>
        </w:rPr>
        <w:t>,</w:t>
      </w:r>
      <w:r w:rsidRPr="00562805">
        <w:rPr>
          <w:lang w:val="en-GB"/>
        </w:rPr>
        <w:t xml:space="preserve"> policy makers.  Recent research on crime has been dominated by studies on unemployment and its effect on crime rates with some consideration being shown to other measures: economic output, wages, and consumer sentiment. </w:t>
      </w:r>
    </w:p>
    <w:p w14:paraId="2D84124D" w14:textId="6D846ACD" w:rsidR="00DB5E03" w:rsidRPr="00562805" w:rsidRDefault="00562805" w:rsidP="003A5347">
      <w:pPr>
        <w:jc w:val="both"/>
        <w:rPr>
          <w:lang w:val="en-GB"/>
        </w:rPr>
      </w:pPr>
      <w:r w:rsidRPr="00562805">
        <w:rPr>
          <w:lang w:val="en-GB"/>
        </w:rPr>
        <w:t xml:space="preserve">Research concerning inflation as a predictor for crime is uncommon and generally focused on the United States.  Through application of Becker’s theory that models crime as a function of the opportunity cost of illegal activities against the risk of conviction and the cost of punishment it can be deduced that the relative price level increase may provide a strong predictor for crime rate.  </w:t>
      </w:r>
      <w:r w:rsidR="009E364E">
        <w:rPr>
          <w:lang w:val="en-GB"/>
        </w:rPr>
        <w:t>By applying basic knowledge of market economics, we can attribute a fair amount of reason to the assumption that d</w:t>
      </w:r>
      <w:r w:rsidRPr="00562805">
        <w:rPr>
          <w:lang w:val="en-GB"/>
        </w:rPr>
        <w:t xml:space="preserve">emand for cheaper stolen goods increases with </w:t>
      </w:r>
      <w:r w:rsidR="007D5F8C">
        <w:rPr>
          <w:lang w:val="en-GB"/>
        </w:rPr>
        <w:t>increasing price level</w:t>
      </w:r>
      <w:r w:rsidRPr="00562805">
        <w:rPr>
          <w:lang w:val="en-GB"/>
        </w:rPr>
        <w:t xml:space="preserve"> and in turn causes a growth of property and violent crimes as transactions along the criminal supply chains increase. </w:t>
      </w:r>
      <w:r w:rsidR="001E14A6">
        <w:rPr>
          <w:lang w:val="en-GB"/>
        </w:rPr>
        <w:t>We’d also assume that t</w:t>
      </w:r>
      <w:r w:rsidRPr="00562805">
        <w:rPr>
          <w:lang w:val="en-GB"/>
        </w:rPr>
        <w:t xml:space="preserve">his demand-supply </w:t>
      </w:r>
      <w:r w:rsidR="002711BA">
        <w:rPr>
          <w:lang w:val="en-GB"/>
        </w:rPr>
        <w:t>interaction</w:t>
      </w:r>
      <w:r w:rsidRPr="00562805">
        <w:rPr>
          <w:lang w:val="en-GB"/>
        </w:rPr>
        <w:t xml:space="preserve"> is compounded by the injurious </w:t>
      </w:r>
      <w:r w:rsidRPr="00562805">
        <w:rPr>
          <w:lang w:val="en-GB"/>
        </w:rPr>
        <w:t xml:space="preserve">consequences of financial hardship on mental health, creating an even more volatile platform upon which the rationalisation of the unfavourable criminal choice is stronger </w:t>
      </w:r>
      <w:r w:rsidRPr="00562805">
        <w:rPr>
          <w:lang w:val="en-GB"/>
        </w:rPr>
        <w:fldChar w:fldCharType="begin"/>
      </w:r>
      <w:r w:rsidR="00725FD5">
        <w:rPr>
          <w:lang w:val="en-GB"/>
        </w:rPr>
        <w:instrText xml:space="preserve"> ADDIN ZOTERO_ITEM CSL_CITATION {"citationID":"a4gYSkI9","properties":{"formattedCitation":"(Martin-Carrasco {\\i{}et al.}, 2016)","plainCitation":"(Martin-Carrasco et al., 2016)","noteIndex":0},"citationItems":[{"id":71,"uris":["http://zotero.org/users/local/YO6H6hZo/items/MPWJKXFU"],"itemData":{"id":71,"type":"article-journal","container-title":"European Archives of Psychiatry and Clinical Neuroscience","DOI":"10.1007/s00406-016-0681-x","ISSN":"0940-1334, 1433-8491","issue":"2","journalAbbreviation":"Eur Arch Psychiatry Clin Neurosci","language":"en","page":"89-124","source":"DOI.org (Crossref)","title":"EPA guidance on mental health and economic crises in Europe","volume":"266","author":[{"family":"Martin-Carrasco","given":"M."},{"family":"Evans-Lacko","given":"S."},{"family":"Dom","given":"G."},{"family":"Christodoulou","given":"N. G."},{"family":"Samochowiec","given":"J."},{"family":"González-Fraile","given":"E."},{"family":"Bienkowski","given":"P."},{"family":"Gómez-Beneyto","given":"M."},{"family":"Dos Santos","given":"M. J. H."},{"family":"Wasserman","given":"D."}],"issued":{"date-parts":[["2016",3]]}}}],"schema":"https://github.com/citation-style-language/schema/raw/master/csl-citation.json"} </w:instrText>
      </w:r>
      <w:r w:rsidRPr="00562805">
        <w:rPr>
          <w:lang w:val="en-GB"/>
        </w:rPr>
        <w:fldChar w:fldCharType="separate"/>
      </w:r>
      <w:r w:rsidR="00725FD5" w:rsidRPr="00725FD5">
        <w:rPr>
          <w:szCs w:val="24"/>
        </w:rPr>
        <w:t xml:space="preserve">(Martin-Carrasco </w:t>
      </w:r>
      <w:r w:rsidR="00725FD5" w:rsidRPr="00725FD5">
        <w:rPr>
          <w:i/>
          <w:iCs/>
          <w:szCs w:val="24"/>
        </w:rPr>
        <w:t>et al.</w:t>
      </w:r>
      <w:r w:rsidR="00725FD5" w:rsidRPr="00725FD5">
        <w:rPr>
          <w:szCs w:val="24"/>
        </w:rPr>
        <w:t>, 2016)</w:t>
      </w:r>
      <w:r w:rsidRPr="00562805">
        <w:fldChar w:fldCharType="end"/>
      </w:r>
      <w:r w:rsidRPr="00562805">
        <w:rPr>
          <w:lang w:val="en-GB"/>
        </w:rPr>
        <w:t xml:space="preserve">.  </w:t>
      </w:r>
    </w:p>
    <w:p w14:paraId="61F8171C" w14:textId="4E7B5691" w:rsidR="00562805" w:rsidRDefault="00562805" w:rsidP="003A5347">
      <w:pPr>
        <w:jc w:val="both"/>
        <w:rPr>
          <w:lang w:val="en-GB"/>
        </w:rPr>
      </w:pPr>
      <w:r w:rsidRPr="00562805">
        <w:rPr>
          <w:lang w:val="en-GB"/>
        </w:rPr>
        <w:t>With the ongoing cost of living crisis</w:t>
      </w:r>
      <w:r w:rsidR="00907164">
        <w:rPr>
          <w:lang w:val="en-GB"/>
        </w:rPr>
        <w:t xml:space="preserve"> arising due to a scarcity of energy and other essential commodities in the wake of the covid pandemic and the global response to Vladimir Putin’s invasion of Ukraine</w:t>
      </w:r>
      <w:r w:rsidRPr="00562805">
        <w:rPr>
          <w:lang w:val="en-GB"/>
        </w:rPr>
        <w:t xml:space="preserve">, research in this area will provide a </w:t>
      </w:r>
      <w:r w:rsidR="00BE5B3E">
        <w:rPr>
          <w:lang w:val="en-GB"/>
        </w:rPr>
        <w:t xml:space="preserve">context </w:t>
      </w:r>
      <w:r w:rsidRPr="00562805">
        <w:rPr>
          <w:lang w:val="en-GB"/>
        </w:rPr>
        <w:t xml:space="preserve">upon which to develop an effective policy response. </w:t>
      </w:r>
      <w:bookmarkEnd w:id="0"/>
    </w:p>
    <w:p w14:paraId="028F55D7" w14:textId="1EE46026" w:rsidR="00562805" w:rsidRDefault="009E364E" w:rsidP="00562805">
      <w:pPr>
        <w:pStyle w:val="Heading1"/>
      </w:pPr>
      <w:r>
        <w:t>Background</w:t>
      </w:r>
    </w:p>
    <w:p w14:paraId="3A494C2D" w14:textId="4BEB88D4" w:rsidR="00EF6346" w:rsidRPr="00EF6346" w:rsidRDefault="00EF6346" w:rsidP="00EF6346">
      <w:pPr>
        <w:pStyle w:val="Heading2"/>
      </w:pPr>
      <w:r>
        <w:t>Measuring Inflation</w:t>
      </w:r>
    </w:p>
    <w:p w14:paraId="6B52A0BC" w14:textId="7AB37CA6" w:rsidR="003C32E3" w:rsidRDefault="002711BA" w:rsidP="003C32E3">
      <w:pPr>
        <w:pStyle w:val="BodyText"/>
        <w:ind w:firstLine="720"/>
      </w:pPr>
      <w:r>
        <w:t>In macroeconomics inflation is defined by the general increase in the price of good</w:t>
      </w:r>
      <w:r w:rsidR="00C64875">
        <w:t>s</w:t>
      </w:r>
      <w:r>
        <w:t xml:space="preserve"> and services in an economy.</w:t>
      </w:r>
      <w:r w:rsidR="00C64875">
        <w:t xml:space="preserve">  It is often employed as a broad measure through which we could visualize the relative change in the cost of living in an economy but can also be applied with</w:t>
      </w:r>
      <w:r w:rsidR="007D5F8C">
        <w:t>in</w:t>
      </w:r>
      <w:r w:rsidR="00C64875">
        <w:t xml:space="preserve"> a narrow</w:t>
      </w:r>
      <w:r w:rsidR="007D5F8C">
        <w:t>er</w:t>
      </w:r>
      <w:r w:rsidR="00C64875">
        <w:t xml:space="preserve"> scope that focuses on </w:t>
      </w:r>
      <w:r w:rsidR="007D5F8C">
        <w:t>specific goods</w:t>
      </w:r>
      <w:r w:rsidR="00C64875">
        <w:t xml:space="preserve"> or services.</w:t>
      </w:r>
      <w:r w:rsidR="009D41E2">
        <w:t xml:space="preserve">  The price of a haircut from my local barber over a period of my childhood, 2005 to 2011, had increased from £5 to £10. </w:t>
      </w:r>
      <w:r w:rsidR="003C32E3">
        <w:t xml:space="preserve">I was surprised to find out upon a recent visit home that the price of my usual barbering service had increased to £15. If we apply the formal definition for inflation: </w:t>
      </w:r>
    </w:p>
    <w:p w14:paraId="52C1E7DC" w14:textId="38977951" w:rsidR="003C32E3" w:rsidRPr="003C32E3" w:rsidRDefault="003C32E3" w:rsidP="003C32E3">
      <w:pPr>
        <w:pStyle w:val="BodyText"/>
        <w:ind w:firstLine="720"/>
      </w:pPr>
      <m:oMathPara>
        <m:oMath>
          <m:r>
            <w:rPr>
              <w:rFonts w:ascii="Cambria Math" w:hAnsi="Cambria Math"/>
            </w:rPr>
            <m:t xml:space="preserve">inflation rate=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oMath>
      </m:oMathPara>
    </w:p>
    <w:p w14:paraId="0A97511C" w14:textId="2615F0EB" w:rsidR="00082930" w:rsidRDefault="005D4838" w:rsidP="003C32E3">
      <w:pPr>
        <w:pStyle w:val="BodyText"/>
        <w:ind w:firstLine="720"/>
      </w:pPr>
      <w:r>
        <w:t>w</w:t>
      </w:r>
      <w:r w:rsidR="003C32E3">
        <w:t xml:space="preserve">here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3C32E3">
        <w:t xml:space="preserve"> is the original price of the good/ service and </w:t>
      </w:r>
      <m:oMath>
        <m:sSub>
          <m:sSubPr>
            <m:ctrlPr>
              <w:rPr>
                <w:rFonts w:ascii="Cambria Math" w:hAnsi="Cambria Math"/>
                <w:i/>
              </w:rPr>
            </m:ctrlPr>
          </m:sSubPr>
          <m:e>
            <m:r>
              <w:rPr>
                <w:rFonts w:ascii="Cambria Math" w:hAnsi="Cambria Math"/>
              </w:rPr>
              <m:t>p</m:t>
            </m:r>
          </m:e>
          <m:sub>
            <m:r>
              <w:rPr>
                <w:rFonts w:ascii="Cambria Math" w:hAnsi="Cambria Math"/>
              </w:rPr>
              <m:t xml:space="preserve">x+t </m:t>
            </m:r>
          </m:sub>
        </m:sSub>
      </m:oMath>
      <w:r w:rsidR="003C32E3">
        <w:t xml:space="preserve"> is </w:t>
      </w:r>
      <w:r>
        <w:t>its</w:t>
      </w:r>
      <w:r w:rsidR="003C32E3">
        <w:t xml:space="preserve"> price after some </w:t>
      </w:r>
      <w:proofErr w:type="gramStart"/>
      <w:r w:rsidR="003C32E3">
        <w:t>time period</w:t>
      </w:r>
      <w:proofErr w:type="gramEnd"/>
      <w:r w:rsidR="003C32E3">
        <w:t xml:space="preserve"> </w:t>
      </w:r>
      <m:oMath>
        <m:r>
          <w:rPr>
            <w:rFonts w:ascii="Cambria Math" w:hAnsi="Cambria Math"/>
          </w:rPr>
          <m:t>t</m:t>
        </m:r>
      </m:oMath>
      <w:r>
        <w:t>, we can state that the price of my haircut had inflated at a rate of 100% through the 5</w:t>
      </w:r>
      <w:r w:rsidR="00082930">
        <w:t>-</w:t>
      </w:r>
      <w:r>
        <w:t>year period beginning 2005 and a further 50% since then.</w:t>
      </w:r>
    </w:p>
    <w:p w14:paraId="76808373" w14:textId="77777777" w:rsidR="00B7536E" w:rsidRDefault="00774382" w:rsidP="003C32E3">
      <w:pPr>
        <w:pStyle w:val="BodyText"/>
        <w:ind w:firstLine="720"/>
      </w:pPr>
      <w:r>
        <w:t>Calculating inflation for a single product or service is</w:t>
      </w:r>
      <w:r w:rsidR="00EB5CB2">
        <w:t xml:space="preserve"> simple arithmetic exercise</w:t>
      </w:r>
      <w:r w:rsidR="00E171AE">
        <w:t xml:space="preserve"> but only provides very little perspective when assessing the state of prices in an economy.  C</w:t>
      </w:r>
      <w:r w:rsidR="00EB5CB2">
        <w:t xml:space="preserve">alculating the “general” inflation rate of all the prices of goods and services in an economy is more complicated. </w:t>
      </w:r>
    </w:p>
    <w:p w14:paraId="17323F87" w14:textId="77777777" w:rsidR="00B7536E" w:rsidRDefault="00C36075" w:rsidP="003C32E3">
      <w:pPr>
        <w:pStyle w:val="BodyText"/>
        <w:ind w:firstLine="720"/>
      </w:pPr>
      <w:r>
        <w:t>At the UKs</w:t>
      </w:r>
      <w:r w:rsidR="00EB5CB2">
        <w:t xml:space="preserve"> office of national statis</w:t>
      </w:r>
      <w:r>
        <w:t xml:space="preserve">tics consumer price inflation is </w:t>
      </w:r>
      <w:r w:rsidR="00252AF6">
        <w:t>estimated</w:t>
      </w:r>
      <w:r w:rsidR="00652372">
        <w:t xml:space="preserve"> by the percentage change in the price of an average basket of goods and services in each </w:t>
      </w:r>
      <w:r w:rsidR="00252AF6">
        <w:t>period</w:t>
      </w:r>
      <w:r w:rsidR="00652372">
        <w:t>, often yearly or monthly. The CPIH (consumer price index including owner occupiers’ housing costs) is regarded the most comprehensive measure of that price and is the ONS’s favored price indicator over the CPI (that ignores housing costs) and the retail price index or RPI (</w:t>
      </w:r>
      <w:r w:rsidR="00E171AE">
        <w:t xml:space="preserve">which </w:t>
      </w:r>
      <w:r w:rsidR="00652372">
        <w:t xml:space="preserve">accounts for mortgages and is therefore </w:t>
      </w:r>
      <w:r w:rsidR="00652372">
        <w:lastRenderedPageBreak/>
        <w:t>highly correlated to interest rates)</w:t>
      </w:r>
      <w:r w:rsidR="00252AF6">
        <w:t xml:space="preserve"> </w:t>
      </w:r>
      <w:r w:rsidR="00252AF6">
        <w:fldChar w:fldCharType="begin"/>
      </w:r>
      <w:r w:rsidR="00684735">
        <w:instrText xml:space="preserve"> ADDIN ZOTERO_ITEM CSL_CITATION {"citationID":"ouihju3g","properties":{"formattedCitation":"({\\i{}Consumer price inflation, UK - Office for National Statistics}., n.d.)","plainCitation":"(Consumer price inflation, UK - Office for National Statistics., n.d.)","noteIndex":0},"citationItems":[{"id":128,"uris":["http://zotero.org/users/local/YO6H6hZo/items/GNDTYF6N"],"itemData":{"id":128,"type":"webpage","title":"Consumer price inflation, UK - Office for National Statistics","URL":"https://www.ons.gov.uk/economy/inflationandpriceindices/bulletins/consumerpriceinflation/may2022#strengths-and-limitations","accessed":{"date-parts":[["2022",7,24]]}}}],"schema":"https://github.com/citation-style-language/schema/raw/master/csl-citation.json"} </w:instrText>
      </w:r>
      <w:r w:rsidR="00252AF6">
        <w:fldChar w:fldCharType="separate"/>
      </w:r>
      <w:r w:rsidR="00684735" w:rsidRPr="00684735">
        <w:rPr>
          <w:szCs w:val="24"/>
        </w:rPr>
        <w:t>(</w:t>
      </w:r>
      <w:r w:rsidR="00684735" w:rsidRPr="00684735">
        <w:rPr>
          <w:i/>
          <w:iCs/>
          <w:szCs w:val="24"/>
        </w:rPr>
        <w:t>Consumer price inflation, UK - Office for National Statistics</w:t>
      </w:r>
      <w:r w:rsidR="00684735" w:rsidRPr="00684735">
        <w:rPr>
          <w:szCs w:val="24"/>
        </w:rPr>
        <w:t>., n.d.)</w:t>
      </w:r>
      <w:r w:rsidR="00252AF6">
        <w:fldChar w:fldCharType="end"/>
      </w:r>
      <w:r w:rsidR="00E171AE">
        <w:t>.</w:t>
      </w:r>
      <w:r w:rsidR="000A0C7D">
        <w:t xml:space="preserve">  </w:t>
      </w:r>
    </w:p>
    <w:p w14:paraId="29FFC5E1" w14:textId="611A0DDB" w:rsidR="00B7536E" w:rsidRDefault="000A0C7D" w:rsidP="00B7536E">
      <w:pPr>
        <w:pStyle w:val="BodyText"/>
        <w:ind w:firstLine="720"/>
      </w:pPr>
      <w:r>
        <w:t xml:space="preserve">This </w:t>
      </w:r>
      <w:r w:rsidR="00252AF6">
        <w:t>basket of goods</w:t>
      </w:r>
      <w:r w:rsidR="00684735">
        <w:t xml:space="preserve"> used to compute the CPIH</w:t>
      </w:r>
      <w:r w:rsidR="00252AF6">
        <w:t>, sometimes called a market basket, is a representative sample of over 700 goods and services,</w:t>
      </w:r>
      <w:r w:rsidR="00684735">
        <w:t xml:space="preserve"> collected by surveying household expenditure. </w:t>
      </w:r>
      <w:r w:rsidR="00B7536E">
        <w:t xml:space="preserve">Items are weighted depending on their relative importance such that a price in the change of petrol would produce a greater contribution to the index than an equivalent change in the price of </w:t>
      </w:r>
      <w:r w:rsidR="002B69E6">
        <w:t>English tea bags</w:t>
      </w:r>
      <w:r w:rsidR="00B7536E">
        <w:t>.  The items and weights are evaluated and updated yearly such that they remain representative of household expenditure with changes in lifestyle over time.</w:t>
      </w:r>
      <w:r w:rsidR="003F462E">
        <w:t xml:space="preserve">  </w:t>
      </w:r>
      <w:r w:rsidR="00EE67D4">
        <w:t>The growing popularity of vegetarian and vegan diets has seen the introduction of canned beans, lentil</w:t>
      </w:r>
      <w:r w:rsidR="000D24F9">
        <w:t>s</w:t>
      </w:r>
      <w:r w:rsidR="00EE67D4">
        <w:t xml:space="preserve"> and chickpeas to basket this year, along with meat free sausages.</w:t>
      </w:r>
      <w:r w:rsidR="000D24F9">
        <w:t xml:space="preserve">  </w:t>
      </w:r>
      <w:r w:rsidR="00EE67D4">
        <w:t xml:space="preserve">While this year’s removals included men’s suits, reflecting the impact of the global pandemic on working life.  </w:t>
      </w:r>
    </w:p>
    <w:p w14:paraId="5B95AE19" w14:textId="604302B6" w:rsidR="00B7536E" w:rsidRDefault="00FB4272" w:rsidP="00B7536E">
      <w:pPr>
        <w:pStyle w:val="BodyText"/>
        <w:ind w:firstLine="720"/>
      </w:pPr>
      <w:r>
        <w:t xml:space="preserve">Owner occupiers’ housing cost, often abbreviated to OHH in ONS publications, are the costs of housing services associated with owning, maintaining, and living in one’s own home.  Rental equivalence is applied and favored over the inclusion of mortgage payments, that change </w:t>
      </w:r>
      <w:r w:rsidR="000D24F9">
        <w:t>with interest</w:t>
      </w:r>
      <w:r>
        <w:t xml:space="preserve"> rates, and is given by the amount of rent a homeowner would pay for an equivalent property.</w:t>
      </w:r>
    </w:p>
    <w:p w14:paraId="17C0BC06" w14:textId="63BC5F08" w:rsidR="00726C0C" w:rsidRDefault="00726C0C" w:rsidP="00B7536E">
      <w:pPr>
        <w:pStyle w:val="BodyText"/>
        <w:ind w:firstLine="720"/>
      </w:pPr>
      <w:r>
        <w:t>The index describes the change in the price of this market basket from a base year and is given by the formula:</w:t>
      </w:r>
    </w:p>
    <w:p w14:paraId="4C96AF4A" w14:textId="20B91126" w:rsidR="00726C0C" w:rsidRDefault="00726C0C" w:rsidP="00726C0C">
      <w:pPr>
        <w:pStyle w:val="BodyText"/>
      </w:pPr>
      <m:oMathPara>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×100</m:t>
          </m:r>
        </m:oMath>
      </m:oMathPara>
    </w:p>
    <w:p w14:paraId="56C057ED" w14:textId="30DB34D5" w:rsidR="00945B3E" w:rsidRDefault="003B5D55" w:rsidP="00945B3E">
      <w:pPr>
        <w:pStyle w:val="BodyText"/>
        <w:ind w:firstLine="720"/>
      </w:pPr>
      <w:r>
        <w:t xml:space="preserve"> </w:t>
      </w:r>
      <w:r w:rsidR="00EF6346">
        <w:t xml:space="preserve">where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346">
        <w:t xml:space="preserve"> is the cost of the market basket in the current period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F6346">
        <w:t xml:space="preserve"> is its cost in the base period</w:t>
      </w:r>
      <w:r w:rsidR="00EE67D4">
        <w:t>.</w:t>
      </w:r>
    </w:p>
    <w:p w14:paraId="6486A924" w14:textId="3F927F86" w:rsidR="00945B3E" w:rsidRDefault="00945B3E" w:rsidP="00945B3E">
      <w:pPr>
        <w:pStyle w:val="BodyText"/>
        <w:ind w:firstLine="720"/>
      </w:pPr>
      <w:r>
        <w:t xml:space="preserve">This measure for price index was introduced in 2005. Prior to this, the RPI, retail price index, was used as the ONS’s main indicator for inflation calculations.  </w:t>
      </w:r>
      <w:r w:rsidR="001E294C">
        <w:t>CPIH timeseries figures going back to 1988 were modelled on the existing CPI timeseries after it’s release in 2005 and later, a more extensive back dating of the series, modelled on RPI figures was produced.</w:t>
      </w:r>
    </w:p>
    <w:p w14:paraId="031248D9" w14:textId="1AD5637E" w:rsidR="00EF6346" w:rsidRDefault="003F462E" w:rsidP="00EF6346">
      <w:pPr>
        <w:pStyle w:val="Heading2"/>
      </w:pPr>
      <w:r>
        <w:t>National Context</w:t>
      </w:r>
    </w:p>
    <w:p w14:paraId="45554387" w14:textId="253C93A3" w:rsidR="00172B35" w:rsidRDefault="00B461D1" w:rsidP="00172B35">
      <w:pPr>
        <w:pStyle w:val="BodyText"/>
        <w:ind w:firstLine="720"/>
      </w:pPr>
      <w:r>
        <w:t xml:space="preserve">The current cost of living crisis has seen </w:t>
      </w:r>
      <w:r w:rsidR="001C13EA">
        <w:t>widespread media coverage in the last months.  The compounding effects of the costly pandemic and supply chain disruptions due to the ongoing Russian war in Ukraine are most often referenced as the most significant contributors of inflationary pressure</w:t>
      </w:r>
      <w:r w:rsidR="003B2678">
        <w:t xml:space="preserve">.  </w:t>
      </w:r>
      <w:r>
        <w:t xml:space="preserve">The annual rate of inflation of CPIH in June 2022 </w:t>
      </w:r>
      <w:r w:rsidR="003B2678">
        <w:t>hit a 40-year high</w:t>
      </w:r>
      <w:r>
        <w:t xml:space="preserve"> </w:t>
      </w:r>
      <w:r w:rsidR="003B2678">
        <w:t>9.4</w:t>
      </w:r>
      <w:r>
        <w:t>%</w:t>
      </w:r>
      <w:r w:rsidR="003B2678">
        <w:t xml:space="preserve"> up from May at 9.1%</w:t>
      </w:r>
      <w:r w:rsidR="00952ED9">
        <w:t xml:space="preserve"> with the ONS saying that the main driver for the increase being the rising price of </w:t>
      </w:r>
      <w:r w:rsidR="002B69E6">
        <w:t>fuel</w:t>
      </w:r>
      <w:r w:rsidR="00952ED9">
        <w:t>.</w:t>
      </w:r>
    </w:p>
    <w:p w14:paraId="35272E9A" w14:textId="77777777" w:rsidR="00172B35" w:rsidRDefault="00172B35" w:rsidP="00172B35">
      <w:pPr>
        <w:pStyle w:val="BodyText"/>
        <w:keepNext/>
        <w:ind w:firstLine="720"/>
      </w:pPr>
      <w:r>
        <w:rPr>
          <w:noProof/>
        </w:rPr>
        <w:drawing>
          <wp:inline distT="0" distB="0" distL="0" distR="0" wp14:anchorId="60FF4DCA" wp14:editId="1CEFBC53">
            <wp:extent cx="2146534" cy="1093382"/>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9"/>
                    <a:srcRect l="2777" t="28596" r="54762" b="32940"/>
                    <a:stretch/>
                  </pic:blipFill>
                  <pic:spPr bwMode="auto">
                    <a:xfrm>
                      <a:off x="0" y="0"/>
                      <a:ext cx="2159006" cy="1099735"/>
                    </a:xfrm>
                    <a:prstGeom prst="rect">
                      <a:avLst/>
                    </a:prstGeom>
                    <a:ln>
                      <a:noFill/>
                    </a:ln>
                    <a:extLst>
                      <a:ext uri="{53640926-AAD7-44D8-BBD7-CCE9431645EC}">
                        <a14:shadowObscured xmlns:a14="http://schemas.microsoft.com/office/drawing/2010/main"/>
                      </a:ext>
                    </a:extLst>
                  </pic:spPr>
                </pic:pic>
              </a:graphicData>
            </a:graphic>
          </wp:inline>
        </w:drawing>
      </w:r>
    </w:p>
    <w:p w14:paraId="783B95AE" w14:textId="1A2DDD8D" w:rsidR="00172B35" w:rsidRDefault="00172B35" w:rsidP="00172B35">
      <w:pPr>
        <w:pStyle w:val="Caption"/>
        <w:jc w:val="both"/>
      </w:pPr>
      <w:r>
        <w:t xml:space="preserve">Figure </w:t>
      </w:r>
      <w:fldSimple w:instr=" SEQ Figure \* ARABIC ">
        <w:r>
          <w:rPr>
            <w:noProof/>
          </w:rPr>
          <w:t>1</w:t>
        </w:r>
      </w:fldSimple>
      <w:r>
        <w:t xml:space="preserve"> - CPIH Annual Rate </w:t>
      </w:r>
      <w:r>
        <w:fldChar w:fldCharType="begin"/>
      </w:r>
      <w:r>
        <w:instrText xml:space="preserve"> ADDIN ZOTERO_ITEM CSL_CITATION {"citationID":"7dGo13dI","properties":{"formattedCitation":"({\\i{}Consumer price inflation, UK - Office for National Statistics}., n.d.)","plainCitation":"(Consumer price inflation, UK - Office for National Statistics., n.d.)","noteIndex":0},"citationItems":[{"id":128,"uris":["http://zotero.org/users/local/YO6H6hZo/items/GNDTYF6N"],"itemData":{"id":128,"type":"webpage","title":"Consumer price inflation, UK - Office for National Statistics","URL":"https://www.ons.gov.uk/economy/inflationandpriceindices/bulletins/consumerpriceinflation/may2022#strengths-and-limitations","accessed":{"date-parts":[["2022",7,24]]}}}],"schema":"https://github.com/citation-style-language/schema/raw/master/csl-citation.json"} </w:instrText>
      </w:r>
      <w:r>
        <w:fldChar w:fldCharType="separate"/>
      </w:r>
      <w:r w:rsidRPr="00172B35">
        <w:rPr>
          <w:szCs w:val="24"/>
        </w:rPr>
        <w:t>(</w:t>
      </w:r>
      <w:r w:rsidRPr="00172B35">
        <w:rPr>
          <w:i w:val="0"/>
          <w:iCs w:val="0"/>
          <w:szCs w:val="24"/>
        </w:rPr>
        <w:t>Consumer price inflation, UK - Office for National Statistics</w:t>
      </w:r>
      <w:r w:rsidRPr="00172B35">
        <w:rPr>
          <w:szCs w:val="24"/>
        </w:rPr>
        <w:t>., n.d.)</w:t>
      </w:r>
      <w:r>
        <w:fldChar w:fldCharType="end"/>
      </w:r>
    </w:p>
    <w:p w14:paraId="65CC8546" w14:textId="46F5529B" w:rsidR="005B417B" w:rsidRDefault="00172B35" w:rsidP="003C6DA3">
      <w:pPr>
        <w:pStyle w:val="BodyText"/>
        <w:ind w:firstLine="720"/>
      </w:pPr>
      <w:r>
        <w:t>Since 1992, monetary policy has been based on the maintenance of an explicit numerical target, now 2%</w:t>
      </w:r>
      <w:r w:rsidR="00AB47EF">
        <w:t>.</w:t>
      </w:r>
      <w:r w:rsidR="00DF7AF8">
        <w:t xml:space="preserve">  For much of this period prices had been </w:t>
      </w:r>
      <w:proofErr w:type="gramStart"/>
      <w:r w:rsidR="00DF7AF8">
        <w:t>fairly stable</w:t>
      </w:r>
      <w:proofErr w:type="gramEnd"/>
      <w:r w:rsidR="00DF7AF8">
        <w:t xml:space="preserve">.  </w:t>
      </w:r>
      <w:r w:rsidR="00AB47EF">
        <w:t xml:space="preserve">During the inaugural LSE Bank of England lecture, then Governor </w:t>
      </w:r>
      <w:r w:rsidR="00096EAD">
        <w:t>o</w:t>
      </w:r>
      <w:r w:rsidR="00AB47EF">
        <w:t>f the Bank of England</w:t>
      </w:r>
      <w:r w:rsidR="00096EAD">
        <w:t xml:space="preserve">, Robin Leigh Pemberton presented “The case for price stability” in which he cited many of </w:t>
      </w:r>
      <w:r w:rsidR="002B69E6">
        <w:t xml:space="preserve">the </w:t>
      </w:r>
      <w:r w:rsidR="00096EAD">
        <w:t>costs of inflation and argued that policies that prioritized price stability w</w:t>
      </w:r>
      <w:r w:rsidR="002B69E6">
        <w:t>ould be</w:t>
      </w:r>
      <w:r w:rsidR="00DF7AF8">
        <w:t xml:space="preserve"> supportive of economic efficiency. </w:t>
      </w:r>
      <w:r w:rsidR="003C6DA3">
        <w:t xml:space="preserve"> </w:t>
      </w:r>
    </w:p>
    <w:p w14:paraId="21BF29A4" w14:textId="1F6479E7" w:rsidR="005B417B" w:rsidRDefault="003C6DA3" w:rsidP="005B417B">
      <w:pPr>
        <w:pStyle w:val="BodyText"/>
        <w:ind w:firstLine="720"/>
      </w:pPr>
      <w:r>
        <w:t>Alan Blinder, former vice chairman of the federal reserve, cleverly defined price stability as a when ordinary people stop</w:t>
      </w:r>
      <w:r w:rsidR="00190084">
        <w:t>ped</w:t>
      </w:r>
      <w:r>
        <w:t xml:space="preserve"> talking about and worrying about inflation.  By this definition, considering</w:t>
      </w:r>
      <w:r w:rsidR="005B417B">
        <w:t xml:space="preserve"> the very low chance that anyone reading this report would have not had, at the very least, small talk about inflation at some point the last two months, there is strong evidence that prices are currently unstable. </w:t>
      </w:r>
    </w:p>
    <w:p w14:paraId="0362A819" w14:textId="3097617C" w:rsidR="004F1148" w:rsidRDefault="002C7675" w:rsidP="005B417B">
      <w:pPr>
        <w:pStyle w:val="BodyText"/>
        <w:ind w:firstLine="720"/>
      </w:pPr>
      <w:bookmarkStart w:id="1" w:name="_Hlk109599106"/>
      <w:r>
        <w:t xml:space="preserve">The previous 25-year period saw </w:t>
      </w:r>
      <w:bookmarkEnd w:id="1"/>
      <w:r>
        <w:t xml:space="preserve">a general price increase of over 750% due to the collapse of Bretton Woods and other related and compounding effects </w:t>
      </w:r>
      <w:r w:rsidR="003E55A7">
        <w:fldChar w:fldCharType="begin"/>
      </w:r>
      <w:r w:rsidR="004F1148">
        <w:instrText xml:space="preserve"> ADDIN ZOTERO_ITEM CSL_CITATION {"citationID":"fBJkBStp","properties":{"formattedCitation":"(King, 2002)","plainCitation":"(King, 2002)","noteIndex":0},"citationItems":[{"id":136,"uris":["http://zotero.org/users/local/YO6H6hZo/items/8Z2ELE9T"],"itemData":{"id":136,"type":"article-journal","language":"en","page":"37","source":"Zotero","title":"THE INFLATION TARGET TEN YEARS ON","author":[{"family":"King","given":"Mervyn"}],"issued":{"date-parts":[["2002",11,19]]}}}],"schema":"https://github.com/citation-style-language/schema/raw/master/csl-citation.json"} </w:instrText>
      </w:r>
      <w:r w:rsidR="003E55A7">
        <w:fldChar w:fldCharType="separate"/>
      </w:r>
      <w:r w:rsidR="004F1148" w:rsidRPr="004F1148">
        <w:t>(King, 2002)</w:t>
      </w:r>
      <w:r w:rsidR="003E55A7">
        <w:fldChar w:fldCharType="end"/>
      </w:r>
      <w:r w:rsidR="004F1148">
        <w:t>.</w:t>
      </w:r>
      <w:r w:rsidR="005B417B">
        <w:t xml:space="preserve">  The reintroduction of price instability or </w:t>
      </w:r>
      <w:r w:rsidR="006559D8">
        <w:t xml:space="preserve">apparent </w:t>
      </w:r>
      <w:r w:rsidR="005B417B">
        <w:t>inflation proneness in the UK</w:t>
      </w:r>
      <w:r w:rsidR="006559D8">
        <w:t xml:space="preserve"> necessitates an assessment of policy priority with studies such as this that act to challenge political assumptions. </w:t>
      </w:r>
    </w:p>
    <w:p w14:paraId="3A83AAFD" w14:textId="4FD96927" w:rsidR="006559D8" w:rsidRDefault="006559D8" w:rsidP="006559D8">
      <w:pPr>
        <w:pStyle w:val="Heading2"/>
      </w:pPr>
      <w:r>
        <w:t>Measuring Crime</w:t>
      </w:r>
    </w:p>
    <w:p w14:paraId="4963623F" w14:textId="04BCE1BC" w:rsidR="00A9690B" w:rsidRDefault="00B74CF5" w:rsidP="00A9690B">
      <w:pPr>
        <w:jc w:val="both"/>
      </w:pPr>
      <w:r>
        <w:t xml:space="preserve">The difficulty in collecting data on crime is that a crime committed to “plan” would, in most cases, see the occurrence unreported.  The </w:t>
      </w:r>
      <w:r w:rsidR="001E294C">
        <w:t xml:space="preserve">ONS’s </w:t>
      </w:r>
      <w:r>
        <w:t>preferred method of data</w:t>
      </w:r>
      <w:r w:rsidR="001E294C">
        <w:t xml:space="preserve"> collection</w:t>
      </w:r>
      <w:r w:rsidR="008D7F90">
        <w:t xml:space="preserve"> is by TCSEW (Telephone-operated Crime Survey for England and Wales), which recently replaced the in person CSEW due to the unfavorable global event.</w:t>
      </w:r>
      <w:r w:rsidR="001E294C">
        <w:t xml:space="preserve"> </w:t>
      </w:r>
      <w:r w:rsidR="00F757FF">
        <w:t>Results from the Crime survey are unaffected by changes in levels of reporting to police or police recording practices</w:t>
      </w:r>
      <w:r w:rsidR="00A9690B">
        <w:t xml:space="preserve"> and it</w:t>
      </w:r>
      <w:r w:rsidR="001E294C">
        <w:t xml:space="preserve"> is </w:t>
      </w:r>
      <w:r w:rsidR="00A9690B">
        <w:t xml:space="preserve">therefore </w:t>
      </w:r>
      <w:r w:rsidR="001E294C">
        <w:t xml:space="preserve">preferred over police recorded </w:t>
      </w:r>
      <w:r w:rsidR="00F757FF">
        <w:t>offenses</w:t>
      </w:r>
      <w:r w:rsidR="001E294C">
        <w:t>, which are not designated national statistics</w:t>
      </w:r>
      <w:r w:rsidR="00A9690B">
        <w:t>.</w:t>
      </w:r>
    </w:p>
    <w:p w14:paraId="5C0B19E6" w14:textId="4C58AA54" w:rsidR="00000C62" w:rsidRDefault="00A9690B" w:rsidP="00000C62">
      <w:pPr>
        <w:jc w:val="both"/>
      </w:pPr>
      <w:r>
        <w:t>Despite this i</w:t>
      </w:r>
      <w:r w:rsidR="00F757FF">
        <w:t>t is notoriously difficult to gain access to reliable and consistent data.</w:t>
      </w:r>
    </w:p>
    <w:p w14:paraId="008B34C2" w14:textId="71F53835" w:rsidR="00000C62" w:rsidRDefault="00000C62" w:rsidP="00000C62">
      <w:pPr>
        <w:pStyle w:val="Heading2"/>
      </w:pPr>
      <w:r>
        <w:t>Measuring Causation</w:t>
      </w:r>
    </w:p>
    <w:p w14:paraId="677A2CFB" w14:textId="08421BFB" w:rsidR="00000C62" w:rsidRDefault="00000C62" w:rsidP="00000C62">
      <w:pPr>
        <w:jc w:val="both"/>
      </w:pPr>
      <w:r>
        <w:t xml:space="preserve">Granger causality testing is often used in econometrics, </w:t>
      </w:r>
      <w:r w:rsidR="00C43628">
        <w:t>psychology,</w:t>
      </w:r>
      <w:r>
        <w:t xml:space="preserve"> and criminology to determine the ability of a time series to forecast a target variable.  </w:t>
      </w:r>
      <w:r w:rsidR="00C43628">
        <w:t>The test should be employed as an assessment of predictive causality, or temporal relation, as opposed to a question of “true causality”, which is considered a more philosophical topic.</w:t>
      </w:r>
    </w:p>
    <w:p w14:paraId="6B382C05" w14:textId="151E2D65" w:rsidR="00C43628" w:rsidRDefault="00C43628" w:rsidP="00000C62">
      <w:pPr>
        <w:jc w:val="both"/>
      </w:pPr>
      <w:r>
        <w:t>If we let y and x be stationary time series.  To test the null hypothesis that x does not Granger-cause y</w:t>
      </w:r>
      <w:r w:rsidR="0028202A">
        <w:t xml:space="preserve"> one must prove, according to their t-statistic, that individual lagged values of x add explanatory power to the regression of y such that:</w:t>
      </w:r>
    </w:p>
    <w:p w14:paraId="41C03503" w14:textId="5C3693B6" w:rsidR="0028202A" w:rsidRPr="00610FDD" w:rsidRDefault="00000000" w:rsidP="00000C62">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t-q</m:t>
              </m:r>
            </m:sub>
          </m:sSub>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t</m:t>
              </m:r>
            </m:sub>
          </m:sSub>
        </m:oMath>
      </m:oMathPara>
    </w:p>
    <w:p w14:paraId="34CD95A5" w14:textId="7BD6C7AF" w:rsidR="00610FDD" w:rsidRPr="00000C62" w:rsidRDefault="00610FDD" w:rsidP="00000C62">
      <w:pPr>
        <w:jc w:val="both"/>
      </w:pPr>
      <w:r>
        <w:t>The null hypothesis that x does not Granger-cause y is accepter if none of the lagged values of x are retained.</w:t>
      </w:r>
    </w:p>
    <w:p w14:paraId="5B0273F6" w14:textId="7358E9F7" w:rsidR="00453011" w:rsidRDefault="00850861" w:rsidP="00BE5B3E">
      <w:pPr>
        <w:pStyle w:val="Heading1"/>
      </w:pPr>
      <w:r>
        <w:lastRenderedPageBreak/>
        <w:t>Literature Review</w:t>
      </w:r>
    </w:p>
    <w:p w14:paraId="2CA07BBF" w14:textId="770CF761" w:rsidR="00D93404" w:rsidRDefault="00371A8D" w:rsidP="00D93404">
      <w:pPr>
        <w:pStyle w:val="Heading2"/>
      </w:pPr>
      <w:r>
        <w:t>Crime during Historical Price revolutions</w:t>
      </w:r>
    </w:p>
    <w:p w14:paraId="0A2C3884" w14:textId="20DB957C" w:rsidR="003A5347" w:rsidRDefault="003A5347" w:rsidP="003A5347">
      <w:pPr>
        <w:jc w:val="both"/>
      </w:pPr>
      <w:r>
        <w:t xml:space="preserve">Price records are amongst the most abundant source of quantifiable data for study of historical change.  </w:t>
      </w:r>
      <w:r w:rsidR="00EA1E1B">
        <w:t xml:space="preserve">Fischer (1996) traces a link with inflation and crime back to </w:t>
      </w:r>
      <w:r w:rsidR="00C2566B">
        <w:t>the crisis of the 14</w:t>
      </w:r>
      <w:r w:rsidR="00C2566B" w:rsidRPr="00C2566B">
        <w:rPr>
          <w:vertAlign w:val="superscript"/>
        </w:rPr>
        <w:t>th</w:t>
      </w:r>
      <w:r w:rsidR="00C2566B">
        <w:t xml:space="preserve"> century.  </w:t>
      </w:r>
      <w:r w:rsidR="00490E51">
        <w:t xml:space="preserve">The destabilizing of the Western Europe economic zone, which was actuated by the collapse of large Tuscan banks under the strain of borrowing from British Monarchs, through the first years of the </w:t>
      </w:r>
      <w:r w:rsidR="00C2566B">
        <w:t>14</w:t>
      </w:r>
      <w:r w:rsidR="00C2566B" w:rsidRPr="00C2566B">
        <w:rPr>
          <w:vertAlign w:val="superscript"/>
        </w:rPr>
        <w:t>th</w:t>
      </w:r>
      <w:r w:rsidR="00C2566B">
        <w:t xml:space="preserve"> </w:t>
      </w:r>
      <w:r w:rsidR="00490E51">
        <w:t xml:space="preserve">century was a dark foreshadowing for the coming decades. </w:t>
      </w:r>
      <w:r w:rsidR="009D30AE">
        <w:t xml:space="preserve">The existing disorder was exacerbated with the failure of subsequent harvests, during years 1314 and 1315, that instigated a continent-wide famine.  The price of essential commodities such as wheat grew 8 times.  </w:t>
      </w:r>
      <w:r w:rsidR="006C6D98">
        <w:t xml:space="preserve">In the wake of material scarcity, crime began to rise across the continent. Fischer (1996) presents a strong causal link between the price of wheat and criminal indictments in Norfolk.  The increased criminal activity extended beyond just acquisitive crimes with an increase in the number of homicides, </w:t>
      </w:r>
      <w:r w:rsidR="0090196A">
        <w:t>assaults,</w:t>
      </w:r>
      <w:r w:rsidR="006C6D98">
        <w:t xml:space="preserve"> and acts of rapes.  The</w:t>
      </w:r>
      <w:r w:rsidR="00D9268B">
        <w:t xml:space="preserve"> occurrences show</w:t>
      </w:r>
      <w:r w:rsidR="006C6D98">
        <w:t xml:space="preserve"> consistency with the traditional theory of social strain </w:t>
      </w:r>
      <w:r w:rsidR="006C6D98">
        <w:fldChar w:fldCharType="begin"/>
      </w:r>
      <w:r w:rsidR="006C6D98">
        <w:instrText xml:space="preserve"> ADDIN ZOTERO_ITEM CSL_CITATION {"citationID":"2VkepOXJ","properties":{"formattedCitation":"(Merton, 1938)","plainCitation":"(Merton, 1938)","noteIndex":0},"citationItems":[{"id":152,"uris":["http://zotero.org/users/local/YO6H6hZo/items/TQ3Y4SJ2"],"itemData":{"id":152,"type":"article-journal","container-title":"American Sociological Review","DOI":"10.2307/2084686","ISSN":"0003-1224","issue":"5","note":"publisher: [American Sociological Association, Sage Publications, Inc.]","page":"672-682","source":"JSTOR","title":"Social Structure and Anomie","volume":"3","author":[{"family":"Merton","given":"Robert K."}],"issued":{"date-parts":[["1938"]]}}}],"schema":"https://github.com/citation-style-language/schema/raw/master/csl-citation.json"} </w:instrText>
      </w:r>
      <w:r w:rsidR="006C6D98">
        <w:fldChar w:fldCharType="separate"/>
      </w:r>
      <w:r w:rsidR="006C6D98" w:rsidRPr="006C6D98">
        <w:t>(Merton, 1938)</w:t>
      </w:r>
      <w:r w:rsidR="006C6D98">
        <w:fldChar w:fldCharType="end"/>
      </w:r>
      <w:r w:rsidR="00D9268B">
        <w:t xml:space="preserve"> in that the resulting social pressures associated with inequality and rising prices drives individuals towards crime.</w:t>
      </w:r>
      <w:r w:rsidR="00436F98">
        <w:t xml:space="preserve"> </w:t>
      </w:r>
    </w:p>
    <w:p w14:paraId="6E2B68A6" w14:textId="77E75394" w:rsidR="00436F98" w:rsidRDefault="00436F98" w:rsidP="003A5347">
      <w:pPr>
        <w:jc w:val="both"/>
      </w:pPr>
      <w:r>
        <w:t xml:space="preserve">Again, during the </w:t>
      </w:r>
      <w:r w:rsidR="00C2566B">
        <w:t>17</w:t>
      </w:r>
      <w:r w:rsidR="00C2566B" w:rsidRPr="00C2566B">
        <w:rPr>
          <w:vertAlign w:val="superscript"/>
        </w:rPr>
        <w:t>th</w:t>
      </w:r>
      <w:r>
        <w:t xml:space="preserve"> century, with the onset of what eventually became none as </w:t>
      </w:r>
      <w:r>
        <w:rPr>
          <w:i/>
          <w:iCs/>
        </w:rPr>
        <w:t xml:space="preserve">“the little ice-age” </w:t>
      </w:r>
      <w:r>
        <w:t xml:space="preserve">scarcity </w:t>
      </w:r>
      <w:r w:rsidR="00A76986">
        <w:t>induced supply-side inflationary pressures cause</w:t>
      </w:r>
      <w:r w:rsidR="00D9268B">
        <w:t>d</w:t>
      </w:r>
      <w:r w:rsidR="00A76986">
        <w:t xml:space="preserve"> another distinct increase in prices across the continent.  </w:t>
      </w:r>
      <w:r w:rsidR="00EA11EB">
        <w:t>Fischer (1996) provides evidence for another strong causal link between prices and the number of indictments for property crimes between the years 1566 to 1602 in Essex</w:t>
      </w:r>
      <w:r w:rsidR="0099603C">
        <w:t>, citing the growing material inequality through these periods of hardship as a driving factor for social unrest.</w:t>
      </w:r>
    </w:p>
    <w:p w14:paraId="606297D0" w14:textId="007E47A3" w:rsidR="00C2566B" w:rsidRDefault="00C2566B" w:rsidP="003A5347">
      <w:pPr>
        <w:jc w:val="both"/>
      </w:pPr>
      <w:r>
        <w:t>A similar relationship was also observed during the revolutionary crisis of the 18</w:t>
      </w:r>
      <w:r w:rsidRPr="00C2566B">
        <w:rPr>
          <w:vertAlign w:val="superscript"/>
        </w:rPr>
        <w:t>th</w:t>
      </w:r>
      <w:r>
        <w:t xml:space="preserve"> century.  Again, uncertain weather causing supply-side instability and inflation alongside, falling real wages and growing unemployment.  Lower classes looked towards feudal lords for blame.  </w:t>
      </w:r>
      <w:r w:rsidR="004F2643">
        <w:t xml:space="preserve">Rising inequality inspired increases of acquisitive crime whose temporal dependent structure was </w:t>
      </w:r>
      <w:proofErr w:type="gramStart"/>
      <w:r w:rsidR="004F2643">
        <w:t>similar to</w:t>
      </w:r>
      <w:proofErr w:type="gramEnd"/>
      <w:r w:rsidR="004F2643">
        <w:t xml:space="preserve"> cycles of price inflation through the period.</w:t>
      </w:r>
    </w:p>
    <w:p w14:paraId="6C39C4B2" w14:textId="5C53FA0F" w:rsidR="00A804E1" w:rsidRPr="00A804E1" w:rsidRDefault="004F2643" w:rsidP="00BF5AD5">
      <w:pPr>
        <w:jc w:val="both"/>
      </w:pPr>
      <w:r>
        <w:t xml:space="preserve">The works of Fischer (1996) is an invaluable aggregation of several price indices, all of which show close links with crime.  A common factor through those periods is the widening of the inequality gap.  </w:t>
      </w:r>
      <w:r w:rsidR="006D6220">
        <w:t>Too often, when scarcity is introduced, those who own the means of production and property respond by increasing prices in desperate attempts to maintain profits through difficult times</w:t>
      </w:r>
      <w:r w:rsidR="00BF5AD5">
        <w:t xml:space="preserve"> despite the suffering it causes to the lower classes</w:t>
      </w:r>
      <w:r w:rsidR="006D6220">
        <w:t>.</w:t>
      </w:r>
      <w:r w:rsidR="00D9268B">
        <w:t xml:space="preserve">  The increasing prices contribute to an increase in the opportunity cost of criminal activities.  </w:t>
      </w:r>
      <w:r w:rsidR="004B746B">
        <w:t>This becomes particularly dangerous when there is significant inequality between social classes.</w:t>
      </w:r>
    </w:p>
    <w:p w14:paraId="225BCF14" w14:textId="742E318E" w:rsidR="00625E67" w:rsidRPr="00625E67" w:rsidRDefault="00625E67" w:rsidP="00625E67">
      <w:pPr>
        <w:pStyle w:val="Heading2"/>
      </w:pPr>
      <w:r>
        <w:t>Crime and Inflation</w:t>
      </w:r>
    </w:p>
    <w:p w14:paraId="140A6E47" w14:textId="507DA5EF" w:rsidR="000B75FF" w:rsidRDefault="00C305ED" w:rsidP="00940F24">
      <w:pPr>
        <w:pStyle w:val="BodyText"/>
        <w:ind w:firstLine="720"/>
      </w:pPr>
      <w:r>
        <w:t>By applying rudimentary understanding of market</w:t>
      </w:r>
      <w:r w:rsidR="00A9690B">
        <w:t xml:space="preserve"> economics</w:t>
      </w:r>
      <w:r>
        <w:t xml:space="preserve">, formulating logical arguments linking higher crime rates with </w:t>
      </w:r>
      <w:r w:rsidR="00940F24">
        <w:t>conditions associated with economic hardship</w:t>
      </w:r>
      <w:r w:rsidR="00A9690B">
        <w:t xml:space="preserve"> is </w:t>
      </w:r>
      <w:r w:rsidR="00A9690B">
        <w:t>relatively straight forward</w:t>
      </w:r>
      <w:r w:rsidR="00940F24">
        <w:t xml:space="preserve">.  Research regarding the effect of economic markers on the crime rate goes back to the 1960s. Most recent research suggests, in line with logical expectations, that periods of higher crime rates coincide with times of economic struggle.  </w:t>
      </w:r>
    </w:p>
    <w:p w14:paraId="1C27B952" w14:textId="1AC015B5" w:rsidR="004478C9" w:rsidRDefault="00C469FA" w:rsidP="00A4222F">
      <w:pPr>
        <w:pStyle w:val="BodyText"/>
        <w:ind w:firstLine="720"/>
      </w:pPr>
      <w:r>
        <w:t xml:space="preserve">The 1999 work by David Hackett Fischer identifies four occasions of significant </w:t>
      </w:r>
      <w:r w:rsidR="00E2015D">
        <w:t>increase</w:t>
      </w:r>
      <w:r>
        <w:t xml:space="preserve"> in the price level in Western History.  Both violent crime and property crime increased </w:t>
      </w:r>
      <w:r w:rsidR="00725FD5">
        <w:t xml:space="preserve">during these periods and fell when the price level stabilized </w:t>
      </w:r>
      <w:r w:rsidR="00725FD5">
        <w:fldChar w:fldCharType="begin"/>
      </w:r>
      <w:r w:rsidR="00725FD5">
        <w:instrText xml:space="preserve"> ADDIN ZOTERO_ITEM CSL_CITATION {"citationID":"kqzunPrW","properties":{"formattedCitation":"(Fischer, 1996)","plainCitation":"(Fischer, 1996)","noteIndex":0},"citationItems":[{"id":77,"uris":["http://zotero.org/users/local/YO6H6hZo/items/9BHKDHK3"],"itemData":{"id":77,"type":"book","edition":"1st edition","event-place":"New York","ISBN":"978-0-19-505377-7","language":"English","number-of-pages":"556","publisher":"Oxford University Press","publisher-place":"New York","source":"Amazon","title":"The Great Wave: Price Revolutions and the Rhythym of History","title-short":"The Great Wave","author":[{"family":"Fischer","given":"David Hackett"}],"issued":{"date-parts":[["1996",11,7]]}}}],"schema":"https://github.com/citation-style-language/schema/raw/master/csl-citation.json"} </w:instrText>
      </w:r>
      <w:r w:rsidR="00725FD5">
        <w:fldChar w:fldCharType="separate"/>
      </w:r>
      <w:r w:rsidR="00725FD5" w:rsidRPr="00725FD5">
        <w:t>(Fischer, 1996)</w:t>
      </w:r>
      <w:r w:rsidR="00725FD5">
        <w:fldChar w:fldCharType="end"/>
      </w:r>
      <w:r w:rsidR="00E2015D">
        <w:t>, explaining that widespread deprivation</w:t>
      </w:r>
      <w:r w:rsidR="004B746B">
        <w:t>,</w:t>
      </w:r>
      <w:r w:rsidR="00E2015D">
        <w:t xml:space="preserve"> discontent,</w:t>
      </w:r>
      <w:r w:rsidR="00340600">
        <w:t xml:space="preserve"> and stress brought on by inflation created a more potent environment for</w:t>
      </w:r>
      <w:r w:rsidR="004B746B">
        <w:t xml:space="preserve"> the inspiration of</w:t>
      </w:r>
      <w:r w:rsidR="00340600">
        <w:t xml:space="preserve"> criminal behaviors</w:t>
      </w:r>
      <w:r w:rsidR="00725FD5">
        <w:t xml:space="preserve">. </w:t>
      </w:r>
      <w:r w:rsidR="00A4222F">
        <w:t xml:space="preserve"> Literature suggests that relatively low inflation rates explain the absence of crime increases through the </w:t>
      </w:r>
      <w:r w:rsidR="004B746B">
        <w:t xml:space="preserve">most recent </w:t>
      </w:r>
      <w:r w:rsidR="00A4222F">
        <w:t xml:space="preserve">recession </w:t>
      </w:r>
      <w:r w:rsidR="00A4222F">
        <w:fldChar w:fldCharType="begin"/>
      </w:r>
      <w:r w:rsidR="00A4222F">
        <w:instrText xml:space="preserve"> ADDIN ZOTERO_ITEM CSL_CITATION {"citationID":"EfWpBqDu","properties":{"formattedCitation":"(Rosenfeld, 2014)","plainCitation":"(Rosenfeld, 2014)","noteIndex":0},"citationItems":[{"id":67,"uris":["http://zotero.org/users/local/YO6H6hZo/items/ZIF68YI7"],"itemData":{"id":67,"type":"article-journal","container-title":"Crime and Justice: A Review of Research","journalAbbreviation":"Crime &amp; Just.","language":"eng","page":"341-366","source":"HeinOnline","title":"Crime and Inflation in Cross-National Perspective Why Crime Rates Fall and Why They Don't","volume":"43","author":[{"family":"Rosenfeld","given":"Richard"}],"issued":{"date-parts":[["2014"]]}}}],"schema":"https://github.com/citation-style-language/schema/raw/master/csl-citation.json"} </w:instrText>
      </w:r>
      <w:r w:rsidR="00A4222F">
        <w:fldChar w:fldCharType="separate"/>
      </w:r>
      <w:r w:rsidR="00A4222F" w:rsidRPr="00A4222F">
        <w:t>(Rosenfeld, 2014)</w:t>
      </w:r>
      <w:r w:rsidR="00A4222F">
        <w:fldChar w:fldCharType="end"/>
      </w:r>
      <w:r w:rsidR="00A4222F">
        <w:t>.</w:t>
      </w:r>
    </w:p>
    <w:p w14:paraId="41179E86" w14:textId="46AE8C3A" w:rsidR="008632AF" w:rsidRDefault="008632AF" w:rsidP="008632AF">
      <w:pPr>
        <w:pStyle w:val="BodyText"/>
        <w:ind w:firstLine="720"/>
      </w:pPr>
      <w:r>
        <w:t xml:space="preserve">Fischer’s research, despite receiving positive reviews, has not yet made any significant influence on criminological research.  Other studies also confirm our logical conclusion that eroding economic conditions are linked with increased criminal incidences.  </w:t>
      </w:r>
    </w:p>
    <w:p w14:paraId="1A85CAAC" w14:textId="77777777" w:rsidR="003B1E0C" w:rsidRDefault="005A5AEF" w:rsidP="008632AF">
      <w:pPr>
        <w:pStyle w:val="BodyText"/>
        <w:ind w:firstLine="720"/>
      </w:pPr>
      <w:r>
        <w:t>Arvanites claims that</w:t>
      </w:r>
      <w:r w:rsidR="003B1E0C">
        <w:t>:</w:t>
      </w:r>
      <w:r>
        <w:t xml:space="preserve"> </w:t>
      </w:r>
    </w:p>
    <w:p w14:paraId="31466BA2" w14:textId="48FEDCE7" w:rsidR="005A5AEF" w:rsidRDefault="003B1E0C" w:rsidP="008632AF">
      <w:pPr>
        <w:pStyle w:val="BodyText"/>
        <w:ind w:firstLine="720"/>
        <w:rPr>
          <w:i/>
          <w:iCs/>
        </w:rPr>
      </w:pPr>
      <w:r w:rsidRPr="003B1E0C">
        <w:rPr>
          <w:i/>
          <w:iCs/>
        </w:rPr>
        <w:t>“</w:t>
      </w:r>
      <w:proofErr w:type="gramStart"/>
      <w:r w:rsidR="005A5AEF" w:rsidRPr="003B1E0C">
        <w:rPr>
          <w:i/>
          <w:iCs/>
        </w:rPr>
        <w:t>the</w:t>
      </w:r>
      <w:proofErr w:type="gramEnd"/>
      <w:r w:rsidR="005A5AEF" w:rsidRPr="003B1E0C">
        <w:rPr>
          <w:i/>
          <w:iCs/>
        </w:rPr>
        <w:t xml:space="preserve"> possibility that economic conditions </w:t>
      </w:r>
      <w:r w:rsidRPr="003B1E0C">
        <w:rPr>
          <w:i/>
          <w:iCs/>
        </w:rPr>
        <w:t>influence the rate of street crime was central the modern criminology theory</w:t>
      </w:r>
      <w:r>
        <w:rPr>
          <w:i/>
          <w:iCs/>
        </w:rPr>
        <w:t>.</w:t>
      </w:r>
      <w:r w:rsidRPr="003B1E0C">
        <w:rPr>
          <w:i/>
          <w:iCs/>
        </w:rPr>
        <w:t>”</w:t>
      </w:r>
    </w:p>
    <w:p w14:paraId="67A99BE0" w14:textId="681C54C5" w:rsidR="003B1E0C" w:rsidRPr="003B1E0C" w:rsidRDefault="003B1E0C" w:rsidP="008632AF">
      <w:pPr>
        <w:pStyle w:val="BodyText"/>
        <w:ind w:firstLine="720"/>
      </w:pPr>
      <w:r>
        <w:t xml:space="preserve">Their research </w:t>
      </w:r>
      <w:r>
        <w:fldChar w:fldCharType="begin"/>
      </w:r>
      <w:r>
        <w:instrText xml:space="preserve"> ADDIN ZOTERO_ITEM CSL_CITATION {"citationID":"6zOAXl9a","properties":{"formattedCitation":"(Arvanites and Defina, 2006)","plainCitation":"(Arvanites and Defina, 2006)","noteIndex":0},"citationItems":[{"id":83,"uris":["http://zotero.org/users/local/YO6H6hZo/items/FMTRQE49"],"itemData":{"id":83,"type":"article-journal","abstract":"This study examines the influence of business cycle fluctuations on street crime in the conceptual framework of Cantor and Land's(1985) seminal work distinguishing between opportunity and motivation effects. The analysis contributes to the literature three ways. First, we use cross-section/time series data, which has several important advantages over simple time-series or cross-section data of previous studies. Second, it introduces a new and broader measure of business cycle conditions, one that more faithfully captures the logic of Cantor and Land's framework than previous measures do. Third, it focuses on the large decline in street crime of the 1990s, a central issue facing criminologists. Statistical models indicate that the strong economy of the 1990s reduced all four index property crimes and robbery by reducing criminal motivation. Business cycle growth produced no significant opportunity effect for any of the crimes studied.","container-title":"Criminology","DOI":"10.1111/j.1745-9125.2006.00045.x","ISSN":"1745-9125","issue":"1","language":"en","note":"_eprint: https://onlinelibrary.wiley.com/doi/pdf/10.1111/j.1745-9125.2006.00045.x","page":"139-164","source":"Wiley Online Library","title":"Business Cycles and Street Crime","volume":"44","author":[{"family":"Arvanites","given":"Thomas M."},{"family":"Defina","given":"Robert H."}],"issued":{"date-parts":[["2006"]]}}}],"schema":"https://github.com/citation-style-language/schema/raw/master/csl-citation.json"} </w:instrText>
      </w:r>
      <w:r>
        <w:fldChar w:fldCharType="separate"/>
      </w:r>
      <w:r w:rsidRPr="003B1E0C">
        <w:t>(Arvanites and Defina, 2006)</w:t>
      </w:r>
      <w:r>
        <w:fldChar w:fldCharType="end"/>
      </w:r>
      <w:r>
        <w:t xml:space="preserve"> describes the inverse relationship between economic growth and street crime, introducing </w:t>
      </w:r>
      <w:r w:rsidR="006465E2">
        <w:t>inflation-adjusted, per capita growth as a measure for the “state of the economy”, a departure from previous methodologies that had focused on the use of unemployment as a predictor</w:t>
      </w:r>
      <w:r w:rsidR="0016554F">
        <w:t xml:space="preserve">.  </w:t>
      </w:r>
      <w:r w:rsidR="00236875">
        <w:t xml:space="preserve">The conclusion presents a strong argument for </w:t>
      </w:r>
      <w:r w:rsidR="004B746B">
        <w:t xml:space="preserve">the </w:t>
      </w:r>
      <w:r w:rsidR="00236875">
        <w:t>price level dependent economic measures being a stronger predictor for crime than unemployment.</w:t>
      </w:r>
      <w:r w:rsidR="008209FE">
        <w:t xml:space="preserve">  They also explain that a worsening economy will struggle to support effective social infrastructure and law enforcement, thus creating inequality and further motivation for criminal activities.</w:t>
      </w:r>
    </w:p>
    <w:p w14:paraId="6A75B20A" w14:textId="68C71DD0" w:rsidR="006B0246" w:rsidRDefault="00340600" w:rsidP="006B0246">
      <w:pPr>
        <w:pStyle w:val="BodyText"/>
        <w:ind w:firstLine="720"/>
      </w:pPr>
      <w:r>
        <w:t xml:space="preserve">The 1999 paper on “Consumer </w:t>
      </w:r>
      <w:r w:rsidR="0016554F">
        <w:t>Misbehavior</w:t>
      </w:r>
      <w:r>
        <w:t xml:space="preserve">” which models the behavior of consumers who decide to purchase illicit goods, </w:t>
      </w:r>
      <w:r w:rsidR="00451080">
        <w:t xml:space="preserve">identifies price as a significant predictor for willingness to buy.  </w:t>
      </w:r>
      <w:r w:rsidR="00451080">
        <w:fldChar w:fldCharType="begin"/>
      </w:r>
      <w:r w:rsidR="00451080">
        <w:rPr>
          <w:rFonts w:hint="eastAsia"/>
        </w:rPr>
        <w:instrText xml:space="preserve"> ADDIN ZOTERO_ITEM CSL_CITATION {"citationID":"ofe95Be8","properties":{"formattedCitation":"(Albers\\uc0\\u8208{}Miller, 1999)","plainCitation":"(Albers</w:instrText>
      </w:r>
      <w:r w:rsidR="00451080">
        <w:rPr>
          <w:rFonts w:hint="eastAsia"/>
        </w:rPr>
        <w:instrText>‐</w:instrText>
      </w:r>
      <w:r w:rsidR="00451080">
        <w:rPr>
          <w:rFonts w:hint="eastAsia"/>
        </w:rPr>
        <w:instrText>Miller, 1999)","noteIndex":0},"citationItems":[{"id":90,"uris":["http://zotero.org/users/local/YO6H6hZ</w:instrText>
      </w:r>
      <w:r w:rsidR="00451080">
        <w:instrText>o/items/J5WUS4XP"],"itemData":{"id":90,"type":"article-journal","abstract":"Trade in contraband amounts to billions of dollars each year, and yet the buyers of these products are still a mystery. The purpose of this study was to model the decision to purc</w:instrText>
      </w:r>
      <w:r w:rsidR="00451080">
        <w:rPr>
          <w:rFonts w:hint="eastAsia"/>
        </w:rPr>
        <w:instrText>hase illicit goods, using four predictor measures: product type, buying situation, perceived criminal risk, and price. Part</w:instrText>
      </w:r>
      <w:r w:rsidR="00451080">
        <w:rPr>
          <w:rFonts w:hint="eastAsia"/>
        </w:rPr>
        <w:instrText>‐</w:instrText>
      </w:r>
      <w:r w:rsidR="00451080">
        <w:rPr>
          <w:rFonts w:hint="eastAsia"/>
        </w:rPr>
        <w:instrText>worth conjoint analysis was used to obtain individual weights of main effects and selected interaction effects on the willingness t</w:instrText>
      </w:r>
      <w:r w:rsidR="00451080">
        <w:instrText>o purchase. Individual respondents evaluated the purchase of illicit goods differently. Cluster analysis was used to segment the respondents. Discriminant analysis was used to assess variable importance. The overall model was shown to be significant. Although the results varied by cluster, the main effects of product type, buying situation and price were all significant predictors of willingness to buy. The interactions of risk with product type and price with product type were also significant predictors for some clusters.","container-title":"Journal of Consumer Marketing","DOI":"10.1108/07363769910271504","ISSN":"0736-3761","issue":"3","note":"publisher: MCB UP Ltd","page":"273-287","source":"Emerald Insight","title":"Consumer misbehavior: why people bu</w:instrText>
      </w:r>
      <w:r w:rsidR="00451080">
        <w:rPr>
          <w:rFonts w:hint="eastAsia"/>
        </w:rPr>
        <w:instrText>y illicit goods","title-short":"Consumer misbehavior","volume":"16","author":[{"family":"Albers</w:instrText>
      </w:r>
      <w:r w:rsidR="00451080">
        <w:rPr>
          <w:rFonts w:hint="eastAsia"/>
        </w:rPr>
        <w:instrText>‐</w:instrText>
      </w:r>
      <w:r w:rsidR="00451080">
        <w:rPr>
          <w:rFonts w:hint="eastAsia"/>
        </w:rPr>
        <w:instrText>Miller","given":"Nancy D."}],"issued":{"date-parts":[["1999",1,1]]}}}],"schema":"https://github.com/citation-style-language/schema/raw/master/csl-citation.json</w:instrText>
      </w:r>
      <w:r w:rsidR="00451080">
        <w:instrText xml:space="preserve">"} </w:instrText>
      </w:r>
      <w:r w:rsidR="00451080">
        <w:fldChar w:fldCharType="separate"/>
      </w:r>
      <w:r w:rsidR="00451080" w:rsidRPr="00451080">
        <w:rPr>
          <w:szCs w:val="24"/>
        </w:rPr>
        <w:t>(Albers‐Miller, 1999)</w:t>
      </w:r>
      <w:r w:rsidR="00451080">
        <w:fldChar w:fldCharType="end"/>
      </w:r>
      <w:r w:rsidR="00451080">
        <w:t>.</w:t>
      </w:r>
      <w:r w:rsidR="00702383">
        <w:t xml:space="preserve">  The resulting increase in demand for cheaper goods following rises in aggregate price should strengthen incentives to obtain such merchandise by illegitimate means. </w:t>
      </w:r>
      <w:r w:rsidR="00BE4C0D">
        <w:t>Therefore,</w:t>
      </w:r>
      <w:r w:rsidR="00702383">
        <w:t xml:space="preserve"> causing a</w:t>
      </w:r>
      <w:r w:rsidR="00BE4C0D">
        <w:t>n</w:t>
      </w:r>
      <w:r w:rsidR="00702383">
        <w:t xml:space="preserve"> increase in acquisitive crimes and associated violent crime that are necessitated by completely unregulated markets.</w:t>
      </w:r>
      <w:r w:rsidR="00BE4C0D">
        <w:t xml:space="preserve">  </w:t>
      </w:r>
      <w:r w:rsidR="00DB0842">
        <w:t>In this realization the report concludes with a rather interesting recommendation, that policy makers should lobby for stricter enforcement of criminal sanctions against consumers to reduce demand side pressure that is apparently a significant driver for profit in those markets.</w:t>
      </w:r>
    </w:p>
    <w:p w14:paraId="39CFAFD2" w14:textId="2BC879C0" w:rsidR="005A64B6" w:rsidRDefault="005A64B6" w:rsidP="005A64B6">
      <w:pPr>
        <w:pStyle w:val="Heading2"/>
      </w:pPr>
      <w:r>
        <w:t>The Unemployment Obsession</w:t>
      </w:r>
    </w:p>
    <w:p w14:paraId="7A1B31AC" w14:textId="5B0CDC70" w:rsidR="00516C7C" w:rsidRDefault="00BF7781" w:rsidP="00A90068">
      <w:pPr>
        <w:jc w:val="both"/>
      </w:pPr>
      <w:r>
        <w:t>Since Fleisher’s seminal work</w:t>
      </w:r>
      <w:r w:rsidR="00E20822">
        <w:t xml:space="preserve"> in 196</w:t>
      </w:r>
      <w:r w:rsidR="00C7232D">
        <w:t xml:space="preserve">3 uncovering the relationship between juvenile delinquency and </w:t>
      </w:r>
      <w:proofErr w:type="spellStart"/>
      <w:r w:rsidR="002C6855">
        <w:t>labour</w:t>
      </w:r>
      <w:proofErr w:type="spellEnd"/>
      <w:r w:rsidR="00C7232D">
        <w:t xml:space="preserve"> market conditions, much of the research on </w:t>
      </w:r>
      <w:r w:rsidR="00516C7C">
        <w:t>crime has focused on unemployment.  For some reasons</w:t>
      </w:r>
      <w:r w:rsidR="00012266">
        <w:t>, the most significant being recent relative price stability</w:t>
      </w:r>
      <w:r w:rsidR="00516C7C">
        <w:t>, inflation has</w:t>
      </w:r>
      <w:r w:rsidR="002C6855">
        <w:t xml:space="preserve"> largely</w:t>
      </w:r>
      <w:r w:rsidR="00516C7C">
        <w:t xml:space="preserve"> been overlooked as a measure that could incentivize the criminal choice.</w:t>
      </w:r>
    </w:p>
    <w:p w14:paraId="0B690D9B" w14:textId="60ACF5CE" w:rsidR="00790715" w:rsidRDefault="002128C4" w:rsidP="00A90068">
      <w:pPr>
        <w:jc w:val="both"/>
      </w:pPr>
      <w:r>
        <w:lastRenderedPageBreak/>
        <w:t xml:space="preserve">The </w:t>
      </w:r>
      <w:r w:rsidR="007B2DCE">
        <w:t xml:space="preserve">1987 review of literature </w:t>
      </w:r>
      <w:r w:rsidR="007B2DCE">
        <w:fldChar w:fldCharType="begin"/>
      </w:r>
      <w:r w:rsidR="00964D3F">
        <w:instrText xml:space="preserve"> ADDIN ZOTERO_ITEM CSL_CITATION {"citationID":"moPxmnIh","properties":{"formattedCitation":"(Chiricos, 1987)","plainCitation":"(Chiricos, 1987)","noteIndex":0},"citationItems":[{"id":144,"uris":["http://zotero.org/users/local/YO6H6hZo/items/L7EB6J4V"],"itemData":{"id":144,"type":"document","abstract":"The unemployment/crime rate relationship (U-C) has been described recently as \"inconsistent, \" \"insignificant,\" and \"weak. \" Prior assessments of the U-C relationship have used no more than 18 U-C studies, and no more than 7 with 1970s data. In this paper, I review the findings of 63 U-C studies, 40 of which involve data from the 1970s when unemployment rose dramatically. My analysis shows the conditional nature of the U-C relationship. Property crimes, 1970s data, and sub-national levels of aggregation produce consistently positive and frequently significant U-C results. I discuss the implications of these results and argue that it is premature to abandon \"this now well-plowed terrain \" and suggest potentially fruitful paths for future studies of the U-C relationship. In 1969, civilian unemployment reached a fifteen year low of 3.5 percent. Then, three consecutive recessions pushed unemployment to progressively higher levels in 1971 (5.9 per-cent), 1975 (8.5 percent) and 1982 (9.7 percent).1 By the spring of 1982, unemployment topped 11 percent in six states.2 Hardest hit were teenagers, young adults, minorities, and blue-collar workers. For example, unemployment during 1982 reached 14 percent for 20-24 year old adults, 18 percent for construction workers, 28 percent for auto workers, and 42 percent for black teenagers. By the spring of 1982, fears of economic depression were openly discussed in the national media (Newsweek, 1982; New York Times, 1982; Time, 1982). Even as unemployment climbed to levels unmatched in 40 years, the significance of this trend was being discounted in a variety of ways. For example, government economists peri-odically redefined the concept of \"full employment \" to include progressively higher levels of unemployment (Harrington, 1980). Some argued that the \"new unemployment \" was less harmful because it increasingly involved women, teenagers, and voluntary job leavers","publisher":"Oxford University Press","source":"CiteSeer","title":"Rates of Crime and Unemployment: An Analysis of Aggregate Research Evidence*","title-short":"Rates of Crime and Unemployment","URL":"https://citeseerx.ist.psu.edu/viewdoc/download?doi=10.1.1.962.8751&amp;rep=rep1&amp;type=pdf","author":[{"family":"Chiricos","given":"Theodore"}],"issued":{"date-parts":[["1987"]]}}}],"schema":"https://github.com/citation-style-language/schema/raw/master/csl-citation.json"} </w:instrText>
      </w:r>
      <w:r w:rsidR="007B2DCE">
        <w:fldChar w:fldCharType="separate"/>
      </w:r>
      <w:r w:rsidR="007B2DCE" w:rsidRPr="007B2DCE">
        <w:t>(</w:t>
      </w:r>
      <w:proofErr w:type="spellStart"/>
      <w:r w:rsidR="007B2DCE" w:rsidRPr="007B2DCE">
        <w:t>Chiricos</w:t>
      </w:r>
      <w:proofErr w:type="spellEnd"/>
      <w:r w:rsidR="007B2DCE" w:rsidRPr="007B2DCE">
        <w:t>, 1987)</w:t>
      </w:r>
      <w:r w:rsidR="007B2DCE">
        <w:fldChar w:fldCharType="end"/>
      </w:r>
      <w:r w:rsidR="007B2DCE">
        <w:t xml:space="preserve"> </w:t>
      </w:r>
      <w:r w:rsidR="002C6855">
        <w:t>discussed</w:t>
      </w:r>
      <w:r w:rsidR="00222AD4">
        <w:t xml:space="preserve"> </w:t>
      </w:r>
      <w:r w:rsidR="002C6855">
        <w:t>the existence of</w:t>
      </w:r>
      <w:r w:rsidR="007B2DCE">
        <w:t xml:space="preserve"> a time dependent component of the unemployment-crime</w:t>
      </w:r>
      <w:r w:rsidR="00EF69A4">
        <w:t xml:space="preserve"> (U-C)</w:t>
      </w:r>
      <w:r w:rsidR="007B2DCE">
        <w:t xml:space="preserve"> relationship.  </w:t>
      </w:r>
      <w:r w:rsidR="00347A8F">
        <w:t xml:space="preserve">Having aggregated the results of 63 studies, </w:t>
      </w:r>
      <w:proofErr w:type="spellStart"/>
      <w:r w:rsidR="00347A8F">
        <w:t>Chiricos</w:t>
      </w:r>
      <w:proofErr w:type="spellEnd"/>
      <w:r w:rsidR="00347A8F">
        <w:t xml:space="preserve"> was able to uncover a distinct change in the proposed correlation between the variable after 1970.  His discussion does not go as far as to undermine the consensus but highlight</w:t>
      </w:r>
      <w:r w:rsidR="00257068">
        <w:t xml:space="preserve">ing </w:t>
      </w:r>
      <w:r w:rsidR="00347A8F">
        <w:t xml:space="preserve">how little was </w:t>
      </w:r>
      <w:r w:rsidR="002C6855">
        <w:t>known</w:t>
      </w:r>
      <w:r w:rsidR="00347A8F">
        <w:t xml:space="preserve"> about the link between these specific variables.</w:t>
      </w:r>
      <w:r w:rsidR="00257068">
        <w:t xml:space="preserve">  Arvanites and </w:t>
      </w:r>
      <w:proofErr w:type="spellStart"/>
      <w:r w:rsidR="00257068">
        <w:t>Defina</w:t>
      </w:r>
      <w:proofErr w:type="spellEnd"/>
      <w:r w:rsidR="00257068">
        <w:t xml:space="preserve"> (2006) explains that while unemployment may provide a metric upon which to evaluate the performance of specific social and economic policies.  It’s value does not capture the various causes of </w:t>
      </w:r>
      <w:r w:rsidR="00A62B5D">
        <w:t xml:space="preserve">social strain </w:t>
      </w:r>
      <w:r w:rsidR="00A62B5D">
        <w:fldChar w:fldCharType="begin"/>
      </w:r>
      <w:r w:rsidR="00A62B5D">
        <w:instrText xml:space="preserve"> ADDIN ZOTERO_ITEM CSL_CITATION {"citationID":"spU1C7uF","properties":{"formattedCitation":"(Arvanites and Defina, 2006)","plainCitation":"(Arvanites and Defina, 2006)","noteIndex":0},"citationItems":[{"id":83,"uris":["http://zotero.org/users/local/YO6H6hZo/items/FMTRQE49"],"itemData":{"id":83,"type":"article-journal","abstract":"This study examines the influence of business cycle fluctuations on street crime in the conceptual framework of Cantor and Land's(1985) seminal work distinguishing between opportunity and motivation effects. The analysis contributes to the literature three ways. First, we use cross-section/time series data, which has several important advantages over simple time-series or cross-section data of previous studies. Second, it introduces a new and broader measure of business cycle conditions, one that more faithfully captures the logic of Cantor and Land's framework than previous measures do. Third, it focuses on the large decline in street crime of the 1990s, a central issue facing criminologists. Statistical models indicate that the strong economy of the 1990s reduced all four index property crimes and robbery by reducing criminal motivation. Business cycle growth produced no significant opportunity effect for any of the crimes studied.","container-title":"Criminology","DOI":"10.1111/j.1745-9125.2006.00045.x","ISSN":"1745-9125","issue":"1","language":"en","note":"_eprint: https://onlinelibrary.wiley.com/doi/pdf/10.1111/j.1745-9125.2006.00045.x","page":"139-164","source":"Wiley Online Library","title":"Business Cycles and Street Crime","volume":"44","author":[{"family":"Arvanites","given":"Thomas M."},{"family":"Defina","given":"Robert H."}],"issued":{"date-parts":[["2006"]]}}}],"schema":"https://github.com/citation-style-language/schema/raw/master/csl-citation.json"} </w:instrText>
      </w:r>
      <w:r w:rsidR="00A62B5D">
        <w:fldChar w:fldCharType="separate"/>
      </w:r>
      <w:r w:rsidR="00A62B5D" w:rsidRPr="00A62B5D">
        <w:t>(Arvanites and Defina, 2006)</w:t>
      </w:r>
      <w:r w:rsidR="00A62B5D">
        <w:fldChar w:fldCharType="end"/>
      </w:r>
      <w:r w:rsidR="0007189A">
        <w:t xml:space="preserve"> which could be caused, for example, by changes in work hours or pay.</w:t>
      </w:r>
    </w:p>
    <w:p w14:paraId="784A77FE" w14:textId="7AAE2BFA" w:rsidR="0007189A" w:rsidRDefault="001F3505" w:rsidP="00A90068">
      <w:pPr>
        <w:jc w:val="both"/>
      </w:pPr>
      <w:r>
        <w:t>The inconsistencies discovered in U-C during studies following 1970 supported the growth in a consensus of doubt in the metric for predicting crime.  Cantor and Land (1985) proposed that the persistence of this finding</w:t>
      </w:r>
      <w:r w:rsidR="00222AD4">
        <w:t>,</w:t>
      </w:r>
      <w:r>
        <w:t xml:space="preserve"> of a weak and often negative U-C relationship</w:t>
      </w:r>
      <w:r w:rsidR="00222AD4">
        <w:t>,</w:t>
      </w:r>
      <w:r>
        <w:t xml:space="preserve"> suggests that this fact, in its </w:t>
      </w:r>
      <w:proofErr w:type="spellStart"/>
      <w:r>
        <w:t>temporalness</w:t>
      </w:r>
      <w:proofErr w:type="spellEnd"/>
      <w:r>
        <w:t xml:space="preserve">, </w:t>
      </w:r>
      <w:r w:rsidR="00222AD4">
        <w:t>should provide considerable context in its exploration</w:t>
      </w:r>
      <w:r>
        <w:t>.</w:t>
      </w:r>
      <w:r w:rsidR="0007189A">
        <w:t xml:space="preserve"> Unemployment as an explanatory variable may perhaps find better place</w:t>
      </w:r>
      <w:r w:rsidR="003A37DE">
        <w:t>, if any within studies focused on quantitative analysis,</w:t>
      </w:r>
      <w:r w:rsidR="0007189A">
        <w:t xml:space="preserve"> within multivariate models.</w:t>
      </w:r>
    </w:p>
    <w:p w14:paraId="5DC6D6F6" w14:textId="77777777" w:rsidR="00263311" w:rsidRDefault="0007189A" w:rsidP="00A90068">
      <w:pPr>
        <w:jc w:val="both"/>
      </w:pPr>
      <w:r>
        <w:t xml:space="preserve">Cantor and Land </w:t>
      </w:r>
      <w:r w:rsidR="00C64801">
        <w:t xml:space="preserve">(1985) theorized a more complex U-C relationship in that unemployment could </w:t>
      </w:r>
      <w:r w:rsidR="003A37DE">
        <w:t>elicit</w:t>
      </w:r>
      <w:r w:rsidR="00C64801">
        <w:t xml:space="preserve"> a positive or negative impact </w:t>
      </w:r>
      <w:r w:rsidR="008801F5">
        <w:t xml:space="preserve">on crime rates, by simultaneously increasing the motivation and decreasing the opportunity for criminal activity.  </w:t>
      </w:r>
    </w:p>
    <w:p w14:paraId="5287BD37" w14:textId="30319547" w:rsidR="00263311" w:rsidRDefault="008801F5" w:rsidP="00A90068">
      <w:pPr>
        <w:jc w:val="both"/>
      </w:pPr>
      <w:r>
        <w:t>The motivation effect</w:t>
      </w:r>
      <w:r w:rsidR="009819BA">
        <w:t xml:space="preserve"> theory</w:t>
      </w:r>
      <w:r>
        <w:t xml:space="preserve"> not only supports the logical theory </w:t>
      </w:r>
      <w:r w:rsidR="009819BA">
        <w:t xml:space="preserve">that economic hardship creates a platform for crime but is also mirrored by neo-classical models of criminal choice </w:t>
      </w:r>
      <w:r w:rsidR="009819BA">
        <w:fldChar w:fldCharType="begin"/>
      </w:r>
      <w:r w:rsidR="009819BA">
        <w:instrText xml:space="preserve"> ADDIN ZOTERO_ITEM CSL_CITATION {"citationID":"I9Z1J9pm","properties":{"formattedCitation":"(Becker, 1974)","plainCitation":"(Becker, 1974)","noteIndex":0},"citationItems":[{"id":59,"uris":["http://zotero.org/users/local/YO6H6hZo/items/HIW6CMYZ"],"itemData":{"id":59,"type":"chapter","container-title":"Essays in the Economics of Crime and Punishment","page":"1-54","publisher":"NBER","source":"National Bureau of Economic Research","title":"Crime and Punishment: An Economic Approach","title-short":"Crime and Punishment","URL":"https://www.nber.org/books-and-chapters/essays-economics-crime-and-punishment/crime-and-punishment-economic-approach","author":[{"family":"Becker","given":"Gary S."}],"accessed":{"date-parts":[["2022",4,11]]},"issued":{"date-parts":[["1974"]]}}}],"schema":"https://github.com/citation-style-language/schema/raw/master/csl-citation.json"} </w:instrText>
      </w:r>
      <w:r w:rsidR="009819BA">
        <w:fldChar w:fldCharType="separate"/>
      </w:r>
      <w:r w:rsidR="009819BA" w:rsidRPr="009819BA">
        <w:t>(Becker, 1974)</w:t>
      </w:r>
      <w:r w:rsidR="009819BA">
        <w:fldChar w:fldCharType="end"/>
      </w:r>
      <w:r w:rsidR="00841367">
        <w:t>,</w:t>
      </w:r>
      <w:r w:rsidR="009819BA">
        <w:t xml:space="preserve"> neo-Marxist models of economic constraint </w:t>
      </w:r>
      <w:r w:rsidR="009819BA">
        <w:fldChar w:fldCharType="begin"/>
      </w:r>
      <w:r w:rsidR="009819BA">
        <w:instrText xml:space="preserve"> ADDIN ZOTERO_ITEM CSL_CITATION {"citationID":"vmTDql4g","properties":{"formattedCitation":"(Gordon, 1973)","plainCitation":"(Gordon, 1973)","noteIndex":0},"citationItems":[{"id":149,"uris":["http://zotero.org/users/local/YO6H6hZo/items/YH8HKB3P"],"itemData":{"id":149,"type":"article-journal","abstract":"Conventional public analyses of crime, both conservative and liberal, begin with the assumption that crimes are committed by irrational individuals who constitute a threat to a rational social order. Sharing that initial assumption, conservatives and liberals diverge in their policy approaches to deterring criminality. Some recent orthodox economic analyses of crime, having begun to re lax the assumption, view crime as a process of rational choice by criminals; they offer the possibility of \"optimal\" crime preven tion policies through the application of conventional economic models.","container-title":"Crime &amp; Delinquency","DOI":"10.1177/001112877301900204","ISSN":"0011-1287","issue":"2","journalAbbreviation":"Crime &amp; Delinquency","language":"en","note":"publisher: SAGE Publications Inc","page":"163-186","source":"SAGE Journals","title":"Capitalism, Class, and Crime in America","volume":"19","author":[{"family":"Gordon","given":"David M."}],"issued":{"date-parts":[["1973",4,1]]}}}],"schema":"https://github.com/citation-style-language/schema/raw/master/csl-citation.json"} </w:instrText>
      </w:r>
      <w:r w:rsidR="009819BA">
        <w:fldChar w:fldCharType="separate"/>
      </w:r>
      <w:r w:rsidR="009819BA" w:rsidRPr="009819BA">
        <w:t>(Gordon, 1973)</w:t>
      </w:r>
      <w:r w:rsidR="009819BA">
        <w:fldChar w:fldCharType="end"/>
      </w:r>
      <w:r w:rsidR="00841367">
        <w:t xml:space="preserve"> and even has roots in theories of strain </w:t>
      </w:r>
      <w:r w:rsidR="003A37DE">
        <w:fldChar w:fldCharType="begin"/>
      </w:r>
      <w:r w:rsidR="003A37DE">
        <w:instrText xml:space="preserve"> ADDIN ZOTERO_ITEM CSL_CITATION {"citationID":"mgU0lS6N","properties":{"formattedCitation":"(Merton, 1938)","plainCitation":"(Merton, 1938)","noteIndex":0},"citationItems":[{"id":152,"uris":["http://zotero.org/users/local/YO6H6hZo/items/TQ3Y4SJ2"],"itemData":{"id":152,"type":"article-journal","container-title":"American Sociological Review","DOI":"10.2307/2084686","ISSN":"0003-1224","issue":"5","note":"publisher: [American Sociological Association, Sage Publications, Inc.]","page":"672-682","source":"JSTOR","title":"Social Structure and Anomie","volume":"3","author":[{"family":"Merton","given":"Robert K."}],"issued":{"date-parts":[["1938"]]}}}],"schema":"https://github.com/citation-style-language/schema/raw/master/csl-citation.json"} </w:instrText>
      </w:r>
      <w:r w:rsidR="003A37DE">
        <w:fldChar w:fldCharType="separate"/>
      </w:r>
      <w:r w:rsidR="003A37DE" w:rsidRPr="003A37DE">
        <w:t>(Merton, 1938)</w:t>
      </w:r>
      <w:r w:rsidR="003A37DE">
        <w:fldChar w:fldCharType="end"/>
      </w:r>
      <w:r w:rsidR="003A37DE">
        <w:t>.</w:t>
      </w:r>
    </w:p>
    <w:p w14:paraId="17FD59BE" w14:textId="1C66551D" w:rsidR="00263311" w:rsidRDefault="00263311" w:rsidP="00A90068">
      <w:pPr>
        <w:jc w:val="both"/>
      </w:pPr>
      <w:r>
        <w:t xml:space="preserve">The opportunity effect theory </w:t>
      </w:r>
      <w:r w:rsidR="00D1323C">
        <w:t>suggests that a rise of unemployment would mean fewer economic goods</w:t>
      </w:r>
      <w:r w:rsidR="002C6855">
        <w:t>,</w:t>
      </w:r>
      <w:r w:rsidR="000E4DC3">
        <w:t xml:space="preserve"> or</w:t>
      </w:r>
      <w:r w:rsidR="00FD45B1">
        <w:t xml:space="preserve"> those </w:t>
      </w:r>
      <w:r w:rsidR="00D73B2B">
        <w:t xml:space="preserve">prone and unfortunate </w:t>
      </w:r>
      <w:r w:rsidR="00FD45B1">
        <w:t>enough to be target</w:t>
      </w:r>
      <w:r w:rsidR="002C6855">
        <w:t>ed</w:t>
      </w:r>
      <w:r w:rsidR="00FD45B1">
        <w:t xml:space="preserve"> </w:t>
      </w:r>
      <w:r w:rsidR="00D73B2B">
        <w:t>by criminals</w:t>
      </w:r>
      <w:r w:rsidR="000E4DC3">
        <w:t>.  By removing individuals from employment outside the home an increase in the rate of unemployment may see homes and persons with a reduced risk to victimization</w:t>
      </w:r>
      <w:r w:rsidR="002C6855">
        <w:t xml:space="preserve">, with a higher concentration of the population remaining </w:t>
      </w:r>
      <w:r w:rsidR="00A90068">
        <w:t xml:space="preserve">in residential properties or local </w:t>
      </w:r>
      <w:r w:rsidR="00BE50F8">
        <w:t>neighborhoods</w:t>
      </w:r>
      <w:r w:rsidR="000E4DC3">
        <w:t xml:space="preserve">.  </w:t>
      </w:r>
      <w:r w:rsidR="00AB7069">
        <w:t xml:space="preserve">In addition, as an indicator whose fluctuations coincide with business cycles, higher unemployment generally indicates a fall in consumption, the lower rate of circulation of people and property that may accompany a rising unemployment rate </w:t>
      </w:r>
      <w:r w:rsidR="00A43F64">
        <w:t>could</w:t>
      </w:r>
      <w:r w:rsidR="00AB7069">
        <w:t xml:space="preserve"> reinforce this opportunity effect and reduce crime in the short term. </w:t>
      </w:r>
    </w:p>
    <w:p w14:paraId="24230A8F" w14:textId="5E20163C" w:rsidR="00A90068" w:rsidRDefault="00263311" w:rsidP="00A90068">
      <w:pPr>
        <w:jc w:val="both"/>
      </w:pPr>
      <w:r>
        <w:t>Cantor and Land</w:t>
      </w:r>
      <w:r w:rsidR="00B424D8">
        <w:t>’s results indicated a small, but significant, total effect of the unemployment rate on acquisitive crimes (burglary, larceny-</w:t>
      </w:r>
      <w:r w:rsidR="000067FD">
        <w:t>theft,</w:t>
      </w:r>
      <w:r w:rsidR="00B424D8">
        <w:t xml:space="preserve"> and robbery).  The apparent absence of influence upon violent crimes was not particularly surprising </w:t>
      </w:r>
      <w:r w:rsidR="000067FD">
        <w:t>considering</w:t>
      </w:r>
      <w:r w:rsidR="00B424D8">
        <w:t xml:space="preserve"> the highly individualistic factors associated with those actions.</w:t>
      </w:r>
      <w:r w:rsidR="007B2FBF">
        <w:t xml:space="preserve">  Their results also produce little evidence of theorized “lagged” motivation effect but did not lead to a conclusion that eliminated the possibility of the effect existing. Rather, they concluded that for the post-World War II </w:t>
      </w:r>
      <w:r w:rsidR="007B2FBF">
        <w:t xml:space="preserve">US, the net result of a change in unemployment would produce a dominant opportunity effect </w:t>
      </w:r>
      <w:r w:rsidR="000067FD">
        <w:t>leading to a negative response in crime.</w:t>
      </w:r>
    </w:p>
    <w:p w14:paraId="1001D33E" w14:textId="3EB32D4B" w:rsidR="00A8011F" w:rsidRDefault="00A8011F" w:rsidP="00A90068">
      <w:pPr>
        <w:jc w:val="both"/>
      </w:pPr>
      <w:r>
        <w:t xml:space="preserve">The variance of opinion presented in studies through the 70s and 80s necessitates further study to truly understand the “state of economy”-crime relationship. Geographical scope and </w:t>
      </w:r>
      <w:r w:rsidR="00000C62">
        <w:t>time</w:t>
      </w:r>
      <w:r>
        <w:t xml:space="preserve"> seem to be significant contributing factors when assessing U-C.  There’s little one can be sure about concluding when considering the aggregate discussion of the literature except, within a national context, unemployment alone does </w:t>
      </w:r>
      <w:r w:rsidR="00000C62">
        <w:t>not abstract enough of the economic condition and its effect on individuals lives such that would make it an effective predictor for crime.</w:t>
      </w:r>
    </w:p>
    <w:p w14:paraId="1C63EAB1" w14:textId="15E535B0" w:rsidR="00A43F64" w:rsidRDefault="00A43F64" w:rsidP="00A43F64">
      <w:pPr>
        <w:pStyle w:val="Heading1"/>
      </w:pPr>
      <w:r>
        <w:t>Hypothesis</w:t>
      </w:r>
    </w:p>
    <w:p w14:paraId="7ADD71CE" w14:textId="4131D859" w:rsidR="00A43F64" w:rsidRDefault="00A43F64" w:rsidP="00A90068">
      <w:pPr>
        <w:jc w:val="both"/>
      </w:pPr>
      <w:r>
        <w:t>Despite the research regarding these predictors of crime being so apparently contradictory in many cases.  They do provide some useful insight in that the relationship of crime to these aggregate metrics is far more complex then would allow one to describe a simple sign-wise relationship</w:t>
      </w:r>
      <w:r w:rsidR="00631529">
        <w:t>.  It is apparent that the modelling of crime would be better performed by some multivariate model that could better capture the state of the economy and therefore provide a better model for the quality of life.</w:t>
      </w:r>
      <w:r w:rsidR="009B2F55">
        <w:t xml:space="preserve">  Even so, in the </w:t>
      </w:r>
      <w:r w:rsidR="00A866F4">
        <w:t>instance that a perfect multivariate model could be created, we would expect its predictive strength to correlate with a time dependent component as the nature of society evolves with changing lifestyle, technology and consumer habits.</w:t>
      </w:r>
    </w:p>
    <w:p w14:paraId="65A8C4CD" w14:textId="7D4AC26D" w:rsidR="00631529" w:rsidRDefault="00631529" w:rsidP="00A90068">
      <w:pPr>
        <w:jc w:val="both"/>
      </w:pPr>
      <w:r>
        <w:t xml:space="preserve">Regardless the computation of the relationship between crime and these economic measures, even in its transience, can provide insight into the expected response of a population from changes in policy.  This will surely provide some predictive insight for consideration when constructing </w:t>
      </w:r>
      <w:r w:rsidR="00A866F4">
        <w:t>policy proposals and when measuring their success after implementation.</w:t>
      </w:r>
      <w:r>
        <w:t xml:space="preserve">  </w:t>
      </w:r>
    </w:p>
    <w:p w14:paraId="36C9D6A5" w14:textId="0947BF77" w:rsidR="009B2F55" w:rsidRDefault="009B2F55" w:rsidP="00A90068">
      <w:pPr>
        <w:jc w:val="both"/>
      </w:pPr>
      <w:r>
        <w:t>Having considered the existing research it is hypothesized that increasing price level will yield a positive response from acquisitive crimes. However, due to improvements in crime prevention policies and infrastructure, the most significant being law enforcement, surveillance and improving social insurances, we would expect this response to be considerably less severe th</w:t>
      </w:r>
      <w:r w:rsidR="00A866F4">
        <w:t>a</w:t>
      </w:r>
      <w:r>
        <w:t>n any of those documented by Fisher in his 1996 works.</w:t>
      </w:r>
    </w:p>
    <w:p w14:paraId="216966B1" w14:textId="1D83B522" w:rsidR="004467AA" w:rsidRDefault="00EC3F9D" w:rsidP="004467AA">
      <w:pPr>
        <w:pStyle w:val="Heading1"/>
      </w:pPr>
      <w:r>
        <w:t xml:space="preserve">Data and </w:t>
      </w:r>
      <w:r w:rsidR="004467AA">
        <w:t>Method</w:t>
      </w:r>
    </w:p>
    <w:p w14:paraId="55C6130F" w14:textId="245B04C9" w:rsidR="00110E5E" w:rsidRDefault="00EC3F9D" w:rsidP="00110E5E">
      <w:pPr>
        <w:jc w:val="both"/>
      </w:pPr>
      <w:r>
        <w:t xml:space="preserve">Models were created for both violent and acquisitive crimes using </w:t>
      </w:r>
      <w:r w:rsidR="00964D3F">
        <w:t>the crown prosecution service’s defined “violent crimes”</w:t>
      </w:r>
      <w:r>
        <w:t xml:space="preserve"> and burglary as index measures for each </w:t>
      </w:r>
      <w:r w:rsidR="00110E5E">
        <w:t>respectively</w:t>
      </w:r>
      <w:r>
        <w:t>.</w:t>
      </w:r>
      <w:r w:rsidR="00110E5E">
        <w:t xml:space="preserve">  Granger causality testing was then performed using the </w:t>
      </w:r>
      <w:proofErr w:type="spellStart"/>
      <w:r w:rsidR="00110E5E">
        <w:t>statsmodel</w:t>
      </w:r>
      <w:proofErr w:type="spellEnd"/>
      <w:r w:rsidR="00110E5E">
        <w:t xml:space="preserve"> package in python. The test would produce values to accept or reject the hypothesis that a change in the explanatory variable would granger cause a response in the target.  The input variables would be given by the </w:t>
      </w:r>
      <w:r w:rsidR="00B516EF">
        <w:t>inflation rate.</w:t>
      </w:r>
    </w:p>
    <w:p w14:paraId="2088F201" w14:textId="0DC031AB" w:rsidR="00A866F4" w:rsidRDefault="00964D3F" w:rsidP="00A90068">
      <w:pPr>
        <w:jc w:val="both"/>
      </w:pPr>
      <w:r>
        <w:t xml:space="preserve">The data was collected from an archive that appears on ukcrimestats.com </w:t>
      </w:r>
      <w:r>
        <w:fldChar w:fldCharType="begin"/>
      </w:r>
      <w:r>
        <w:instrText xml:space="preserve"> ADDIN ZOTERO_ITEM CSL_CITATION {"citationID":"odGGTDAS","properties":{"formattedCitation":"(Lewis, n.d.)","plainCitation":"(Lewis, n.d.)","noteIndex":0},"citationItems":[{"id":156,"uris":["http://zotero.org/users/local/YO6H6hZo/items/8F2NI2SM"],"itemData":{"id":156,"type":"webpage","container-title":"UK Crime Stats","title":"UKCrimeStats.com","URL":"https://www.ukcrimestats.com/National_Picture/","author":[{"family":"Lewis","given":"Dan"}],"accessed":{"date-parts":[["2022",9,1]]}}}],"schema":"https://github.com/citation-style-language/schema/raw/master/csl-citation.json"} </w:instrText>
      </w:r>
      <w:r>
        <w:fldChar w:fldCharType="separate"/>
      </w:r>
      <w:r w:rsidRPr="00964D3F">
        <w:t>(Lewis, n.d.)</w:t>
      </w:r>
      <w:r>
        <w:fldChar w:fldCharType="end"/>
      </w:r>
      <w:r>
        <w:t xml:space="preserve"> which aggregates data collected </w:t>
      </w:r>
      <w:r>
        <w:lastRenderedPageBreak/>
        <w:t>from the UK police’s open data API.  The data is, unfavorably, a record of police recorded crime as data from the ONS’s TCSEW is particularly difficult to source</w:t>
      </w:r>
      <w:r w:rsidR="00FB1418">
        <w:t>.</w:t>
      </w:r>
    </w:p>
    <w:p w14:paraId="213E361A" w14:textId="17E2FF38" w:rsidR="00FB1418" w:rsidRDefault="00FB1418" w:rsidP="00A90068">
      <w:pPr>
        <w:jc w:val="both"/>
      </w:pPr>
      <w:r>
        <w:t>The series for violent crimes accounts for murder and manslaughter, throwing of corrosive substances, assault, gun and knife crime, and robbery as defined by the crown prosecution service.  Burglary is the illegal entering of a property for the purpose of theft of goods.</w:t>
      </w:r>
      <w:r w:rsidR="00883636">
        <w:t xml:space="preserve">  Values were divided by the millions of national </w:t>
      </w:r>
      <w:proofErr w:type="gramStart"/>
      <w:r w:rsidR="00883636">
        <w:t>residence</w:t>
      </w:r>
      <w:proofErr w:type="gramEnd"/>
      <w:r w:rsidR="00883636">
        <w:t xml:space="preserve"> to reduce the effect of a changing population and differenced to obtain the change month on month as opposed to absolute values.</w:t>
      </w:r>
    </w:p>
    <w:p w14:paraId="35F1F576" w14:textId="36596B77" w:rsidR="00FB1418" w:rsidRDefault="00B516EF" w:rsidP="00A90068">
      <w:pPr>
        <w:jc w:val="both"/>
      </w:pPr>
      <w:r>
        <w:t xml:space="preserve">Data values for inflation </w:t>
      </w:r>
      <w:r w:rsidR="00883636">
        <w:t>was</w:t>
      </w:r>
      <w:r>
        <w:t xml:space="preserve"> taken from the ONS’s open data portal</w:t>
      </w:r>
      <w:r w:rsidR="00883636">
        <w:t xml:space="preserve">.  CPIH values were used as they provide the most holistic description of living costs. </w:t>
      </w:r>
    </w:p>
    <w:p w14:paraId="5CAC3CD0" w14:textId="01DC0028" w:rsidR="009F5CC1" w:rsidRDefault="009F5CC1" w:rsidP="009F5CC1">
      <w:pPr>
        <w:pStyle w:val="Heading1"/>
      </w:pPr>
      <w:r>
        <w:t>Results</w:t>
      </w:r>
    </w:p>
    <w:p w14:paraId="6FFEACD6" w14:textId="77777777" w:rsidR="009F5CC1" w:rsidRPr="009F5CC1" w:rsidRDefault="009F5CC1" w:rsidP="009F5CC1"/>
    <w:p w14:paraId="1F7C82E8" w14:textId="77777777" w:rsidR="009F5CC1" w:rsidRDefault="009F5CC1" w:rsidP="00A90068">
      <w:pPr>
        <w:jc w:val="both"/>
      </w:pPr>
    </w:p>
    <w:p w14:paraId="30C80C14" w14:textId="77777777" w:rsidR="00A43F64" w:rsidRDefault="00A43F64" w:rsidP="00A90068">
      <w:pPr>
        <w:jc w:val="both"/>
      </w:pPr>
    </w:p>
    <w:p w14:paraId="7F8C017A" w14:textId="77777777" w:rsidR="002C6855" w:rsidRDefault="002C6855" w:rsidP="0007189A">
      <w:pPr>
        <w:pStyle w:val="BodyText"/>
        <w:ind w:firstLine="720"/>
      </w:pPr>
    </w:p>
    <w:p w14:paraId="19B78871" w14:textId="6DEFC472" w:rsidR="00372711" w:rsidRDefault="00372711" w:rsidP="00372711">
      <w:pPr>
        <w:pStyle w:val="Heading1"/>
      </w:pPr>
      <w:r>
        <w:t>References</w:t>
      </w:r>
    </w:p>
    <w:p w14:paraId="6BA2FD0C" w14:textId="77777777" w:rsidR="00964D3F" w:rsidRPr="00964D3F" w:rsidRDefault="00451080" w:rsidP="00964D3F">
      <w:pPr>
        <w:pStyle w:val="Bibliography"/>
      </w:pPr>
      <w:r>
        <w:fldChar w:fldCharType="begin"/>
      </w:r>
      <w:r w:rsidR="00964D3F">
        <w:instrText xml:space="preserve"> ADDIN ZOTERO_BIBL {"uncited":[],"omitted":[],"custom":[]} CSL_BIBLIOGRAPHY </w:instrText>
      </w:r>
      <w:r>
        <w:fldChar w:fldCharType="separate"/>
      </w:r>
      <w:r w:rsidR="00964D3F" w:rsidRPr="00964D3F">
        <w:t xml:space="preserve">Albers‐Miller, N.D. (1999) Consumer misbehavior: why people buy illicit goods. </w:t>
      </w:r>
      <w:r w:rsidR="00964D3F" w:rsidRPr="00964D3F">
        <w:rPr>
          <w:i/>
          <w:iCs/>
        </w:rPr>
        <w:t>Journal of Consumer Marketing</w:t>
      </w:r>
      <w:r w:rsidR="00964D3F" w:rsidRPr="00964D3F">
        <w:t>. [online].  16 (3), MCB UP Ltd, pp.273–287.</w:t>
      </w:r>
    </w:p>
    <w:p w14:paraId="66D2B110" w14:textId="77777777" w:rsidR="00964D3F" w:rsidRPr="00964D3F" w:rsidRDefault="00964D3F" w:rsidP="00964D3F">
      <w:pPr>
        <w:pStyle w:val="Bibliography"/>
      </w:pPr>
      <w:r w:rsidRPr="00964D3F">
        <w:t xml:space="preserve">Arvanites, T.M. and </w:t>
      </w:r>
      <w:proofErr w:type="spellStart"/>
      <w:r w:rsidRPr="00964D3F">
        <w:t>Defina</w:t>
      </w:r>
      <w:proofErr w:type="spellEnd"/>
      <w:r w:rsidRPr="00964D3F">
        <w:t xml:space="preserve">, R.H. (2006) Business Cycles and Street Crime. </w:t>
      </w:r>
      <w:r w:rsidRPr="00964D3F">
        <w:rPr>
          <w:i/>
          <w:iCs/>
        </w:rPr>
        <w:t>Criminology</w:t>
      </w:r>
      <w:r w:rsidRPr="00964D3F">
        <w:t>. [online].  44 (1), pp.139–164.</w:t>
      </w:r>
    </w:p>
    <w:p w14:paraId="3BDFAED2" w14:textId="77777777" w:rsidR="00964D3F" w:rsidRPr="00964D3F" w:rsidRDefault="00964D3F" w:rsidP="00964D3F">
      <w:pPr>
        <w:pStyle w:val="Bibliography"/>
      </w:pPr>
      <w:r w:rsidRPr="00964D3F">
        <w:t xml:space="preserve">Becker, G.S. (1974) Crime and Punishment: An Economic </w:t>
      </w:r>
      <w:proofErr w:type="spellStart"/>
      <w:r w:rsidRPr="00964D3F">
        <w:t>ApproachIn</w:t>
      </w:r>
      <w:proofErr w:type="spellEnd"/>
      <w:r w:rsidRPr="00964D3F">
        <w:t xml:space="preserve">: </w:t>
      </w:r>
      <w:r w:rsidRPr="00964D3F">
        <w:rPr>
          <w:i/>
          <w:iCs/>
        </w:rPr>
        <w:t>Essays in the Economics of Crime and Punishment</w:t>
      </w:r>
      <w:r w:rsidRPr="00964D3F">
        <w:t>. [online].  NBER, 1–54. Available from: https://www.nber.org/books-and-chapters/essays-economics-crime-and-punishment/crime-and-punishment-economic-approach [Accessed 11 April 2022].</w:t>
      </w:r>
    </w:p>
    <w:p w14:paraId="0F42795F" w14:textId="77777777" w:rsidR="00964D3F" w:rsidRPr="00964D3F" w:rsidRDefault="00964D3F" w:rsidP="00964D3F">
      <w:pPr>
        <w:pStyle w:val="Bibliography"/>
      </w:pPr>
      <w:proofErr w:type="spellStart"/>
      <w:r w:rsidRPr="00964D3F">
        <w:t>Chiricos</w:t>
      </w:r>
      <w:proofErr w:type="spellEnd"/>
      <w:r w:rsidRPr="00964D3F">
        <w:t xml:space="preserve">, T. (1987) </w:t>
      </w:r>
      <w:r w:rsidRPr="00964D3F">
        <w:rPr>
          <w:i/>
          <w:iCs/>
        </w:rPr>
        <w:t xml:space="preserve">Rates of Crime and Unemployment: An Analysis of Aggregate Research </w:t>
      </w:r>
      <w:r w:rsidRPr="00964D3F">
        <w:rPr>
          <w:i/>
          <w:iCs/>
        </w:rPr>
        <w:t>Evidence*</w:t>
      </w:r>
      <w:r w:rsidRPr="00964D3F">
        <w:t xml:space="preserve"> [online].  Oxford University Press. Available from: https://citeseerx.ist.psu.edu/viewdoc/download?doi=10.1.1.962.8751&amp;rep=rep1&amp;type=pdf.</w:t>
      </w:r>
    </w:p>
    <w:p w14:paraId="0436E524" w14:textId="77777777" w:rsidR="00964D3F" w:rsidRPr="00964D3F" w:rsidRDefault="00964D3F" w:rsidP="00964D3F">
      <w:pPr>
        <w:pStyle w:val="Bibliography"/>
      </w:pPr>
      <w:r w:rsidRPr="00964D3F">
        <w:rPr>
          <w:i/>
          <w:iCs/>
        </w:rPr>
        <w:t>Consumer price inflation, UK - Office for National Statistics</w:t>
      </w:r>
      <w:r w:rsidRPr="00964D3F">
        <w:t>. (</w:t>
      </w:r>
      <w:proofErr w:type="gramStart"/>
      <w:r w:rsidRPr="00964D3F">
        <w:t>no</w:t>
      </w:r>
      <w:proofErr w:type="gramEnd"/>
      <w:r w:rsidRPr="00964D3F">
        <w:t xml:space="preserve"> date) [online].  Available from: https://www.ons.gov.uk/economy/inflationandpriceindices/bulletins/consumerpriceinflation/may2022#strengths-and-limitations [Accessed 24 July 2022].</w:t>
      </w:r>
    </w:p>
    <w:p w14:paraId="49014F53" w14:textId="77777777" w:rsidR="00964D3F" w:rsidRPr="00964D3F" w:rsidRDefault="00964D3F" w:rsidP="00964D3F">
      <w:pPr>
        <w:pStyle w:val="Bibliography"/>
      </w:pPr>
      <w:r w:rsidRPr="00964D3F">
        <w:t xml:space="preserve">Fischer, D.H. (1996) </w:t>
      </w:r>
      <w:r w:rsidRPr="00964D3F">
        <w:rPr>
          <w:i/>
          <w:iCs/>
        </w:rPr>
        <w:t xml:space="preserve">The Great Wave: Price Revolutions and the </w:t>
      </w:r>
      <w:proofErr w:type="spellStart"/>
      <w:r w:rsidRPr="00964D3F">
        <w:rPr>
          <w:i/>
          <w:iCs/>
        </w:rPr>
        <w:t>Rhythym</w:t>
      </w:r>
      <w:proofErr w:type="spellEnd"/>
      <w:r w:rsidRPr="00964D3F">
        <w:rPr>
          <w:i/>
          <w:iCs/>
        </w:rPr>
        <w:t xml:space="preserve"> of History</w:t>
      </w:r>
      <w:r w:rsidRPr="00964D3F">
        <w:t xml:space="preserve"> 1st edition. New York, Oxford University Press.</w:t>
      </w:r>
    </w:p>
    <w:p w14:paraId="524CF44D" w14:textId="77777777" w:rsidR="00964D3F" w:rsidRPr="00964D3F" w:rsidRDefault="00964D3F" w:rsidP="00964D3F">
      <w:pPr>
        <w:pStyle w:val="Bibliography"/>
      </w:pPr>
      <w:r w:rsidRPr="00964D3F">
        <w:t xml:space="preserve">Gordon, D.M. (1973) Capitalism, Class, and Crime in America. </w:t>
      </w:r>
      <w:r w:rsidRPr="00964D3F">
        <w:rPr>
          <w:i/>
          <w:iCs/>
        </w:rPr>
        <w:t>Crime &amp; Delinquency</w:t>
      </w:r>
      <w:r w:rsidRPr="00964D3F">
        <w:t>. [online].  19 (2), SAGE Publications Inc, pp.163–186.</w:t>
      </w:r>
    </w:p>
    <w:p w14:paraId="6D44FCF2" w14:textId="77777777" w:rsidR="00964D3F" w:rsidRPr="00964D3F" w:rsidRDefault="00964D3F" w:rsidP="00964D3F">
      <w:pPr>
        <w:pStyle w:val="Bibliography"/>
      </w:pPr>
      <w:r w:rsidRPr="00964D3F">
        <w:t>King, M. (2002) THE INFLATION TARGET TEN YEARS ON. p.37.</w:t>
      </w:r>
    </w:p>
    <w:p w14:paraId="0AA8BAFD" w14:textId="77777777" w:rsidR="00964D3F" w:rsidRPr="00964D3F" w:rsidRDefault="00964D3F" w:rsidP="00964D3F">
      <w:pPr>
        <w:pStyle w:val="Bibliography"/>
      </w:pPr>
      <w:r w:rsidRPr="00964D3F">
        <w:t xml:space="preserve">Lewis, D. (no date) </w:t>
      </w:r>
      <w:r w:rsidRPr="00964D3F">
        <w:rPr>
          <w:i/>
          <w:iCs/>
        </w:rPr>
        <w:t>UKCrimeStats.com</w:t>
      </w:r>
      <w:r w:rsidRPr="00964D3F">
        <w:t xml:space="preserve"> </w:t>
      </w:r>
      <w:r w:rsidRPr="00964D3F">
        <w:rPr>
          <w:i/>
          <w:iCs/>
        </w:rPr>
        <w:t>UK Crime Stats</w:t>
      </w:r>
      <w:r w:rsidRPr="00964D3F">
        <w:t>. [online].  Available from: https://www.ukcrimestats.com/National_Picture/ [Accessed 1 September 2022].</w:t>
      </w:r>
    </w:p>
    <w:p w14:paraId="061A451E" w14:textId="77777777" w:rsidR="00964D3F" w:rsidRPr="00964D3F" w:rsidRDefault="00964D3F" w:rsidP="00964D3F">
      <w:pPr>
        <w:pStyle w:val="Bibliography"/>
      </w:pPr>
      <w:r w:rsidRPr="00964D3F">
        <w:t xml:space="preserve">Martin-Carrasco, M. </w:t>
      </w:r>
      <w:r w:rsidRPr="00964D3F">
        <w:rPr>
          <w:i/>
          <w:iCs/>
        </w:rPr>
        <w:t>et al.</w:t>
      </w:r>
      <w:r w:rsidRPr="00964D3F">
        <w:t xml:space="preserve"> (2016) EPA guidance on mental health and economic crises in Europe. </w:t>
      </w:r>
      <w:r w:rsidRPr="00964D3F">
        <w:rPr>
          <w:i/>
          <w:iCs/>
        </w:rPr>
        <w:t>European Archives of Psychiatry and Clinical Neuroscience</w:t>
      </w:r>
      <w:r w:rsidRPr="00964D3F">
        <w:t>. [online].  266 (2), pp.89–124.</w:t>
      </w:r>
    </w:p>
    <w:p w14:paraId="38DA5522" w14:textId="77777777" w:rsidR="00964D3F" w:rsidRPr="00964D3F" w:rsidRDefault="00964D3F" w:rsidP="00964D3F">
      <w:pPr>
        <w:pStyle w:val="Bibliography"/>
      </w:pPr>
      <w:r w:rsidRPr="00964D3F">
        <w:t xml:space="preserve">Merton, R.K. (1938) Social Structure and Anomie. </w:t>
      </w:r>
      <w:r w:rsidRPr="00964D3F">
        <w:rPr>
          <w:i/>
          <w:iCs/>
        </w:rPr>
        <w:t>American Sociological Review</w:t>
      </w:r>
      <w:r w:rsidRPr="00964D3F">
        <w:t>. [online].  3 (5), [American Sociological Association, Sage Publications, Inc.], pp.672–682.</w:t>
      </w:r>
    </w:p>
    <w:p w14:paraId="2B00CCE6" w14:textId="77777777" w:rsidR="00964D3F" w:rsidRPr="00964D3F" w:rsidRDefault="00964D3F" w:rsidP="00964D3F">
      <w:pPr>
        <w:pStyle w:val="Bibliography"/>
      </w:pPr>
      <w:r w:rsidRPr="00964D3F">
        <w:t xml:space="preserve">Rosenfeld, R. (2014) Crime and Inflation in Cross-National Perspective Why Crime Rates Fall and Why They Don’t. </w:t>
      </w:r>
      <w:r w:rsidRPr="00964D3F">
        <w:rPr>
          <w:i/>
          <w:iCs/>
        </w:rPr>
        <w:t>Crime and Justice: A Review of Research</w:t>
      </w:r>
      <w:r w:rsidRPr="00964D3F">
        <w:t>. 43, pp.341–366.</w:t>
      </w:r>
    </w:p>
    <w:p w14:paraId="3935DBC8" w14:textId="0CD9CC89" w:rsidR="007C5E04" w:rsidRDefault="00451080" w:rsidP="00654ECA">
      <w:pPr>
        <w:pStyle w:val="BodyText"/>
        <w:ind w:firstLine="0"/>
      </w:pPr>
      <w:r>
        <w:fldChar w:fldCharType="end"/>
      </w:r>
    </w:p>
    <w:p w14:paraId="218A0467" w14:textId="77777777" w:rsidR="00654ECA" w:rsidRDefault="00654ECA" w:rsidP="00654ECA">
      <w:pPr>
        <w:pStyle w:val="BodyText"/>
        <w:ind w:firstLine="0"/>
      </w:pPr>
    </w:p>
    <w:p w14:paraId="2868DC8B" w14:textId="26F1B3C3" w:rsidR="00654ECA" w:rsidRDefault="00654ECA" w:rsidP="00654ECA">
      <w:pPr>
        <w:pStyle w:val="BodyText"/>
        <w:ind w:firstLine="0"/>
        <w:sectPr w:rsidR="00654ECA" w:rsidSect="004445B3">
          <w:type w:val="continuous"/>
          <w:pgSz w:w="11909" w:h="16834" w:code="9"/>
          <w:pgMar w:top="1080" w:right="734" w:bottom="2434" w:left="734" w:header="720" w:footer="720" w:gutter="0"/>
          <w:cols w:num="2" w:space="360"/>
          <w:docGrid w:linePitch="360"/>
        </w:sectPr>
      </w:pPr>
    </w:p>
    <w:p w14:paraId="42D6FCEF" w14:textId="59E1777E" w:rsidR="008A55B5" w:rsidRDefault="008A55B5" w:rsidP="00654ECA">
      <w:pPr>
        <w:jc w:val="both"/>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CB223C8" w14:textId="113B448B"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522209027">
    <w:abstractNumId w:val="3"/>
  </w:num>
  <w:num w:numId="2" w16cid:durableId="2146581050">
    <w:abstractNumId w:val="7"/>
  </w:num>
  <w:num w:numId="3" w16cid:durableId="583226895">
    <w:abstractNumId w:val="2"/>
  </w:num>
  <w:num w:numId="4" w16cid:durableId="939145336">
    <w:abstractNumId w:val="5"/>
  </w:num>
  <w:num w:numId="5" w16cid:durableId="1318143469">
    <w:abstractNumId w:val="5"/>
  </w:num>
  <w:num w:numId="6" w16cid:durableId="980571198">
    <w:abstractNumId w:val="5"/>
  </w:num>
  <w:num w:numId="7" w16cid:durableId="1736929921">
    <w:abstractNumId w:val="5"/>
  </w:num>
  <w:num w:numId="8" w16cid:durableId="957563136">
    <w:abstractNumId w:val="6"/>
  </w:num>
  <w:num w:numId="9" w16cid:durableId="405883406">
    <w:abstractNumId w:val="8"/>
  </w:num>
  <w:num w:numId="10" w16cid:durableId="1631550940">
    <w:abstractNumId w:val="4"/>
  </w:num>
  <w:num w:numId="11" w16cid:durableId="798575567">
    <w:abstractNumId w:val="1"/>
  </w:num>
  <w:num w:numId="12" w16cid:durableId="2123109714">
    <w:abstractNumId w:val="9"/>
  </w:num>
  <w:num w:numId="13" w16cid:durableId="158472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0C62"/>
    <w:rsid w:val="000067FD"/>
    <w:rsid w:val="00012266"/>
    <w:rsid w:val="00027ECC"/>
    <w:rsid w:val="0004390D"/>
    <w:rsid w:val="000708E4"/>
    <w:rsid w:val="0007189A"/>
    <w:rsid w:val="00082930"/>
    <w:rsid w:val="00096EAD"/>
    <w:rsid w:val="000A049A"/>
    <w:rsid w:val="000A0C7D"/>
    <w:rsid w:val="000B4641"/>
    <w:rsid w:val="000B75FF"/>
    <w:rsid w:val="000C7A87"/>
    <w:rsid w:val="000D24F9"/>
    <w:rsid w:val="000E4DC3"/>
    <w:rsid w:val="0010711E"/>
    <w:rsid w:val="00110E5E"/>
    <w:rsid w:val="00114829"/>
    <w:rsid w:val="00127EDD"/>
    <w:rsid w:val="0016554F"/>
    <w:rsid w:val="00172B35"/>
    <w:rsid w:val="00174141"/>
    <w:rsid w:val="00190084"/>
    <w:rsid w:val="00190355"/>
    <w:rsid w:val="001B225C"/>
    <w:rsid w:val="001B5AC1"/>
    <w:rsid w:val="001C13EA"/>
    <w:rsid w:val="001C62A4"/>
    <w:rsid w:val="001E14A6"/>
    <w:rsid w:val="001E294C"/>
    <w:rsid w:val="001F3505"/>
    <w:rsid w:val="002128C4"/>
    <w:rsid w:val="00214E44"/>
    <w:rsid w:val="00220F61"/>
    <w:rsid w:val="00222AD4"/>
    <w:rsid w:val="002275F9"/>
    <w:rsid w:val="00236875"/>
    <w:rsid w:val="00252AF6"/>
    <w:rsid w:val="00257068"/>
    <w:rsid w:val="00263311"/>
    <w:rsid w:val="002711BA"/>
    <w:rsid w:val="00276735"/>
    <w:rsid w:val="00280482"/>
    <w:rsid w:val="0028202A"/>
    <w:rsid w:val="002864A3"/>
    <w:rsid w:val="00297E6A"/>
    <w:rsid w:val="002A7109"/>
    <w:rsid w:val="002B3B81"/>
    <w:rsid w:val="002B69E6"/>
    <w:rsid w:val="002C5310"/>
    <w:rsid w:val="002C6855"/>
    <w:rsid w:val="002C7675"/>
    <w:rsid w:val="002D03A0"/>
    <w:rsid w:val="002D04DF"/>
    <w:rsid w:val="002E02BC"/>
    <w:rsid w:val="003348AF"/>
    <w:rsid w:val="00340600"/>
    <w:rsid w:val="003418C2"/>
    <w:rsid w:val="00347A8F"/>
    <w:rsid w:val="00371A8D"/>
    <w:rsid w:val="00372711"/>
    <w:rsid w:val="0039364A"/>
    <w:rsid w:val="003A37DE"/>
    <w:rsid w:val="003A47B5"/>
    <w:rsid w:val="003A5347"/>
    <w:rsid w:val="003A59A6"/>
    <w:rsid w:val="003A6A56"/>
    <w:rsid w:val="003B1E0C"/>
    <w:rsid w:val="003B2678"/>
    <w:rsid w:val="003B5D55"/>
    <w:rsid w:val="003C32E3"/>
    <w:rsid w:val="003C6DA3"/>
    <w:rsid w:val="003D0439"/>
    <w:rsid w:val="003E26DE"/>
    <w:rsid w:val="003E55A7"/>
    <w:rsid w:val="003F462E"/>
    <w:rsid w:val="004059FE"/>
    <w:rsid w:val="00433956"/>
    <w:rsid w:val="00436F98"/>
    <w:rsid w:val="004445B3"/>
    <w:rsid w:val="004467AA"/>
    <w:rsid w:val="004478C9"/>
    <w:rsid w:val="00451080"/>
    <w:rsid w:val="00453011"/>
    <w:rsid w:val="00484A03"/>
    <w:rsid w:val="00490E51"/>
    <w:rsid w:val="004A5BD2"/>
    <w:rsid w:val="004B746B"/>
    <w:rsid w:val="004F1148"/>
    <w:rsid w:val="004F2643"/>
    <w:rsid w:val="00516C7C"/>
    <w:rsid w:val="00536556"/>
    <w:rsid w:val="00546338"/>
    <w:rsid w:val="00562805"/>
    <w:rsid w:val="00581D8D"/>
    <w:rsid w:val="00586175"/>
    <w:rsid w:val="005A08AD"/>
    <w:rsid w:val="005A250E"/>
    <w:rsid w:val="005A5AEF"/>
    <w:rsid w:val="005A64B6"/>
    <w:rsid w:val="005B417B"/>
    <w:rsid w:val="005B520E"/>
    <w:rsid w:val="005B535B"/>
    <w:rsid w:val="005B5B1C"/>
    <w:rsid w:val="005C3B85"/>
    <w:rsid w:val="005D4838"/>
    <w:rsid w:val="005D72F9"/>
    <w:rsid w:val="006108A4"/>
    <w:rsid w:val="00610FDD"/>
    <w:rsid w:val="00625E67"/>
    <w:rsid w:val="00631529"/>
    <w:rsid w:val="006465E2"/>
    <w:rsid w:val="00652372"/>
    <w:rsid w:val="00654074"/>
    <w:rsid w:val="00654ECA"/>
    <w:rsid w:val="006559D8"/>
    <w:rsid w:val="00656155"/>
    <w:rsid w:val="00684735"/>
    <w:rsid w:val="006B0246"/>
    <w:rsid w:val="006C4648"/>
    <w:rsid w:val="006C6D98"/>
    <w:rsid w:val="006D6220"/>
    <w:rsid w:val="00702383"/>
    <w:rsid w:val="00704515"/>
    <w:rsid w:val="007054F0"/>
    <w:rsid w:val="0072064C"/>
    <w:rsid w:val="0072281B"/>
    <w:rsid w:val="00722B19"/>
    <w:rsid w:val="00725FD5"/>
    <w:rsid w:val="00726C0C"/>
    <w:rsid w:val="00735F69"/>
    <w:rsid w:val="00742B57"/>
    <w:rsid w:val="007442B3"/>
    <w:rsid w:val="00753F7B"/>
    <w:rsid w:val="00760E14"/>
    <w:rsid w:val="00774382"/>
    <w:rsid w:val="0078398E"/>
    <w:rsid w:val="00787C5A"/>
    <w:rsid w:val="00790715"/>
    <w:rsid w:val="007919DE"/>
    <w:rsid w:val="00793560"/>
    <w:rsid w:val="007B1934"/>
    <w:rsid w:val="007B2DCE"/>
    <w:rsid w:val="007B2FBF"/>
    <w:rsid w:val="007B4F9A"/>
    <w:rsid w:val="007C0308"/>
    <w:rsid w:val="007C5E04"/>
    <w:rsid w:val="007D5F8C"/>
    <w:rsid w:val="00800EB5"/>
    <w:rsid w:val="008014D2"/>
    <w:rsid w:val="008054BC"/>
    <w:rsid w:val="008209FE"/>
    <w:rsid w:val="00841367"/>
    <w:rsid w:val="00850861"/>
    <w:rsid w:val="008632AF"/>
    <w:rsid w:val="00872CDA"/>
    <w:rsid w:val="008801F5"/>
    <w:rsid w:val="00883636"/>
    <w:rsid w:val="008A55B5"/>
    <w:rsid w:val="008A75C8"/>
    <w:rsid w:val="008B2F38"/>
    <w:rsid w:val="008C46D3"/>
    <w:rsid w:val="008D7F90"/>
    <w:rsid w:val="008E4DB7"/>
    <w:rsid w:val="0090196A"/>
    <w:rsid w:val="00907164"/>
    <w:rsid w:val="009331C3"/>
    <w:rsid w:val="009342D3"/>
    <w:rsid w:val="00940F24"/>
    <w:rsid w:val="00945B3E"/>
    <w:rsid w:val="009519A6"/>
    <w:rsid w:val="00952ED9"/>
    <w:rsid w:val="009539FE"/>
    <w:rsid w:val="00964D3F"/>
    <w:rsid w:val="0097508D"/>
    <w:rsid w:val="009819BA"/>
    <w:rsid w:val="009827FB"/>
    <w:rsid w:val="0099603C"/>
    <w:rsid w:val="009B2F55"/>
    <w:rsid w:val="009D30AE"/>
    <w:rsid w:val="009D41E2"/>
    <w:rsid w:val="009E26BA"/>
    <w:rsid w:val="009E364E"/>
    <w:rsid w:val="009F5CC1"/>
    <w:rsid w:val="009F7857"/>
    <w:rsid w:val="00A4222F"/>
    <w:rsid w:val="00A43F64"/>
    <w:rsid w:val="00A50C32"/>
    <w:rsid w:val="00A510F7"/>
    <w:rsid w:val="00A62B5D"/>
    <w:rsid w:val="00A76986"/>
    <w:rsid w:val="00A8011F"/>
    <w:rsid w:val="00A804E1"/>
    <w:rsid w:val="00A866F4"/>
    <w:rsid w:val="00A90068"/>
    <w:rsid w:val="00A9690B"/>
    <w:rsid w:val="00AB47EF"/>
    <w:rsid w:val="00AB7069"/>
    <w:rsid w:val="00AC1FBD"/>
    <w:rsid w:val="00AC6519"/>
    <w:rsid w:val="00AC6628"/>
    <w:rsid w:val="00AD336E"/>
    <w:rsid w:val="00AE1346"/>
    <w:rsid w:val="00B02A5F"/>
    <w:rsid w:val="00B424D8"/>
    <w:rsid w:val="00B43781"/>
    <w:rsid w:val="00B461D1"/>
    <w:rsid w:val="00B516EF"/>
    <w:rsid w:val="00B63A42"/>
    <w:rsid w:val="00B641F0"/>
    <w:rsid w:val="00B74CF5"/>
    <w:rsid w:val="00B7536E"/>
    <w:rsid w:val="00BE327C"/>
    <w:rsid w:val="00BE4C0D"/>
    <w:rsid w:val="00BE50F8"/>
    <w:rsid w:val="00BE5B3E"/>
    <w:rsid w:val="00BF5AD5"/>
    <w:rsid w:val="00BF7781"/>
    <w:rsid w:val="00C2566B"/>
    <w:rsid w:val="00C305ED"/>
    <w:rsid w:val="00C36075"/>
    <w:rsid w:val="00C43628"/>
    <w:rsid w:val="00C469FA"/>
    <w:rsid w:val="00C5654E"/>
    <w:rsid w:val="00C64801"/>
    <w:rsid w:val="00C64875"/>
    <w:rsid w:val="00C6608E"/>
    <w:rsid w:val="00C7232D"/>
    <w:rsid w:val="00CB1404"/>
    <w:rsid w:val="00CB66E6"/>
    <w:rsid w:val="00CC03FE"/>
    <w:rsid w:val="00CE7066"/>
    <w:rsid w:val="00D1323C"/>
    <w:rsid w:val="00D73B2B"/>
    <w:rsid w:val="00D9156D"/>
    <w:rsid w:val="00D9268B"/>
    <w:rsid w:val="00D93404"/>
    <w:rsid w:val="00D94A2E"/>
    <w:rsid w:val="00DB0842"/>
    <w:rsid w:val="00DB3050"/>
    <w:rsid w:val="00DB5E03"/>
    <w:rsid w:val="00DF7AF8"/>
    <w:rsid w:val="00E127A2"/>
    <w:rsid w:val="00E171AE"/>
    <w:rsid w:val="00E2015D"/>
    <w:rsid w:val="00E20822"/>
    <w:rsid w:val="00E60252"/>
    <w:rsid w:val="00E91219"/>
    <w:rsid w:val="00EA11EB"/>
    <w:rsid w:val="00EA1E1B"/>
    <w:rsid w:val="00EA506F"/>
    <w:rsid w:val="00EB435E"/>
    <w:rsid w:val="00EB5CB2"/>
    <w:rsid w:val="00EC3F9D"/>
    <w:rsid w:val="00EE4362"/>
    <w:rsid w:val="00EE67D4"/>
    <w:rsid w:val="00EE735A"/>
    <w:rsid w:val="00EF18D7"/>
    <w:rsid w:val="00EF1E8A"/>
    <w:rsid w:val="00EF3A1A"/>
    <w:rsid w:val="00EF6346"/>
    <w:rsid w:val="00EF69A4"/>
    <w:rsid w:val="00F51A7C"/>
    <w:rsid w:val="00F757FF"/>
    <w:rsid w:val="00FB1418"/>
    <w:rsid w:val="00FB4272"/>
    <w:rsid w:val="00FC2306"/>
    <w:rsid w:val="00FD1A05"/>
    <w:rsid w:val="00FD45B1"/>
    <w:rsid w:val="00FF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2BC"/>
    <w:pPr>
      <w:spacing w:after="120"/>
      <w:ind w:firstLine="720"/>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E127A2"/>
    <w:pPr>
      <w:spacing w:after="200"/>
    </w:pPr>
    <w:rPr>
      <w:i/>
      <w:iCs/>
      <w:color w:val="44546A" w:themeColor="text2"/>
      <w:sz w:val="18"/>
      <w:szCs w:val="18"/>
    </w:rPr>
  </w:style>
  <w:style w:type="character" w:styleId="Hyperlink">
    <w:name w:val="Hyperlink"/>
    <w:basedOn w:val="DefaultParagraphFont"/>
    <w:uiPriority w:val="99"/>
    <w:unhideWhenUsed/>
    <w:rsid w:val="00BE327C"/>
    <w:rPr>
      <w:color w:val="0563C1" w:themeColor="hyperlink"/>
      <w:u w:val="single"/>
    </w:rPr>
  </w:style>
  <w:style w:type="character" w:styleId="UnresolvedMention">
    <w:name w:val="Unresolved Mention"/>
    <w:basedOn w:val="DefaultParagraphFont"/>
    <w:uiPriority w:val="99"/>
    <w:rsid w:val="00BE327C"/>
    <w:rPr>
      <w:color w:val="605E5C"/>
      <w:shd w:val="clear" w:color="auto" w:fill="E1DFDD"/>
    </w:rPr>
  </w:style>
  <w:style w:type="paragraph" w:styleId="Bibliography">
    <w:name w:val="Bibliography"/>
    <w:basedOn w:val="Normal"/>
    <w:next w:val="Normal"/>
    <w:uiPriority w:val="37"/>
    <w:unhideWhenUsed/>
    <w:rsid w:val="0039364A"/>
  </w:style>
  <w:style w:type="character" w:styleId="PlaceholderText">
    <w:name w:val="Placeholder Text"/>
    <w:basedOn w:val="DefaultParagraphFont"/>
    <w:uiPriority w:val="67"/>
    <w:rsid w:val="003C32E3"/>
    <w:rPr>
      <w:color w:val="808080"/>
    </w:rPr>
  </w:style>
  <w:style w:type="character" w:styleId="SubtleEmphasis">
    <w:name w:val="Subtle Emphasis"/>
    <w:basedOn w:val="DefaultParagraphFont"/>
    <w:uiPriority w:val="19"/>
    <w:qFormat/>
    <w:rsid w:val="00EA1E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23AA9630D1AE448F1AD37C36E694A3" ma:contentTypeVersion="11" ma:contentTypeDescription="Create a new document." ma:contentTypeScope="" ma:versionID="24c088ccc4f538c498a184daa42b5758">
  <xsd:schema xmlns:xsd="http://www.w3.org/2001/XMLSchema" xmlns:xs="http://www.w3.org/2001/XMLSchema" xmlns:p="http://schemas.microsoft.com/office/2006/metadata/properties" xmlns:ns3="c69dd56b-2059-4951-975d-81cb321affa4" xmlns:ns4="d003e81b-1268-4f0a-88f9-ec9a758e1402" targetNamespace="http://schemas.microsoft.com/office/2006/metadata/properties" ma:root="true" ma:fieldsID="c4a78f6272456f1153cada05bcb92d7c" ns3:_="" ns4:_="">
    <xsd:import namespace="c69dd56b-2059-4951-975d-81cb321affa4"/>
    <xsd:import namespace="d003e81b-1268-4f0a-88f9-ec9a758e14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d56b-2059-4951-975d-81cb321af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03e81b-1268-4f0a-88f9-ec9a758e1402"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D7AB2-7B0D-41D8-8B83-56942FD685C7}">
  <ds:schemaRefs>
    <ds:schemaRef ds:uri="http://schemas.microsoft.com/sharepoint/v3/contenttype/forms"/>
  </ds:schemaRefs>
</ds:datastoreItem>
</file>

<file path=customXml/itemProps2.xml><?xml version="1.0" encoding="utf-8"?>
<ds:datastoreItem xmlns:ds="http://schemas.openxmlformats.org/officeDocument/2006/customXml" ds:itemID="{BDA1F191-CBF6-464B-AE04-F8C1EA3FC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dd56b-2059-4951-975d-81cb321affa4"/>
    <ds:schemaRef ds:uri="d003e81b-1268-4f0a-88f9-ec9a758e1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605EA6-D7A7-4420-996D-3827EC87F79C}">
  <ds:schemaRefs>
    <ds:schemaRef ds:uri="http://schemas.openxmlformats.org/officeDocument/2006/bibliography"/>
  </ds:schemaRefs>
</ds:datastoreItem>
</file>

<file path=customXml/itemProps4.xml><?xml version="1.0" encoding="utf-8"?>
<ds:datastoreItem xmlns:ds="http://schemas.openxmlformats.org/officeDocument/2006/customXml" ds:itemID="{8B571C9D-2459-4D88-BAA2-83610498C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11874</TotalTime>
  <Pages>5</Pages>
  <Words>6584</Words>
  <Characters>37529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Humzah Awan (Student)</cp:lastModifiedBy>
  <cp:revision>10</cp:revision>
  <dcterms:created xsi:type="dcterms:W3CDTF">2022-07-20T16:04:00Z</dcterms:created>
  <dcterms:modified xsi:type="dcterms:W3CDTF">2022-09-01T13:13:00Z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0x0101005E23AA9630D1AE448F1AD37C36E694A3</vt:lpwstr>
  </property>
  <property fmtid="{D5CDD505-2E9C-101B-9397-08002B2CF9AE}" pid="3" name="ZOTERO_PREF_1">
    <vt:lpwstr>&lt;data data-version="3" zotero-version="6.0.10"&gt;&lt;session id="KtLUYtUI"/&gt;&lt;style id="http://www.zotero.org/styles/harvard-university-of-the-west-of-england" hasBibliography="1" bibliographyStyleHasBeenSet="1"/&gt;&lt;prefs&gt;&lt;pref name="fieldType" value="Field"/&gt;&lt;pr</vt:lpwstr>
  </property>
  <property fmtid="{D5CDD505-2E9C-101B-9397-08002B2CF9AE}" pid="4" name="ZOTERO_PREF_2">
    <vt:lpwstr>ef name="automaticJournalAbbreviations" value="true"/&gt;&lt;/prefs&gt;&lt;/data&gt;</vt:lpwstr>
  </property>
</Properties>
</file>