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2272E"/>
          <w:sz w:val="34"/>
          <w:szCs w:val="34"/>
        </w:rPr>
        <w:t xml:space="preserve">[출처·AI 활용 신고서 (별지2) 초안] VR 원격 개입형 AGV 협착 방지 디지털 트윈</w:t>
      </w:r>
    </w:p>
    <w:p>
      <w:pPr>
        <w:spacing w:after="50"/>
      </w:pP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팀명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[팀명]  </w:t>
      </w: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신청 구분 / 분야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대학부 / 32  </w:t>
      </w:r>
      <w:r>
        <w:rPr>
          <w:rFonts w:ascii="Malgun Gothic" w:cs="Malgun Gothic" w:eastAsia="Malgun Gothic" w:hAnsi="Malgun Gothic"/>
          <w:b/>
          <w:bCs/>
          <w:color w:val="22272E"/>
          <w:sz w:val="18"/>
          <w:szCs w:val="18"/>
        </w:rPr>
        <w:t xml:space="preserve">작성일</w:t>
      </w: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: 2026-10-06</w:t>
      </w:r>
    </w:p>
    <w:p>
      <w:pPr>
        <w:spacing w:after="5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&gt; 공식 별지2 양식이 따로 있으면 아래 내용을 양식 칸에 옮겨 적는다. 라이선스는 각 프로젝트 공개 표기 기준.</w:t>
      </w:r>
    </w:p>
    <w:p>
      <w:pPr>
        <w:pStyle w:val="Heading1"/>
        <w:keepNext/>
        <w:keepLines/>
        <w:spacing w:after="100" w:before="260"/>
      </w:pPr>
      <w:r>
        <w:rPr>
          <w:rFonts w:ascii="Malgun Gothic" w:cs="Malgun Gothic" w:eastAsia="Malgun Gothic" w:hAnsi="Malgun Gothic"/>
          <w:b/>
          <w:bCs/>
          <w:color w:val="22272E"/>
          <w:sz w:val="26"/>
          <w:szCs w:val="26"/>
        </w:rPr>
        <w:t xml:space="preserve">1. 생성형 AI 활용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3"/>
        <w:gridCol w:w="888"/>
        <w:gridCol w:w="5167"/>
        <w:gridCol w:w="2458"/>
      </w:tblGrid>
      <w:tr>
        <w:trPr>
          <w:cantSplit/>
          <w:tblHeader/>
        </w:trPr>
        <w:tc>
          <w:tcPr>
            <w:tcW w:type="dxa" w:w="1693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도구</w:t>
            </w:r>
          </w:p>
        </w:tc>
        <w:tc>
          <w:tcPr>
            <w:tcW w:type="dxa" w:w="888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제공사</w:t>
            </w:r>
          </w:p>
        </w:tc>
        <w:tc>
          <w:tcPr>
            <w:tcW w:type="dxa" w:w="5167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활용 범위</w:t>
            </w:r>
          </w:p>
        </w:tc>
        <w:tc>
          <w:tcPr>
            <w:tcW w:type="dxa" w:w="2458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사람 검토</w:t>
            </w:r>
          </w:p>
        </w:tc>
      </w:tr>
      <w:tr>
        <w:trPr>
          <w:cantSplit/>
        </w:trPr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Claude Code (Claude)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Anthropic</w:t>
            </w:r>
          </w:p>
        </w:tc>
        <w:tc>
          <w:tcPr>
            <w:tcW w:type="dxa" w:w="51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설계 검토, 릴레이·안전 로직·Unity 스크립트 코드 작성 보조, 자동 시험 작성, 문서 초안·빌드 스크립트</w:t>
            </w:r>
          </w:p>
        </w:tc>
        <w:tc>
          <w:tcPr>
            <w:tcW w:type="dxa" w:w="2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팀원이 요구사항 지정, 실물 시험·코드 리뷰 후 반영</w:t>
            </w:r>
          </w:p>
        </w:tc>
      </w:tr>
      <w:tr>
        <w:trPr>
          <w:cantSplit/>
        </w:trPr>
        <w:tc>
          <w:tcPr>
            <w:tcW w:type="dxa" w:w="1693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Gemini</w:t>
            </w:r>
          </w:p>
        </w:tc>
        <w:tc>
          <w:tcPr>
            <w:tcW w:type="dxa" w:w="888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Google</w:t>
            </w:r>
          </w:p>
        </w:tc>
        <w:tc>
          <w:tcPr>
            <w:tcW w:type="dxa" w:w="5167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대용량 로그·문서 요약 보조</w:t>
            </w:r>
          </w:p>
        </w:tc>
        <w:tc>
          <w:tcPr>
            <w:tcW w:type="dxa" w:w="2458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요약 결과는 원문 대조 후 사용</w:t>
            </w:r>
          </w:p>
        </w:tc>
      </w:tr>
      <w:tr>
        <w:trPr>
          <w:cantSplit/>
        </w:trPr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Antigravity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Google</w:t>
            </w:r>
          </w:p>
        </w:tc>
        <w:tc>
          <w:tcPr>
            <w:tcW w:type="dxa" w:w="51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단순 UI·보일러플레이트 구현 보조</w:t>
            </w:r>
          </w:p>
        </w:tc>
        <w:tc>
          <w:tcPr>
            <w:tcW w:type="dxa" w:w="2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팀원 리뷰 후 병합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22272E"/>
          <w:sz w:val="18"/>
          <w:szCs w:val="18"/>
        </w:rPr>
        <w:t xml:space="preserve">실행 중(런타임)에는 생성형 AI·외부 클라우드 API를 호출하지 않는다. 판단은 LiDAR 기하 알고리즘과 상태기계가 로컬에서 수행.</w:t>
      </w:r>
    </w:p>
    <w:p>
      <w:pPr>
        <w:pStyle w:val="Heading1"/>
        <w:keepNext/>
        <w:keepLines/>
        <w:spacing w:after="100" w:before="260"/>
      </w:pPr>
      <w:r>
        <w:rPr>
          <w:rFonts w:ascii="Malgun Gothic" w:cs="Malgun Gothic" w:eastAsia="Malgun Gothic" w:hAnsi="Malgun Gothic"/>
          <w:b/>
          <w:bCs/>
          <w:color w:val="22272E"/>
          <w:sz w:val="26"/>
          <w:szCs w:val="26"/>
        </w:rPr>
        <w:t xml:space="preserve">2. 오픈소스·외부 소프트웨어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9"/>
        <w:gridCol w:w="1819"/>
        <w:gridCol w:w="3638"/>
      </w:tblGrid>
      <w:tr>
        <w:trPr>
          <w:cantSplit/>
          <w:tblHeader/>
        </w:trPr>
        <w:tc>
          <w:tcPr>
            <w:tcW w:type="dxa" w:w="4749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이름</w:t>
            </w:r>
          </w:p>
        </w:tc>
        <w:tc>
          <w:tcPr>
            <w:tcW w:type="dxa" w:w="1819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용도</w:t>
            </w:r>
          </w:p>
        </w:tc>
        <w:tc>
          <w:tcPr>
            <w:tcW w:type="dxa" w:w="3638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라이선스</w:t>
            </w:r>
          </w:p>
        </w:tc>
      </w:tr>
      <w:tr>
        <w:trPr>
          <w:cantSplit/>
        </w:trPr>
        <w:tc>
          <w:tcPr>
            <w:tcW w:type="dxa" w:w="47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ROS 1 Noetic / ROS 2 Humble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로봇 미들웨어</w:t>
            </w: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BSD-3-Clause / Apache-2.0</w:t>
            </w:r>
          </w:p>
        </w:tc>
      </w:tr>
      <w:tr>
        <w:trPr>
          <w:cantSplit/>
        </w:trPr>
        <w:tc>
          <w:tcPr>
            <w:tcW w:type="dxa" w:w="474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TurtleBot3 패키지, OpenCR 펌웨어, LD08 드라이버 (ROBOTIS)</w:t>
            </w:r>
          </w:p>
        </w:tc>
        <w:tc>
          <w:tcPr>
            <w:tcW w:type="dxa" w:w="181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로봇 구동·LiDAR</w:t>
            </w:r>
          </w:p>
        </w:tc>
        <w:tc>
          <w:tcPr>
            <w:tcW w:type="dxa" w:w="3638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Apache-2.0</w:t>
            </w:r>
          </w:p>
        </w:tc>
      </w:tr>
      <w:tr>
        <w:trPr>
          <w:cantSplit/>
        </w:trPr>
        <w:tc>
          <w:tcPr>
            <w:tcW w:type="dxa" w:w="47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rosbridge_suite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ROS ↔ WebSocket</w:t>
            </w: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BSD-3-Clause</w:t>
            </w:r>
          </w:p>
        </w:tc>
      </w:tr>
      <w:tr>
        <w:trPr>
          <w:cantSplit/>
        </w:trPr>
        <w:tc>
          <w:tcPr>
            <w:tcW w:type="dxa" w:w="474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ustreamer</w:t>
            </w:r>
          </w:p>
        </w:tc>
        <w:tc>
          <w:tcPr>
            <w:tcW w:type="dxa" w:w="181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카메라 MJPEG 스트리밍</w:t>
            </w:r>
          </w:p>
        </w:tc>
        <w:tc>
          <w:tcPr>
            <w:tcW w:type="dxa" w:w="3638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GPL-3.0 (로봇에서 별도 프로세스로 실행, 소스 미포함)</w:t>
            </w:r>
          </w:p>
        </w:tc>
      </w:tr>
      <w:tr>
        <w:trPr>
          <w:cantSplit/>
        </w:trPr>
        <w:tc>
          <w:tcPr>
            <w:tcW w:type="dxa" w:w="47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OpenCV, NumPy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영상 처리·기하 계산</w:t>
            </w: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Apache-2.0, BSD-3-Clause</w:t>
            </w:r>
          </w:p>
        </w:tc>
      </w:tr>
      <w:tr>
        <w:trPr>
          <w:cantSplit/>
        </w:trPr>
        <w:tc>
          <w:tcPr>
            <w:tcW w:type="dxa" w:w="474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websockets (Python)</w:t>
            </w:r>
          </w:p>
        </w:tc>
        <w:tc>
          <w:tcPr>
            <w:tcW w:type="dxa" w:w="181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WebSocket 서버·클라이언트</w:t>
            </w:r>
          </w:p>
        </w:tc>
        <w:tc>
          <w:tcPr>
            <w:tcW w:type="dxa" w:w="3638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BSD-3-Clause</w:t>
            </w:r>
          </w:p>
        </w:tc>
      </w:tr>
      <w:tr>
        <w:trPr>
          <w:cantSplit/>
        </w:trPr>
        <w:tc>
          <w:tcPr>
            <w:tcW w:type="dxa" w:w="47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Ultralytics YOLOv8 (선택 기능)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회랑 물체 검출</w:t>
            </w: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AGPL-3.0 (기본 실행 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--no-ai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로 미사용)</w:t>
            </w:r>
          </w:p>
        </w:tc>
      </w:tr>
      <w:tr>
        <w:trPr>
          <w:cantSplit/>
        </w:trPr>
        <w:tc>
          <w:tcPr>
            <w:tcW w:type="dxa" w:w="474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Unity 6, Unity OpenXR Plugin, Input System, URP</w:t>
            </w:r>
          </w:p>
        </w:tc>
        <w:tc>
          <w:tcPr>
            <w:tcW w:type="dxa" w:w="181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디지털 트윈·VR</w:t>
            </w:r>
          </w:p>
        </w:tc>
        <w:tc>
          <w:tcPr>
            <w:tcW w:type="dxa" w:w="3638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Unity 이용약관 / Unity Companion License</w:t>
            </w:r>
          </w:p>
        </w:tc>
      </w:tr>
      <w:tr>
        <w:trPr>
          <w:cantSplit/>
        </w:trPr>
        <w:tc>
          <w:tcPr>
            <w:tcW w:type="dxa" w:w="47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matplotlib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보고서 도식 생성</w:t>
            </w: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PSF 기반 (matplotlib License)</w:t>
            </w:r>
          </w:p>
        </w:tc>
      </w:tr>
      <w:tr>
        <w:trPr>
          <w:cantSplit/>
        </w:trPr>
        <w:tc>
          <w:tcPr>
            <w:tcW w:type="dxa" w:w="474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docx, pptxgenjs (npm)</w:t>
            </w:r>
          </w:p>
        </w:tc>
        <w:tc>
          <w:tcPr>
            <w:tcW w:type="dxa" w:w="181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제출 문서 빌드</w:t>
            </w:r>
          </w:p>
        </w:tc>
        <w:tc>
          <w:tcPr>
            <w:tcW w:type="dxa" w:w="3638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MIT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spacing w:after="100" w:before="260"/>
      </w:pPr>
      <w:r>
        <w:rPr>
          <w:rFonts w:ascii="Malgun Gothic" w:cs="Malgun Gothic" w:eastAsia="Malgun Gothic" w:hAnsi="Malgun Gothic"/>
          <w:b/>
          <w:bCs/>
          <w:color w:val="22272E"/>
          <w:sz w:val="26"/>
          <w:szCs w:val="26"/>
        </w:rPr>
        <w:t xml:space="preserve">3. 데이터·모델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879"/>
        <w:gridCol w:w="5701"/>
      </w:tblGrid>
      <w:tr>
        <w:trPr>
          <w:cantSplit/>
          <w:tblHeader/>
        </w:trPr>
        <w:tc>
          <w:tcPr>
            <w:tcW w:type="dxa" w:w="3626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이름</w:t>
            </w:r>
          </w:p>
        </w:tc>
        <w:tc>
          <w:tcPr>
            <w:tcW w:type="dxa" w:w="879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용도</w:t>
            </w:r>
          </w:p>
        </w:tc>
        <w:tc>
          <w:tcPr>
            <w:tcW w:type="dxa" w:w="5701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출처·조건</w:t>
            </w:r>
          </w:p>
        </w:tc>
      </w:tr>
      <w:tr>
        <w:trPr>
          <w:cantSplit/>
        </w:trPr>
        <w:tc>
          <w:tcPr>
            <w:tcW w:type="dxa" w:w="3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실시간 센서 데이터 (LiDAR·오도메트리·카메라)</w:t>
            </w:r>
          </w:p>
        </w:tc>
        <w:tc>
          <w:tcPr>
            <w:tcW w:type="dxa" w:w="8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판단 입력</w:t>
            </w:r>
          </w:p>
        </w:tc>
        <w:tc>
          <w:tcPr>
            <w:tcW w:type="dxa" w:w="57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팀 보유 로봇에서 직접 수집, 외부 데이터셋 없음</w:t>
            </w:r>
          </w:p>
        </w:tc>
      </w:tr>
      <w:tr>
        <w:trPr>
          <w:cantSplit/>
        </w:trPr>
        <w:tc>
          <w:tcPr>
            <w:tcW w:type="dxa" w:w="3626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YOLOv8n 사전학습 가중치 (COCO)</w:t>
            </w:r>
          </w:p>
        </w:tc>
        <w:tc>
          <w:tcPr>
            <w:tcW w:type="dxa" w:w="879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선택 기능</w:t>
            </w:r>
          </w:p>
        </w:tc>
        <w:tc>
          <w:tcPr>
            <w:tcW w:type="dxa" w:w="5701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Ultralytics 배포 (AGPL-3.0), COCO 주석 CC BY 4.0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spacing w:after="100" w:before="260"/>
      </w:pPr>
      <w:r>
        <w:rPr>
          <w:rFonts w:ascii="Malgun Gothic" w:cs="Malgun Gothic" w:eastAsia="Malgun Gothic" w:hAnsi="Malgun Gothic"/>
          <w:b/>
          <w:bCs/>
          <w:color w:val="22272E"/>
          <w:sz w:val="26"/>
          <w:szCs w:val="26"/>
        </w:rPr>
        <w:t xml:space="preserve">4. 통계·문헌 출처 (보고서·발표 인용)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0"/>
        <w:gridCol w:w="5496"/>
      </w:tblGrid>
      <w:tr>
        <w:trPr>
          <w:cantSplit/>
          <w:tblHeader/>
        </w:trPr>
        <w:tc>
          <w:tcPr>
            <w:tcW w:type="dxa" w:w="4710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  <w:tc>
          <w:tcPr>
            <w:tcW w:type="dxa" w:w="5496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출처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산업용 로봇 재해 끼임 53%·부딪힘 34% (2011~2020, 355명)</w:t>
            </w:r>
          </w:p>
        </w:tc>
        <w:tc>
          <w:tcPr>
            <w:tcW w:type="dxa" w:w="54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안전보건공단(KOSHA) 분석, 뉴스톱 「2023 중대재해 예방 팩트체크」 인용</w:t>
            </w:r>
          </w:p>
        </w:tc>
      </w:tr>
      <w:tr>
        <w:trPr>
          <w:cantSplit/>
        </w:trPr>
        <w:tc>
          <w:tcPr>
            <w:tcW w:type="dxa" w:w="4710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2024년 끼임 사고사망 66명 (+22.2%)</w:t>
            </w:r>
          </w:p>
        </w:tc>
        <w:tc>
          <w:tcPr>
            <w:tcW w:type="dxa" w:w="5496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고용노동부 「2024년 재해조사 대상 사망사고 발생현황」 잠정결과 (2025-03-11)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비계획 정지 비용 (자동차 시간당 최대 230만 달러 등)</w:t>
            </w:r>
          </w:p>
        </w:tc>
        <w:tc>
          <w:tcPr>
            <w:tcW w:type="dxa" w:w="54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Siemens 「The True Cost of Downtime 2024」</w:t>
            </w:r>
          </w:p>
        </w:tc>
      </w:tr>
      <w:tr>
        <w:trPr>
          <w:cantSplit/>
        </w:trPr>
        <w:tc>
          <w:tcPr>
            <w:tcW w:type="dxa" w:w="4710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VFH, Follow-the-Gap 알고리즘</w:t>
            </w:r>
          </w:p>
        </w:tc>
        <w:tc>
          <w:tcPr>
            <w:tcW w:type="dxa" w:w="5496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Borenstein &amp; Koren (1991), Sezer &amp; Gokasan (2012)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2272E"/>
        <w:sz w:val="18"/>
        <w:szCs w:val="18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22272E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22272E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출처·AI 활용 신고서 - VR 원격 개입형 AGV 협착 방지 디지털 트윈</dc:title>
  <dc:creator>PhysicalAI AGV Team</dc:creator>
  <cp:lastModifiedBy>Un-named</cp:lastModifiedBy>
  <cp:revision>1</cp:revision>
  <dcterms:created xsi:type="dcterms:W3CDTF">2026-10-03T05:33:52.609Z</dcterms:created>
  <dcterms:modified xsi:type="dcterms:W3CDTF">2026-10-03T05:33:52.610Z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