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JhengHei" w:hAnsi="Microsoft JhengHei" w:eastAsia="Microsoft JhengHei"/>
          <w:b/>
          <w:color w:val="17365D"/>
          <w:sz w:val="56"/>
        </w:rPr>
        <w:t>SRA 代理人參考文本</w:t>
        <w:br/>
        <w:t>與多層全文下載</w:t>
      </w:r>
    </w:p>
    <w:p>
      <w:pPr>
        <w:jc w:val="center"/>
      </w:pPr>
      <w:r>
        <w:rPr>
          <w:color w:val="2F75B5"/>
          <w:sz w:val="30"/>
        </w:rPr>
        <w:t>更新需求、目標、結果與效益｜簡明技術介紹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1.0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2026-08-27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適用對象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產品負責人、系統設計者、開發與維運人員</w:t>
            </w:r>
          </w:p>
        </w:tc>
      </w:tr>
    </w:tbl>
    <w:p/>
    <w:p>
      <w:pPr>
        <w:jc w:val="center"/>
      </w:pPr>
      <w:r>
        <w:rPr>
          <w:b/>
          <w:color w:val="17365D"/>
          <w:sz w:val="24"/>
        </w:rPr>
        <w:t>一句話摘要</w:t>
      </w:r>
    </w:p>
    <w:p>
      <w:pPr>
        <w:ind w:left="1134" w:right="1134"/>
        <w:jc w:val="center"/>
      </w:pPr>
      <w:r>
        <w:rPr>
          <w:b/>
          <w:sz w:val="26"/>
        </w:rPr>
        <w:t>代理人讀取乾淨、連貫的參考文本；使用者仍可下載原始資料，並能一鍵取得雙層內容進行 AI 正確性比對。</w:t>
      </w:r>
    </w:p>
    <w:p>
      <w:r>
        <w:br w:type="page"/>
      </w:r>
    </w:p>
    <w:p>
      <w:pPr>
        <w:pStyle w:val="Heading1"/>
        <w:keepNext/>
      </w:pPr>
      <w:r>
        <w:t>1. 為什麼要做這次更新？</w:t>
      </w:r>
    </w:p>
    <w:p>
      <w:r>
        <w:t>過去系統把 rawInfo.content 同時當成「原始資料」與「代理人全文」。但原始內容可能含有重複段落、網頁殘留、格式雜訊或無關資訊，直接提供給代理人，會增加理解成本，也容易讓「全文」這個詞混淆。</w:t>
      </w:r>
    </w:p>
    <w:p>
      <w:pPr>
        <w:pStyle w:val="Heading2"/>
        <w:keepNext/>
      </w:pPr>
      <w:r>
        <w:t>實務上的三個問題</w:t>
      </w:r>
    </w:p>
    <w:p>
      <w:pPr>
        <w:pStyle w:val="ListBullet"/>
      </w:pPr>
      <w:r>
        <w:t>代理人需要的是具上下文、較乾淨的連貫文本，不一定是未處理原文。</w:t>
      </w:r>
    </w:p>
    <w:p>
      <w:pPr>
        <w:pStyle w:val="ListBullet"/>
      </w:pPr>
      <w:r>
        <w:t>人工稽核仍必須保留原文，才能確認去雜訊、摘整與 AI 生成是否忠於來源。</w:t>
      </w:r>
    </w:p>
    <w:p>
      <w:pPr>
        <w:pStyle w:val="ListBullet"/>
      </w:pPr>
      <w:r>
        <w:t>舊文件、舊版程式與新欄位必須共存，不能因欄位切換造成 ingestion、搜尋或下載斷流。</w:t>
      </w:r>
    </w:p>
    <w:p>
      <w:pPr>
        <w:pStyle w:val="Heading1"/>
        <w:keepNext/>
      </w:pPr>
      <w:r>
        <w:t>2. 更新目標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判斷成功的標準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提升代理人素材品質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以可設定欄位提供連貫參考文本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代理人可使用 agent_context.coherent_text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保留查核能力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rawInfo.content 永久保留原始輸入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使用者可獨立下載原文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維持相容性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 ingestion 對 raw/reference 相容雙寫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舊版 reader 與新版 agent 均可運作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降低下載歧義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提供 reference、raw、both 三種層次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OpenWebUI 能清楚選擇下載內容</w:t>
            </w:r>
          </w:p>
        </w:tc>
      </w:tr>
    </w:tbl>
    <w:p>
      <w:pPr>
        <w:pStyle w:val="Heading1"/>
        <w:keepNext/>
      </w:pPr>
      <w:r>
        <w:t>3. 核心名詞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代理人參考文本（reference）</w:t>
              <w:br/>
              <w:t>提供前後文脈絡的連貫文本。可以是原始全文，也可以是經去雜訊、去重、重排或潤飾後的詳文。由 SRA_REFERENCE_TEXT_FIELD 指定。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2F0D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原始未處理文本（raw）</w:t>
              <w:br/>
              <w:t>固定存放在 rawInfo.content，作為人工稽核、來源追溯與 AI 正確性比對材料。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證據片段（evidence snippets）</w:t>
              <w:br/>
              <w:t>multidim_event_json.evidence_snippets 內的局部、可引用、可追溯證據。它比 reference 零碎，但具有精確引證用途。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新資料流：原文保留、參考文本可精煉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TXT／Excel／SQL</w:t>
            </w:r>
          </w:p>
        </w:tc>
        <w:tc>
          <w:tcPr>
            <w:tcW w:type="dxa" w:w="1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→</w:t>
            </w:r>
          </w:p>
        </w:tc>
        <w:tc>
          <w:tcPr>
            <w:tcW w:type="dxa" w:w="1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rawInfo.content</w:t>
              <w:br/>
              <w:t>保留原始輸入</w:t>
            </w:r>
          </w:p>
        </w:tc>
        <w:tc>
          <w:tcPr>
            <w:tcW w:type="dxa" w:w="1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→</w:t>
            </w:r>
          </w:p>
        </w:tc>
        <w:tc>
          <w:tcPr>
            <w:tcW w:type="dxa" w:w="1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去雜訊／精煉流程</w:t>
            </w:r>
          </w:p>
        </w:tc>
        <w:tc>
          <w:tcPr>
            <w:tcW w:type="dxa" w:w="1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→</w:t>
            </w:r>
          </w:p>
        </w:tc>
        <w:tc>
          <w:tcPr>
            <w:tcW w:type="dxa" w:w="1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agent_context.</w:t>
              <w:br/>
              <w:t>coherent_text</w:t>
            </w:r>
          </w:p>
        </w:tc>
      </w:tr>
    </w:tbl>
    <w:p>
      <w:r>
        <w:t>代理人、搜尋、證據 fallback 與 docs API 共用 SRA_REFERENCE_TEXT_FIELD。當設定為 agent_context.coherent_text 時，代理人讀取精煉層；rawInfo.content 則保持不變。</w:t>
      </w:r>
    </w:p>
    <w:p>
      <w:pPr>
        <w:pStyle w:val="Heading2"/>
        <w:keepNext/>
      </w:pPr>
      <w:r>
        <w:t>環境設定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SRA_REFERENCE_TEXT_FIELD=agent_context.coherent_text</w:t>
            </w:r>
          </w:p>
        </w:tc>
      </w:tr>
    </w:tbl>
    <w:p>
      <w:pPr>
        <w:pStyle w:val="Heading2"/>
        <w:keepNext/>
      </w:pPr>
      <w:r>
        <w:t>Ingestion 相容策略</w:t>
      </w:r>
    </w:p>
    <w:p>
      <w:pPr>
        <w:pStyle w:val="ListBullet"/>
      </w:pPr>
      <w:r>
        <w:t>TXT→ES 與 SQL→ES 永遠保留 rawInfo.content。</w:t>
      </w:r>
    </w:p>
    <w:p>
      <w:pPr>
        <w:pStyle w:val="ListBullet"/>
      </w:pPr>
      <w:r>
        <w:t>當 reference field 不同於 raw 時，新資料會先以相同輸入初始化 reference。</w:t>
      </w:r>
    </w:p>
    <w:p>
      <w:pPr>
        <w:pStyle w:val="ListBullet"/>
      </w:pPr>
      <w:r>
        <w:t>後續精煉 pipeline 只更新 reference，不覆蓋 raw。</w:t>
      </w:r>
    </w:p>
    <w:p>
      <w:pPr>
        <w:pStyle w:val="ListBullet"/>
      </w:pPr>
      <w:r>
        <w:t>Excel→SQL 不直接寫 ES；由 SQL→ES 的 source.columns.content 接入此契約。</w:t>
      </w:r>
    </w:p>
    <w:p>
      <w:pPr>
        <w:pStyle w:val="Heading1"/>
        <w:keepNext/>
      </w:pPr>
      <w:r>
        <w:t>5. OpenWebUI 與全文 API 的新行為</w:t>
      </w:r>
    </w:p>
    <w:p>
      <w:r>
        <w:t>OpenWebUI citation 區原本只有一個語意不明的「下載全文」。更新後改成四個明確入口：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API 參數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下載參考文本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text_layer=reference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取得代理人實際使用的連貫文本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下載原始文本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text_layer=raw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 rawInfo.content，供人工檢核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下載雙層比對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text_layer=both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同一 TXT 內以明確標題並列兩層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多層 JSON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format=json&amp;text_layer=both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取得欄位、長度、availability 與兩層內容</w:t>
            </w:r>
          </w:p>
        </w:tc>
      </w:tr>
    </w:tbl>
    <w:p>
      <w:pPr>
        <w:pStyle w:val="Heading2"/>
        <w:keepNext/>
      </w:pPr>
      <w:r>
        <w:t>API 範例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GET /v1/docs/{doc_id}/fulltext?format=txt&amp;download=true&amp;text_layer=both</w:t>
            </w:r>
          </w:p>
        </w:tc>
      </w:tr>
    </w:tbl>
    <w:p>
      <w:r>
        <w:t>重要原則：明確要求 raw 或 reference 時，若該層不存在就回 404，不會用另一層冒充。both 模式只要任一層存在仍可輸出，適合舊文件稽核。</w:t>
      </w:r>
    </w:p>
    <w:p>
      <w:r>
        <w:br w:type="page"/>
      </w:r>
    </w:p>
    <w:p>
      <w:pPr>
        <w:pStyle w:val="Heading1"/>
        <w:keepNext/>
      </w:pPr>
      <w:r>
        <w:t>6. 舊版本與舊文件相容性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系統行為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未設定新 env，舊文件只有 rawInfo.content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完全沿用舊行為；reference 與 raw 都可讀取原文。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設定 agent_context.coherent_text，但舊文件尚未 backfill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reference 會 404／檢索不命中；raw 與 both 仍可取得原文。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新版 ingestion 匯入的新文件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同時保留 raw 並初始化 reference；舊版與新版程式可共存。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精煉完成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reference 是清理後詳文；raw 保持未處理原文。</w:t>
            </w:r>
          </w:p>
        </w:tc>
      </w:tr>
    </w:tbl>
    <w:p>
      <w:pPr>
        <w:pStyle w:val="Heading2"/>
        <w:keepNext/>
      </w:pPr>
      <w:r>
        <w:t>建議切換順序</w:t>
      </w:r>
    </w:p>
    <w:p>
      <w:r>
        <w:t>1. 先部署支援雙層資料的版本，但暫時保留預設 rawInfo.content。</w:t>
      </w:r>
    </w:p>
    <w:p>
      <w:r>
        <w:t>2. 對既有 ES 文件 backfill agent_context.coherent_text。</w:t>
      </w:r>
    </w:p>
    <w:p>
      <w:r>
        <w:t>3. 抽樣比較 raw、reference、both，確認精煉品質與覆蓋率。</w:t>
      </w:r>
    </w:p>
    <w:p>
      <w:r>
        <w:t>4. 設定 SRA_REFERENCE_TEXT_FIELD=agent_context.coherent_text。</w:t>
      </w:r>
    </w:p>
    <w:p>
      <w:r>
        <w:t>5. 切換新版 agent 流量並持續監控 reference 缺值率。</w:t>
      </w:r>
    </w:p>
    <w:p>
      <w:pPr>
        <w:pStyle w:val="Heading1"/>
        <w:keepNext/>
      </w:pPr>
      <w:r>
        <w:t>7. 更新結果與效益</w:t>
      </w:r>
    </w:p>
    <w:p>
      <w:r>
        <w:rPr>
          <w:b/>
          <w:color w:val="2F75B5"/>
        </w:rPr>
        <w:t>✓ 更好的代理人輸入：</w:t>
      </w:r>
      <w:r>
        <w:t>代理人不必直接承受原始資料中的重複與雜訊。</w:t>
      </w:r>
    </w:p>
    <w:p>
      <w:r>
        <w:rPr>
          <w:b/>
          <w:color w:val="2F75B5"/>
        </w:rPr>
        <w:t>✓ 可稽核、可追溯：</w:t>
      </w:r>
      <w:r>
        <w:t>原文永久保留，可與精煉文本、證據片段及回答相互比對。</w:t>
      </w:r>
    </w:p>
    <w:p>
      <w:r>
        <w:rPr>
          <w:b/>
          <w:color w:val="2F75B5"/>
        </w:rPr>
        <w:t>✓ 低風險遷移：</w:t>
      </w:r>
      <w:r>
        <w:t>env 控制欄位，ingestion 雙寫，支援 rolling deployment。</w:t>
      </w:r>
    </w:p>
    <w:p>
      <w:r>
        <w:rPr>
          <w:b/>
          <w:color w:val="2F75B5"/>
        </w:rPr>
        <w:t>✓ 介面語意清楚：</w:t>
      </w:r>
      <w:r>
        <w:t>使用者知道下載的是代理人參考文本、原文或雙層比對。</w:t>
      </w:r>
    </w:p>
    <w:p>
      <w:r>
        <w:rPr>
          <w:b/>
          <w:color w:val="2F75B5"/>
        </w:rPr>
        <w:t>✓ 模組化擴充：</w:t>
      </w:r>
      <w:r>
        <w:t>未來可把 reference 指向不同清理或摘整模組的輸出，不必重寫 agent。</w:t>
      </w:r>
    </w:p>
    <w:p>
      <w:pPr>
        <w:pStyle w:val="Heading1"/>
        <w:keepNext/>
      </w:pPr>
      <w:r>
        <w:t>8. 驗證範圍</w:t>
      </w:r>
    </w:p>
    <w:p>
      <w:pPr>
        <w:pStyle w:val="ListBullet"/>
      </w:pPr>
      <w:r>
        <w:t>環境變數預設值、替代 dot path 與非法欄位保護。</w:t>
      </w:r>
    </w:p>
    <w:p>
      <w:pPr>
        <w:pStyle w:val="ListBullet"/>
      </w:pPr>
      <w:r>
        <w:t>TXT→ES、SQL→ES 的 raw/reference 雙寫與 mapping。</w:t>
      </w:r>
    </w:p>
    <w:p>
      <w:pPr>
        <w:pStyle w:val="ListBullet"/>
      </w:pPr>
      <w:r>
        <w:t>ES 主查詢、fallback、highlight 與 evidence parser。</w:t>
      </w:r>
    </w:p>
    <w:p>
      <w:pPr>
        <w:pStyle w:val="ListBullet"/>
      </w:pPr>
      <w:r>
        <w:t>依 UUID 取得參考文本、全文 API 的 reference/raw/both。</w:t>
      </w:r>
    </w:p>
    <w:p>
      <w:pPr>
        <w:pStyle w:val="ListBullet"/>
      </w:pPr>
      <w:r>
        <w:t>舊文件沒有 agent_context 的 default／切換後行為。</w:t>
      </w:r>
    </w:p>
    <w:p>
      <w:pPr>
        <w:pStyle w:val="ListBullet"/>
      </w:pPr>
      <w:r>
        <w:t>OpenWebUI citation 的三種下載 URL 與 Markdown 顯示。</w:t>
      </w:r>
    </w:p>
    <w:p>
      <w:r>
        <w:t>最近一次涵蓋相關模組的回歸測試：57 tests passed；OpenWebUI presenter／API 聚焦測試：49 tests passed。另完成 Python 語法編譯與 git diff whitespace 檢查。</w:t>
      </w:r>
    </w:p>
    <w:p>
      <w:pPr>
        <w:pStyle w:val="Heading1"/>
        <w:keepNext/>
      </w:pPr>
      <w:r>
        <w:t>9. 對外介紹話術（30 秒版）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 w:val="0"/>
                <w:sz w:val="22"/>
              </w:rPr>
              <w:t>「這次更新把『代理人要看的連貫文本』和『人要查核的原始資料』正式分層。代理人可以使用去雜訊後的 agent_context.coherent_text，但 rawInfo.content 永遠保留。OpenWebUI 可分別下載參考文本、原文，或一次下載雙層比對。這讓回答品質、可稽核性與舊版相容性可以同時兼顧。」</w:t>
            </w:r>
          </w:p>
        </w:tc>
      </w:tr>
    </w:tbl>
    <w:p>
      <w:pPr>
        <w:pStyle w:val="Heading1"/>
        <w:keepNext/>
      </w:pPr>
      <w:r>
        <w:t>附錄：主要技術元件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agent/es/reference_text.py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統一欄位設定、dot-path 讀寫與 mapping。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data_ingestion/txt_to_es、sql_to_es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 raw 並 seed reference。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agent/es/query_body.py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搜尋與 highlight 使用 configured reference。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agent/es/evidence_core/parser.py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日期與 snippet fallback 使用 reference。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sra_api/routers/docs.py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提供 reference/raw/both API。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sra_api/core/presenters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在 OpenWebUI citation 顯示分層下載連結。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6"/>
      </w:rPr>
      <w:t>SRA 技術說明｜代理人參考文本與多層全文下載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SRA 代理人參考文本與多層全文下載技術說明</dc:title>
  <dc:subject>更新需求、目標、結果與效益</dc:subject>
  <dc:creator>SRA Project</dc:creator>
  <cp:keywords>SRA, Elasticsearch, reference text, raw text, OpenWebUI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