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hint="eastAsia" w:asciiTheme="minorEastAsia" w:hAnsiTheme="minorEastAsia" w:cstheme="minorEastAsia"/>
          <w:b/>
          <w:bCs/>
          <w:sz w:val="36"/>
          <w:szCs w:val="36"/>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hint="eastAsia" w:asciiTheme="minorEastAsia" w:hAnsiTheme="minorEastAsia" w:cstheme="minorEastAsia"/>
          <w:b/>
          <w:bCs/>
          <w:sz w:val="36"/>
          <w:szCs w:val="36"/>
        </w:rPr>
      </w:pPr>
      <w:bookmarkStart w:id="0" w:name="_GoBack"/>
      <w:r>
        <w:rPr>
          <w:rFonts w:hint="eastAsia" w:asciiTheme="minorEastAsia" w:hAnsiTheme="minorEastAsia" w:cstheme="minorEastAsia"/>
          <w:b/>
          <w:bCs/>
          <w:sz w:val="36"/>
          <w:szCs w:val="36"/>
        </w:rPr>
        <w:t>CTA策略获利的理论基础</w:t>
      </w:r>
    </w:p>
    <w:bookmarkEnd w:id="0"/>
    <w:p>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hint="eastAsia" w:asciiTheme="minorEastAsia" w:hAnsiTheme="minorEastAsia" w:cstheme="minorEastAsia"/>
          <w:b/>
          <w:bCs/>
          <w:sz w:val="36"/>
          <w:szCs w:val="36"/>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r>
        <w:rPr>
          <w:rFonts w:hint="eastAsia" w:asciiTheme="minorEastAsia" w:hAnsiTheme="minorEastAsia" w:cstheme="minorEastAsia"/>
          <w:sz w:val="32"/>
          <w:szCs w:val="32"/>
        </w:rPr>
        <w:t>好的CTA策略应该是非常简洁的。真正有用的交易信号条件很少，策略开发者要做的就是从纷繁复杂的指标中找出少数几个真正有用的策略条件。完整的CTA策略应该包含以下4个部分：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楷体" w:hAnsi="楷体" w:eastAsia="楷体" w:cs="楷体"/>
          <w:b/>
          <w:bCs/>
          <w:sz w:val="32"/>
          <w:szCs w:val="32"/>
        </w:rPr>
      </w:pPr>
      <w:r>
        <w:rPr>
          <w:rFonts w:hint="eastAsia" w:ascii="黑体" w:hAnsi="黑体" w:eastAsia="黑体" w:cs="黑体"/>
          <w:b w:val="0"/>
          <w:bCs w:val="0"/>
          <w:sz w:val="32"/>
          <w:szCs w:val="32"/>
          <w:lang w:val="en-US" w:eastAsia="zh-CN"/>
        </w:rPr>
        <w:t>一、</w:t>
      </w:r>
      <w:r>
        <w:rPr>
          <w:rFonts w:hint="eastAsia" w:ascii="黑体" w:hAnsi="黑体" w:eastAsia="黑体" w:cs="黑体"/>
          <w:b w:val="0"/>
          <w:bCs w:val="0"/>
          <w:sz w:val="32"/>
          <w:szCs w:val="32"/>
        </w:rPr>
        <w:t>信号：赌涨还是赌跌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r>
        <w:rPr>
          <w:rFonts w:hint="eastAsia" w:asciiTheme="minorEastAsia" w:hAnsiTheme="minorEastAsia" w:cstheme="minorEastAsia"/>
          <w:sz w:val="32"/>
          <w:szCs w:val="32"/>
        </w:rPr>
        <w:t>用于判断什么时候做多，什么时候做空，什么时候不玩。反向信号在实践中意义不大，因为反向信号出现的时候，回撤已经比较大了。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二、过滤：是否该最终下注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r>
        <w:rPr>
          <w:rFonts w:hint="eastAsia" w:asciiTheme="minorEastAsia" w:hAnsiTheme="minorEastAsia" w:cstheme="minorEastAsia"/>
          <w:sz w:val="32"/>
          <w:szCs w:val="32"/>
        </w:rPr>
        <w:t>用于对交易信号进行进一步筛选，避免过于频繁的无谓交易，减少交易成本（手续费、滑点）损失。</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cstheme="minorEastAsia"/>
          <w:sz w:val="32"/>
          <w:szCs w:val="32"/>
        </w:rPr>
      </w:pPr>
      <w:r>
        <w:rPr>
          <w:rFonts w:asciiTheme="minorEastAsia" w:hAnsiTheme="minorEastAsia" w:cstheme="minorEastAsia"/>
          <w:sz w:val="32"/>
          <w:szCs w:val="32"/>
        </w:rPr>
        <w:drawing>
          <wp:anchor distT="0" distB="0" distL="114300" distR="114300" simplePos="0" relativeHeight="251660288" behindDoc="0" locked="0" layoutInCell="1" allowOverlap="1">
            <wp:simplePos x="0" y="0"/>
            <wp:positionH relativeFrom="column">
              <wp:posOffset>127000</wp:posOffset>
            </wp:positionH>
            <wp:positionV relativeFrom="paragraph">
              <wp:posOffset>277495</wp:posOffset>
            </wp:positionV>
            <wp:extent cx="5274310" cy="2425700"/>
            <wp:effectExtent l="0" t="0" r="2540" b="3175"/>
            <wp:wrapSquare wrapText="bothSides"/>
            <wp:docPr id="32" name="图片 32"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jpg"/>
                    <pic:cNvPicPr>
                      <a:picLocks noChangeAspect="1"/>
                    </pic:cNvPicPr>
                  </pic:nvPicPr>
                  <pic:blipFill>
                    <a:blip r:embed="rId5"/>
                    <a:stretch>
                      <a:fillRect/>
                    </a:stretch>
                  </pic:blipFill>
                  <pic:spPr>
                    <a:xfrm>
                      <a:off x="0" y="0"/>
                      <a:ext cx="5274310" cy="2425700"/>
                    </a:xfrm>
                    <a:prstGeom prst="rect">
                      <a:avLst/>
                    </a:prstGeom>
                  </pic:spPr>
                </pic:pic>
              </a:graphicData>
            </a:graphic>
          </wp:anchor>
        </w:drawing>
      </w:r>
      <w:r>
        <w:rPr>
          <w:rFonts w:hint="eastAsia" w:asciiTheme="minorEastAsia" w:hAnsiTheme="minorEastAsia" w:cstheme="minorEastAsia"/>
          <w:sz w:val="32"/>
          <w:szCs w:val="32"/>
        </w:rPr>
        <w:t>ATR指标不但考虑了价格，还考虑了市场波动程度，是一个比较实用的趋势强度指标。</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heme="minorEastAsia" w:hAnsiTheme="minorEastAsia" w:cstheme="minorEastAsia"/>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三、出场：手气不顺要跑</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r>
        <w:rPr>
          <w:rFonts w:hint="eastAsia" w:asciiTheme="minorEastAsia" w:hAnsiTheme="minorEastAsia" w:cstheme="minorEastAsia"/>
          <w:sz w:val="32"/>
          <w:szCs w:val="32"/>
        </w:rPr>
        <w:t>用于判断什么时候该平仓离场。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drawing>
          <wp:anchor distT="0" distB="0" distL="114300" distR="114300" simplePos="0" relativeHeight="251661312" behindDoc="0" locked="0" layoutInCell="1" allowOverlap="1">
            <wp:simplePos x="0" y="0"/>
            <wp:positionH relativeFrom="column">
              <wp:posOffset>76200</wp:posOffset>
            </wp:positionH>
            <wp:positionV relativeFrom="paragraph">
              <wp:posOffset>100330</wp:posOffset>
            </wp:positionV>
            <wp:extent cx="5269230" cy="1490345"/>
            <wp:effectExtent l="0" t="0" r="7620" b="5080"/>
            <wp:wrapSquare wrapText="bothSides"/>
            <wp:docPr id="33" name="图片 3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2"/>
                    <pic:cNvPicPr>
                      <a:picLocks noChangeAspect="1"/>
                    </pic:cNvPicPr>
                  </pic:nvPicPr>
                  <pic:blipFill>
                    <a:blip r:embed="rId6"/>
                    <a:stretch>
                      <a:fillRect/>
                    </a:stretch>
                  </pic:blipFill>
                  <pic:spPr>
                    <a:xfrm>
                      <a:off x="0" y="0"/>
                      <a:ext cx="5269230" cy="1490345"/>
                    </a:xfrm>
                    <a:prstGeom prst="rect">
                      <a:avLst/>
                    </a:prstGeom>
                  </pic:spPr>
                </pic:pic>
              </a:graphicData>
            </a:graphic>
          </wp:anchor>
        </w:drawing>
      </w:r>
      <w:r>
        <w:rPr>
          <w:rFonts w:hint="eastAsia" w:ascii="黑体" w:hAnsi="黑体" w:eastAsia="黑体" w:cs="黑体"/>
          <w:b w:val="0"/>
          <w:bCs w:val="0"/>
          <w:sz w:val="32"/>
          <w:szCs w:val="32"/>
          <w:lang w:val="en-US" w:eastAsia="zh-CN"/>
        </w:rPr>
        <w:t>四、仓位：每次赌多大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r>
        <w:rPr>
          <w:rFonts w:hint="eastAsia" w:asciiTheme="minorEastAsia" w:hAnsiTheme="minorEastAsia" w:cstheme="minorEastAsia"/>
          <w:sz w:val="32"/>
          <w:szCs w:val="32"/>
        </w:rPr>
        <w:t>每次平均下注，可能并非好的做法。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r>
        <w:rPr>
          <w:rFonts w:hint="eastAsia" w:asciiTheme="minorEastAsia" w:hAnsiTheme="minorEastAsia" w:cstheme="minorEastAsia"/>
          <w:sz w:val="32"/>
          <w:szCs w:val="32"/>
        </w:rPr>
        <w:t>大致的原则应该是市场波动大的时候，仓位应该降下来，市场波动小的时候；市场波动小的时候，仓位逐渐加大。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r>
        <w:rPr>
          <w:rFonts w:hint="eastAsia" w:asciiTheme="minorEastAsia" w:hAnsiTheme="minorEastAsia" w:cstheme="minorEastAsia"/>
          <w:sz w:val="32"/>
          <w:szCs w:val="32"/>
        </w:rPr>
        <w:t>如何控制：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u w:val="single"/>
        </w:rPr>
      </w:pPr>
      <w:r>
        <w:rPr>
          <w:rFonts w:hint="eastAsia" w:asciiTheme="minorEastAsia" w:hAnsiTheme="minorEastAsia" w:cstheme="minorEastAsia"/>
          <w:sz w:val="32"/>
          <w:szCs w:val="32"/>
          <w:u w:val="single"/>
        </w:rPr>
        <w:t>描绘市场风险</w:t>
      </w:r>
      <w:r>
        <w:rPr>
          <w:rFonts w:ascii="Arial" w:hAnsi="Arial" w:cs="Arial"/>
          <w:sz w:val="32"/>
          <w:szCs w:val="32"/>
          <w:u w:val="single"/>
        </w:rPr>
        <w:t>→</w:t>
      </w:r>
      <w:r>
        <w:rPr>
          <w:rFonts w:hint="eastAsia" w:asciiTheme="minorEastAsia" w:hAnsiTheme="minorEastAsia" w:cstheme="minorEastAsia"/>
          <w:sz w:val="32"/>
          <w:szCs w:val="32"/>
          <w:u w:val="single"/>
        </w:rPr>
        <w:t>反比例调整仓位</w:t>
      </w:r>
      <w:r>
        <w:rPr>
          <w:rFonts w:ascii="Arial" w:hAnsi="Arial" w:cs="Arial"/>
          <w:sz w:val="32"/>
          <w:szCs w:val="32"/>
          <w:u w:val="single"/>
        </w:rPr>
        <w:t>→</w:t>
      </w:r>
      <w:r>
        <w:rPr>
          <w:rFonts w:hint="eastAsia" w:asciiTheme="minorEastAsia" w:hAnsiTheme="minorEastAsia" w:cstheme="minorEastAsia"/>
          <w:sz w:val="32"/>
          <w:szCs w:val="32"/>
          <w:u w:val="single"/>
        </w:rPr>
        <w:t>平滑资金曲线</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五、统计指标</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r>
        <w:rPr>
          <w:rFonts w:hint="eastAsia" w:asciiTheme="minorEastAsia" w:hAnsiTheme="minorEastAsia" w:cstheme="minorEastAsia"/>
          <w:sz w:val="32"/>
          <w:szCs w:val="32"/>
        </w:rPr>
        <w:t>资金变动：年化收益率、回撤百分比、收益回撤比</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r>
        <w:rPr>
          <w:rFonts w:hint="eastAsia" w:asciiTheme="minorEastAsia" w:hAnsiTheme="minorEastAsia" w:cstheme="minorEastAsia"/>
          <w:sz w:val="32"/>
          <w:szCs w:val="32"/>
        </w:rPr>
        <w:t>交易统计：总盈亏、总手续费、总滑点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r>
        <w:rPr>
          <w:rFonts w:hint="eastAsia" w:asciiTheme="minorEastAsia" w:hAnsiTheme="minorEastAsia" w:cstheme="minorEastAsia"/>
          <w:sz w:val="32"/>
          <w:szCs w:val="32"/>
        </w:rPr>
        <w:t>曲线形态：日均收益、标准差、夏普比率</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r>
        <w:rPr>
          <w:rFonts w:hint="eastAsia" w:asciiTheme="minorEastAsia" w:hAnsiTheme="minorEastAsia" w:cstheme="minorEastAsia"/>
          <w:sz w:val="32"/>
          <w:szCs w:val="32"/>
        </w:rPr>
        <w:t>图表分析：</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r>
        <w:rPr>
          <w:rFonts w:hint="eastAsia" w:asciiTheme="minorEastAsia" w:hAnsiTheme="minorEastAsia" w:cstheme="minorEastAsia"/>
          <w:sz w:val="32"/>
          <w:szCs w:val="32"/>
        </w:rPr>
        <w:t>账户净值：看整体的斜度和波动度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r>
        <w:rPr>
          <w:rFonts w:hint="eastAsia" w:asciiTheme="minorEastAsia" w:hAnsiTheme="minorEastAsia" w:cstheme="minorEastAsia"/>
          <w:sz w:val="32"/>
          <w:szCs w:val="32"/>
        </w:rPr>
        <w:t>净值回撤：看回撤的幅度和时间点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r>
        <w:rPr>
          <w:rFonts w:hint="eastAsia" w:asciiTheme="minorEastAsia" w:hAnsiTheme="minorEastAsia" w:cstheme="minorEastAsia"/>
          <w:sz w:val="32"/>
          <w:szCs w:val="32"/>
        </w:rPr>
        <w:t>回撤：此前最临近的最高点到目前的价差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r>
        <w:rPr>
          <w:rFonts w:hint="eastAsia" w:asciiTheme="minorEastAsia" w:hAnsiTheme="minorEastAsia" w:cstheme="minorEastAsia"/>
          <w:sz w:val="32"/>
          <w:szCs w:val="32"/>
        </w:rPr>
        <w:t>每日盈亏：看红绿是否均匀以及大盈利日期</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r>
        <w:rPr>
          <w:rFonts w:hint="eastAsia" w:asciiTheme="minorEastAsia" w:hAnsiTheme="minorEastAsia" w:cstheme="minorEastAsia"/>
          <w:sz w:val="32"/>
          <w:szCs w:val="32"/>
        </w:rPr>
        <w:t>盈亏分布：看右侧是否长尾，分布最高点位于0点左右</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0"/>
        <w:rPr>
          <w:rFonts w:hint="eastAsia" w:ascii="黑体" w:hAnsi="黑体" w:eastAsia="黑体" w:cs="黑体"/>
          <w:b w:val="0"/>
          <w:bCs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0"/>
        <w:rPr>
          <w:rFonts w:hint="eastAsia" w:ascii="黑体" w:hAnsi="黑体" w:eastAsia="黑体" w:cs="黑体"/>
          <w:b w:val="0"/>
          <w:bCs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0"/>
        <w:rPr>
          <w:rFonts w:asciiTheme="minorEastAsia" w:hAnsiTheme="minorEastAsia" w:cstheme="minorEastAsia"/>
          <w:sz w:val="32"/>
          <w:szCs w:val="32"/>
        </w:rPr>
      </w:pPr>
      <w:r>
        <w:rPr>
          <w:rFonts w:hint="eastAsia" w:ascii="黑体" w:hAnsi="黑体" w:eastAsia="黑体" w:cs="黑体"/>
          <w:b w:val="0"/>
          <w:bCs w:val="0"/>
          <w:sz w:val="32"/>
          <w:szCs w:val="32"/>
          <w:lang w:val="en-US" w:eastAsia="zh-CN"/>
        </w:rPr>
        <w:t>六、决定CTA策略能否盈利的核心逻辑公式</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asciiTheme="minorEastAsia" w:hAnsiTheme="minorEastAsia" w:cstheme="minorEastAsia"/>
          <w:b/>
          <w:bCs/>
          <w:sz w:val="32"/>
          <w:szCs w:val="32"/>
        </w:rPr>
      </w:pPr>
      <w:r>
        <w:rPr>
          <w:rFonts w:hint="eastAsia" w:asciiTheme="minorEastAsia" w:hAnsiTheme="minorEastAsia" w:cstheme="minorEastAsia"/>
          <w:b/>
          <w:bCs/>
          <w:sz w:val="32"/>
          <w:szCs w:val="32"/>
          <w:lang w:eastAsia="zh-CN"/>
        </w:rPr>
        <w:t>（</w:t>
      </w:r>
      <w:r>
        <w:rPr>
          <w:rFonts w:hint="eastAsia" w:asciiTheme="minorEastAsia" w:hAnsiTheme="minorEastAsia" w:cstheme="minorEastAsia"/>
          <w:b/>
          <w:bCs/>
          <w:sz w:val="32"/>
          <w:szCs w:val="32"/>
          <w:lang w:val="en-US" w:eastAsia="zh-CN"/>
        </w:rPr>
        <w:t>一</w:t>
      </w:r>
      <w:r>
        <w:rPr>
          <w:rFonts w:hint="eastAsia" w:asciiTheme="minorEastAsia" w:hAnsiTheme="minorEastAsia" w:cstheme="minorEastAsia"/>
          <w:b/>
          <w:bCs/>
          <w:sz w:val="32"/>
          <w:szCs w:val="32"/>
          <w:lang w:eastAsia="zh-CN"/>
        </w:rPr>
        <w:t>）</w:t>
      </w:r>
      <w:r>
        <w:rPr>
          <w:rFonts w:hint="eastAsia" w:asciiTheme="minorEastAsia" w:hAnsiTheme="minorEastAsia" w:cstheme="minorEastAsia"/>
          <w:b/>
          <w:bCs/>
          <w:sz w:val="32"/>
          <w:szCs w:val="32"/>
        </w:rPr>
        <w:t>交易胜率 * 盈亏比 = 预期收益率</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asciiTheme="minorEastAsia" w:hAnsiTheme="minorEastAsia" w:cstheme="minorEastAsia"/>
          <w:b/>
          <w:bCs/>
          <w:sz w:val="32"/>
          <w:szCs w:val="32"/>
        </w:rPr>
      </w:pPr>
      <w:r>
        <w:rPr>
          <w:rFonts w:hint="eastAsia" w:asciiTheme="minorEastAsia" w:hAnsiTheme="minorEastAsia" w:cstheme="minorEastAsia"/>
          <w:b/>
          <w:bCs/>
          <w:sz w:val="32"/>
          <w:szCs w:val="32"/>
          <w:lang w:eastAsia="zh-CN"/>
        </w:rPr>
        <w:t>（</w:t>
      </w:r>
      <w:r>
        <w:rPr>
          <w:rFonts w:hint="eastAsia" w:asciiTheme="minorEastAsia" w:hAnsiTheme="minorEastAsia" w:cstheme="minorEastAsia"/>
          <w:b/>
          <w:bCs/>
          <w:sz w:val="32"/>
          <w:szCs w:val="32"/>
          <w:lang w:val="en-US" w:eastAsia="zh-CN"/>
        </w:rPr>
        <w:t>二</w:t>
      </w:r>
      <w:r>
        <w:rPr>
          <w:rFonts w:hint="eastAsia" w:asciiTheme="minorEastAsia" w:hAnsiTheme="minorEastAsia" w:cstheme="minorEastAsia"/>
          <w:b/>
          <w:bCs/>
          <w:sz w:val="32"/>
          <w:szCs w:val="32"/>
          <w:lang w:eastAsia="zh-CN"/>
        </w:rPr>
        <w:t>）</w:t>
      </w:r>
      <w:r>
        <w:rPr>
          <w:rFonts w:hint="eastAsia" w:asciiTheme="minorEastAsia" w:hAnsiTheme="minorEastAsia" w:cstheme="minorEastAsia"/>
          <w:b/>
          <w:bCs/>
          <w:sz w:val="32"/>
          <w:szCs w:val="32"/>
        </w:rPr>
        <w:t>预期收益率 * 市场波动 =  预期收益额</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asciiTheme="minorEastAsia" w:hAnsiTheme="minorEastAsia" w:cstheme="minorEastAsia"/>
          <w:b/>
          <w:bCs/>
          <w:sz w:val="32"/>
          <w:szCs w:val="32"/>
        </w:rPr>
      </w:pPr>
      <w:r>
        <w:rPr>
          <w:rFonts w:hint="eastAsia" w:asciiTheme="minorEastAsia" w:hAnsiTheme="minorEastAsia" w:cstheme="minorEastAsia"/>
          <w:b/>
          <w:bCs/>
          <w:sz w:val="32"/>
          <w:szCs w:val="32"/>
          <w:lang w:eastAsia="zh-CN"/>
        </w:rPr>
        <w:t>（</w:t>
      </w:r>
      <w:r>
        <w:rPr>
          <w:rFonts w:hint="eastAsia" w:asciiTheme="minorEastAsia" w:hAnsiTheme="minorEastAsia" w:cstheme="minorEastAsia"/>
          <w:b/>
          <w:bCs/>
          <w:sz w:val="32"/>
          <w:szCs w:val="32"/>
          <w:lang w:val="en-US" w:eastAsia="zh-CN"/>
        </w:rPr>
        <w:t>三</w:t>
      </w:r>
      <w:r>
        <w:rPr>
          <w:rFonts w:hint="eastAsia" w:asciiTheme="minorEastAsia" w:hAnsiTheme="minorEastAsia" w:cstheme="minorEastAsia"/>
          <w:b/>
          <w:bCs/>
          <w:sz w:val="32"/>
          <w:szCs w:val="32"/>
          <w:lang w:eastAsia="zh-CN"/>
        </w:rPr>
        <w:t>）</w:t>
      </w:r>
      <w:r>
        <w:rPr>
          <w:rFonts w:hint="eastAsia" w:asciiTheme="minorEastAsia" w:hAnsiTheme="minorEastAsia" w:cstheme="minorEastAsia"/>
          <w:b/>
          <w:bCs/>
          <w:sz w:val="32"/>
          <w:szCs w:val="32"/>
        </w:rPr>
        <w:t>预期收益额 - 交易成本 = 实际收益额</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ascii="楷体" w:hAnsi="楷体" w:eastAsia="楷体" w:cs="楷体"/>
          <w:b/>
          <w:bCs/>
          <w:sz w:val="32"/>
          <w:szCs w:val="32"/>
        </w:rPr>
      </w:pPr>
      <w:r>
        <w:rPr>
          <w:rFonts w:hint="eastAsia" w:asciiTheme="minorEastAsia" w:hAnsiTheme="minorEastAsia" w:cstheme="minorEastAsia"/>
          <w:b/>
          <w:bCs/>
          <w:sz w:val="32"/>
          <w:szCs w:val="32"/>
          <w:lang w:eastAsia="zh-CN"/>
        </w:rPr>
        <w:t>（</w:t>
      </w:r>
      <w:r>
        <w:rPr>
          <w:rFonts w:hint="eastAsia" w:asciiTheme="minorEastAsia" w:hAnsiTheme="minorEastAsia" w:cstheme="minorEastAsia"/>
          <w:b/>
          <w:bCs/>
          <w:sz w:val="32"/>
          <w:szCs w:val="32"/>
          <w:lang w:val="en-US" w:eastAsia="zh-CN"/>
        </w:rPr>
        <w:t>四</w:t>
      </w:r>
      <w:r>
        <w:rPr>
          <w:rFonts w:hint="eastAsia" w:asciiTheme="minorEastAsia" w:hAnsiTheme="minorEastAsia" w:cstheme="minorEastAsia"/>
          <w:b/>
          <w:bCs/>
          <w:sz w:val="32"/>
          <w:szCs w:val="32"/>
          <w:lang w:eastAsia="zh-CN"/>
        </w:rPr>
        <w:t>）</w:t>
      </w:r>
      <w:r>
        <w:rPr>
          <w:rFonts w:hint="eastAsia" w:asciiTheme="minorEastAsia" w:hAnsiTheme="minorEastAsia" w:cstheme="minorEastAsia"/>
          <w:b/>
          <w:bCs/>
          <w:sz w:val="32"/>
          <w:szCs w:val="32"/>
        </w:rPr>
        <w:t>实际收益额 *</w:t>
      </w:r>
      <w:r>
        <w:rPr>
          <w:rFonts w:asciiTheme="minorEastAsia" w:hAnsiTheme="minorEastAsia" w:cstheme="minorEastAsia"/>
          <w:b/>
          <w:bCs/>
          <w:sz w:val="32"/>
          <w:szCs w:val="32"/>
        </w:rPr>
        <w:t xml:space="preserve"> </w:t>
      </w:r>
      <w:r>
        <w:rPr>
          <w:rFonts w:hint="eastAsia" w:asciiTheme="minorEastAsia" w:hAnsiTheme="minorEastAsia" w:cstheme="minorEastAsia"/>
          <w:b/>
          <w:bCs/>
          <w:sz w:val="32"/>
          <w:szCs w:val="32"/>
        </w:rPr>
        <w:t>仓位的风险暴露 = 账户的资金曲线</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r>
        <w:rPr>
          <w:rFonts w:hint="eastAsia" w:asciiTheme="minorEastAsia" w:hAnsiTheme="minorEastAsia" w:cstheme="minorEastAsia"/>
          <w:sz w:val="32"/>
          <w:szCs w:val="32"/>
        </w:rPr>
        <w:t>CTA策略的本质是趋势跟踪策略，交易策略的重要核心就是过滤出市场波动足够大的行情，追求的是较高的盈亏比，预期收益往往远高于（数倍/数十倍）交易成本，但相比高频策略而言，交易胜率相对较低。大致可以理解为，虽然时不时会亏钱，但不会亏太多钱，一旦赚钱就会赚很多钱。因此，对CTA策略而言，行情波动幅度越大，越容易获利。</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楷体" w:hAnsi="楷体" w:eastAsia="楷体" w:cs="楷体"/>
          <w:b/>
          <w:bCs/>
          <w:sz w:val="32"/>
          <w:szCs w:val="32"/>
        </w:rPr>
      </w:pPr>
      <w:r>
        <w:rPr>
          <w:rFonts w:hint="eastAsia" w:asciiTheme="minorEastAsia" w:hAnsiTheme="minorEastAsia" w:cstheme="minorEastAsia"/>
          <w:sz w:val="32"/>
          <w:szCs w:val="32"/>
        </w:rPr>
        <w:t>高频策略能够盈利的主要原因在于超高的胜率，但相对CTA策略而言盈亏比相对较低，每次交易获利甚微。开发高频交易策略，需要非常细致的tick级甚至更精细数据的建模分析。但实盘交易中，交易员能获得的最精细数据只有tick级的切片数据，要想获得相邻两个tick数据之间的更加精细的行情信息，只有通过成交数据来推理获得。因此，高频交易策略的研发成本非常高。</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r>
        <w:rPr>
          <w:rFonts w:hint="eastAsia" w:asciiTheme="minorEastAsia" w:hAnsiTheme="minorEastAsia" w:cstheme="minorEastAsia"/>
          <w:sz w:val="32"/>
          <w:szCs w:val="32"/>
        </w:rPr>
        <w:t>如何控制仓位：</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r>
        <w:rPr>
          <w:rFonts w:hint="eastAsia" w:asciiTheme="minorEastAsia" w:hAnsiTheme="minorEastAsia" w:cstheme="minorEastAsia"/>
          <w:sz w:val="32"/>
          <w:szCs w:val="32"/>
        </w:rPr>
        <w:t xml:space="preserve">描绘市场风险 </w:t>
      </w:r>
      <w:r>
        <w:rPr>
          <w:rFonts w:ascii="Arial" w:hAnsi="Arial" w:cs="Arial"/>
          <w:sz w:val="32"/>
          <w:szCs w:val="32"/>
        </w:rPr>
        <w:t>→</w:t>
      </w:r>
      <w:r>
        <w:rPr>
          <w:rFonts w:hint="eastAsia" w:asciiTheme="minorEastAsia" w:hAnsiTheme="minorEastAsia" w:cstheme="minorEastAsia"/>
          <w:sz w:val="32"/>
          <w:szCs w:val="32"/>
        </w:rPr>
        <w:t xml:space="preserve"> 反比例调整仓位 </w:t>
      </w:r>
      <w:r>
        <w:rPr>
          <w:rFonts w:ascii="Arial" w:hAnsi="Arial" w:cs="Arial"/>
          <w:sz w:val="32"/>
          <w:szCs w:val="32"/>
        </w:rPr>
        <w:t>→</w:t>
      </w:r>
      <w:r>
        <w:rPr>
          <w:rFonts w:hint="eastAsia" w:asciiTheme="minorEastAsia" w:hAnsiTheme="minorEastAsia" w:cstheme="minorEastAsia"/>
          <w:sz w:val="32"/>
          <w:szCs w:val="32"/>
        </w:rPr>
        <w:t xml:space="preserve"> 平滑资金曲线</w:t>
      </w:r>
    </w:p>
    <w:p>
      <w:pPr>
        <w:keepNext w:val="0"/>
        <w:keepLines w:val="0"/>
        <w:pageBreakBefore w:val="0"/>
        <w:widowControl w:val="0"/>
        <w:tabs>
          <w:tab w:val="right" w:pos="7666"/>
        </w:tabs>
        <w:kinsoku/>
        <w:wordWrap/>
        <w:overflowPunct/>
        <w:topLinePunct w:val="0"/>
        <w:autoSpaceDE/>
        <w:autoSpaceDN/>
        <w:bidi w:val="0"/>
        <w:adjustRightInd/>
        <w:snapToGrid/>
        <w:spacing w:line="560" w:lineRule="exact"/>
        <w:ind w:firstLine="640" w:firstLineChars="200"/>
        <w:textAlignment w:val="auto"/>
        <w:rPr>
          <w:rFonts w:asciiTheme="minorEastAsia" w:hAnsiTheme="minorEastAsia" w:cstheme="minorEastAsia"/>
          <w:sz w:val="32"/>
          <w:szCs w:val="32"/>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pPr>
                      <w:pStyle w:val="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4062"/>
    <w:rsid w:val="000A696C"/>
    <w:rsid w:val="005B2B34"/>
    <w:rsid w:val="00703C29"/>
    <w:rsid w:val="00AC7BE6"/>
    <w:rsid w:val="00E828F9"/>
    <w:rsid w:val="00FA4062"/>
    <w:rsid w:val="016F5620"/>
    <w:rsid w:val="01D0641C"/>
    <w:rsid w:val="01D4376C"/>
    <w:rsid w:val="020341FE"/>
    <w:rsid w:val="028E07C3"/>
    <w:rsid w:val="02BB2B05"/>
    <w:rsid w:val="042B2636"/>
    <w:rsid w:val="055400E0"/>
    <w:rsid w:val="05FF6CF5"/>
    <w:rsid w:val="07131027"/>
    <w:rsid w:val="07837594"/>
    <w:rsid w:val="07D95A1A"/>
    <w:rsid w:val="07F265D5"/>
    <w:rsid w:val="0819378E"/>
    <w:rsid w:val="090029B8"/>
    <w:rsid w:val="09E67D98"/>
    <w:rsid w:val="09EB3AF5"/>
    <w:rsid w:val="0AD20742"/>
    <w:rsid w:val="0C234065"/>
    <w:rsid w:val="0DCF17FA"/>
    <w:rsid w:val="0E93084F"/>
    <w:rsid w:val="0FFF6566"/>
    <w:rsid w:val="107804C1"/>
    <w:rsid w:val="11071AA3"/>
    <w:rsid w:val="117629FB"/>
    <w:rsid w:val="119E6865"/>
    <w:rsid w:val="11B2013E"/>
    <w:rsid w:val="126E7299"/>
    <w:rsid w:val="136A6E55"/>
    <w:rsid w:val="18851C75"/>
    <w:rsid w:val="18950A7C"/>
    <w:rsid w:val="18F73F2E"/>
    <w:rsid w:val="197F5021"/>
    <w:rsid w:val="1AA91920"/>
    <w:rsid w:val="1BF875CA"/>
    <w:rsid w:val="1CD6404D"/>
    <w:rsid w:val="1D4B68D1"/>
    <w:rsid w:val="1F446B45"/>
    <w:rsid w:val="20B717FD"/>
    <w:rsid w:val="21951C51"/>
    <w:rsid w:val="21AF7884"/>
    <w:rsid w:val="24041AED"/>
    <w:rsid w:val="241F04A1"/>
    <w:rsid w:val="244F5B24"/>
    <w:rsid w:val="2454712E"/>
    <w:rsid w:val="24994FB9"/>
    <w:rsid w:val="253D4C73"/>
    <w:rsid w:val="26E21E04"/>
    <w:rsid w:val="274D0B6D"/>
    <w:rsid w:val="27F64CE6"/>
    <w:rsid w:val="28367580"/>
    <w:rsid w:val="28D1769C"/>
    <w:rsid w:val="2B2709F3"/>
    <w:rsid w:val="2C18368C"/>
    <w:rsid w:val="2C6B2C8F"/>
    <w:rsid w:val="2D2D0E3A"/>
    <w:rsid w:val="2D6E3B45"/>
    <w:rsid w:val="2DDA7A75"/>
    <w:rsid w:val="2E252E5D"/>
    <w:rsid w:val="2EA71814"/>
    <w:rsid w:val="2F5D5156"/>
    <w:rsid w:val="2F8F7634"/>
    <w:rsid w:val="309F198C"/>
    <w:rsid w:val="31483D65"/>
    <w:rsid w:val="315942AD"/>
    <w:rsid w:val="318B18B2"/>
    <w:rsid w:val="334340D6"/>
    <w:rsid w:val="34373783"/>
    <w:rsid w:val="3506593C"/>
    <w:rsid w:val="354B732C"/>
    <w:rsid w:val="35525C8D"/>
    <w:rsid w:val="35BA104B"/>
    <w:rsid w:val="3600383A"/>
    <w:rsid w:val="36D9425E"/>
    <w:rsid w:val="376B7C66"/>
    <w:rsid w:val="37966B87"/>
    <w:rsid w:val="386E3F0F"/>
    <w:rsid w:val="39731763"/>
    <w:rsid w:val="3A3F3577"/>
    <w:rsid w:val="3AC663C2"/>
    <w:rsid w:val="3AFF20E2"/>
    <w:rsid w:val="3B376893"/>
    <w:rsid w:val="3B3F178D"/>
    <w:rsid w:val="3B88742F"/>
    <w:rsid w:val="3BD2418A"/>
    <w:rsid w:val="3BD42A9B"/>
    <w:rsid w:val="3C61200A"/>
    <w:rsid w:val="3CDA5B8A"/>
    <w:rsid w:val="3E0E5E99"/>
    <w:rsid w:val="3ECF1593"/>
    <w:rsid w:val="4096761B"/>
    <w:rsid w:val="40F277FA"/>
    <w:rsid w:val="412363DC"/>
    <w:rsid w:val="41262F71"/>
    <w:rsid w:val="4155681D"/>
    <w:rsid w:val="420430F7"/>
    <w:rsid w:val="423D6369"/>
    <w:rsid w:val="428201A9"/>
    <w:rsid w:val="42F63A71"/>
    <w:rsid w:val="43CF73F8"/>
    <w:rsid w:val="43F200A7"/>
    <w:rsid w:val="444A6D62"/>
    <w:rsid w:val="45F2298D"/>
    <w:rsid w:val="45F501F7"/>
    <w:rsid w:val="461377E3"/>
    <w:rsid w:val="47086B50"/>
    <w:rsid w:val="47090FF2"/>
    <w:rsid w:val="482C777C"/>
    <w:rsid w:val="486E014F"/>
    <w:rsid w:val="48B91309"/>
    <w:rsid w:val="49707ACB"/>
    <w:rsid w:val="4A1E000B"/>
    <w:rsid w:val="4A8A5940"/>
    <w:rsid w:val="4ABB4358"/>
    <w:rsid w:val="4B2B4C18"/>
    <w:rsid w:val="4B831AFA"/>
    <w:rsid w:val="4D075BA9"/>
    <w:rsid w:val="4DDC6C79"/>
    <w:rsid w:val="4DFF036C"/>
    <w:rsid w:val="4E094AF2"/>
    <w:rsid w:val="4E395485"/>
    <w:rsid w:val="4F01706E"/>
    <w:rsid w:val="4FE8008B"/>
    <w:rsid w:val="50194CA8"/>
    <w:rsid w:val="5071465E"/>
    <w:rsid w:val="52F6522C"/>
    <w:rsid w:val="54036FB3"/>
    <w:rsid w:val="543A4A46"/>
    <w:rsid w:val="55D275F5"/>
    <w:rsid w:val="56BC7C92"/>
    <w:rsid w:val="57BF2A13"/>
    <w:rsid w:val="57C705B4"/>
    <w:rsid w:val="58773281"/>
    <w:rsid w:val="58AB0899"/>
    <w:rsid w:val="597E5F94"/>
    <w:rsid w:val="59D23FE7"/>
    <w:rsid w:val="5AA83CB8"/>
    <w:rsid w:val="5AE04450"/>
    <w:rsid w:val="5BEC11EE"/>
    <w:rsid w:val="5D51186D"/>
    <w:rsid w:val="5DA21BAB"/>
    <w:rsid w:val="5E3E5ED5"/>
    <w:rsid w:val="5E5F2735"/>
    <w:rsid w:val="5ED762BB"/>
    <w:rsid w:val="5F827024"/>
    <w:rsid w:val="5FA00F22"/>
    <w:rsid w:val="600841E1"/>
    <w:rsid w:val="60E6184A"/>
    <w:rsid w:val="61BE5EB4"/>
    <w:rsid w:val="61E16E04"/>
    <w:rsid w:val="62233812"/>
    <w:rsid w:val="633571D9"/>
    <w:rsid w:val="637C29F6"/>
    <w:rsid w:val="64322C46"/>
    <w:rsid w:val="64851C23"/>
    <w:rsid w:val="661660BD"/>
    <w:rsid w:val="68BA0A2B"/>
    <w:rsid w:val="6905191F"/>
    <w:rsid w:val="695D17AF"/>
    <w:rsid w:val="6A227E0B"/>
    <w:rsid w:val="6A49117F"/>
    <w:rsid w:val="6A692E06"/>
    <w:rsid w:val="6ADD0D90"/>
    <w:rsid w:val="6B9A3F1E"/>
    <w:rsid w:val="6BBD7A4A"/>
    <w:rsid w:val="6BF545A7"/>
    <w:rsid w:val="6C2023C6"/>
    <w:rsid w:val="6C490466"/>
    <w:rsid w:val="6D7A4342"/>
    <w:rsid w:val="6D85299B"/>
    <w:rsid w:val="6E9E1D09"/>
    <w:rsid w:val="70506E84"/>
    <w:rsid w:val="70B81FEA"/>
    <w:rsid w:val="71B50A26"/>
    <w:rsid w:val="71F90CBC"/>
    <w:rsid w:val="72E02E5A"/>
    <w:rsid w:val="730C45AB"/>
    <w:rsid w:val="738C5B1F"/>
    <w:rsid w:val="750167CF"/>
    <w:rsid w:val="75773E59"/>
    <w:rsid w:val="7593133F"/>
    <w:rsid w:val="765E04A0"/>
    <w:rsid w:val="766F163C"/>
    <w:rsid w:val="777D0569"/>
    <w:rsid w:val="77E86A1E"/>
    <w:rsid w:val="79E312EC"/>
    <w:rsid w:val="79EB7B0C"/>
    <w:rsid w:val="7A377F36"/>
    <w:rsid w:val="7A7B631A"/>
    <w:rsid w:val="7A914D99"/>
    <w:rsid w:val="7B8C4B3E"/>
    <w:rsid w:val="7C890D6B"/>
    <w:rsid w:val="7EF802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kern w:val="0"/>
      <w:sz w:val="36"/>
      <w:szCs w:val="36"/>
    </w:rPr>
  </w:style>
  <w:style w:type="character" w:default="1" w:styleId="9">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7">
    <w:name w:val="Normal (Web)"/>
    <w:basedOn w:val="1"/>
    <w:qFormat/>
    <w:uiPriority w:val="0"/>
    <w:pPr>
      <w:spacing w:beforeAutospacing="1" w:afterAutospacing="1"/>
      <w:jc w:val="left"/>
    </w:pPr>
    <w:rPr>
      <w:rFonts w:cs="Times New Roman"/>
      <w:kern w:val="0"/>
      <w:sz w:val="24"/>
    </w:rPr>
  </w:style>
  <w:style w:type="character" w:styleId="10">
    <w:name w:val="Strong"/>
    <w:basedOn w:val="9"/>
    <w:qFormat/>
    <w:uiPriority w:val="0"/>
    <w:rPr>
      <w:b/>
    </w:rPr>
  </w:style>
  <w:style w:type="character" w:styleId="11">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162</Words>
  <Characters>924</Characters>
  <Lines>7</Lines>
  <Paragraphs>2</Paragraphs>
  <TotalTime>3</TotalTime>
  <ScaleCrop>false</ScaleCrop>
  <LinksUpToDate>false</LinksUpToDate>
  <CharactersWithSpaces>1084</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2020-06-28T07:40:00Z</dcterms:created>
  <dc:creator>huangning</dc:creator>
  <cp:lastModifiedBy>HN</cp:lastModifiedBy>
  <dcterms:modified xsi:type="dcterms:W3CDTF">2021-08-30T13:07:56Z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1D34671DAB214E9DA4F88BA061BA0750</vt:lpwstr>
  </property>
</Properties>
</file>