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  <w:r>
        <w:rPr>
          <w:rFonts w:hint="eastAsia" w:asciiTheme="majorEastAsia" w:hAnsiTheme="majorEastAsia" w:eastAsiaTheme="majorEastAsia" w:cstheme="majorEastAsia"/>
          <w:b/>
          <w:bCs/>
          <w:sz w:val="36"/>
          <w:szCs w:val="36"/>
          <w:lang w:val="en-US" w:eastAsia="zh-CN"/>
        </w:rPr>
        <w:t>期货夜盘交易时间段的归属</w:t>
      </w: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560" w:lineRule="exact"/>
        <w:jc w:val="center"/>
        <w:textAlignment w:val="auto"/>
        <w:outlineLvl w:val="0"/>
        <w:rPr>
          <w:rFonts w:hint="eastAsia" w:ascii="黑体" w:hAnsi="黑体" w:eastAsia="黑体" w:cs="黑体"/>
          <w:b w:val="0"/>
          <w:bCs w:val="0"/>
          <w:sz w:val="32"/>
          <w:szCs w:val="32"/>
          <w:lang w:val="en-US" w:eastAsia="zh-CN"/>
        </w:rPr>
      </w:pPr>
    </w:p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（一）完整交易时段的构成。期货的交易时间段不是按照自然日来划分。很多商品合约有夜盘，比如螺纹钢、黄金、铁矿石等等。夜盘时间段加上第二天早上9点至下午3点构成一个完整的交易时段。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  <w:rPr>
          <w:rFonts w:hint="eastAsia" w:ascii="仿宋" w:hAnsi="仿宋" w:eastAsia="仿宋" w:cs="仿宋"/>
          <w:sz w:val="32"/>
          <w:szCs w:val="32"/>
          <w:lang w:val="en-US" w:eastAsia="zh-CN"/>
        </w:rPr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（二）每个完整交易时段CTP会关机两次。夜盘结束后柜台会关机，</w:t>
      </w:r>
      <w:r>
        <w:rPr>
          <w:rFonts w:hint="eastAsia" w:ascii="仿宋" w:hAnsi="仿宋" w:eastAsia="仿宋" w:cs="仿宋"/>
          <w:b/>
          <w:bCs/>
          <w:sz w:val="32"/>
          <w:szCs w:val="32"/>
          <w:u w:val="single"/>
          <w:lang w:val="en-US" w:eastAsia="zh-CN"/>
        </w:rPr>
        <w:t>第二天早上开盘前不会有集合竞价</w:t>
      </w: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。第二天下午15点收盘后，CTP接口会关闭，此时当前的</w:t>
      </w:r>
      <w:bookmarkStart w:id="0" w:name="_GoBack"/>
      <w:bookmarkEnd w:id="0"/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trading session结束。当天夜盘时间21点CTP柜台会再打开。</w:t>
      </w:r>
    </w:p>
    <w:p>
      <w:pPr>
        <w:keepNext w:val="0"/>
        <w:keepLines w:val="0"/>
        <w:pageBreakBefore w:val="0"/>
        <w:widowControl w:val="0"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ind w:firstLine="640" w:firstLineChars="200"/>
        <w:textAlignment w:val="auto"/>
      </w:pPr>
      <w:r>
        <w:rPr>
          <w:rFonts w:hint="eastAsia" w:ascii="仿宋" w:hAnsi="仿宋" w:eastAsia="仿宋" w:cs="仿宋"/>
          <w:sz w:val="32"/>
          <w:szCs w:val="32"/>
          <w:lang w:val="en-US" w:eastAsia="zh-CN"/>
        </w:rPr>
        <w:t>（三）CTP关闭后，交易策略也一定要关掉，否则可能会在交易时段结束后或者在柜台重启过程中收到垃圾数据。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仿宋">
    <w:panose1 w:val="02010609060101010101"/>
    <w:charset w:val="86"/>
    <w:family w:val="auto"/>
    <w:pitch w:val="default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2D671005"/>
    <w:rsid w:val="4A4908A1"/>
    <w:rsid w:val="5AE40E08"/>
    <w:rsid w:val="60561A73"/>
    <w:rsid w:val="7D6E2E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customXml" Target="../customXml/item1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CCE8C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13</TotalTime>
  <ScaleCrop>false</ScaleCrop>
  <LinksUpToDate>false</LinksUpToDate>
  <CharactersWithSpaces>0</CharactersWithSpaces>
  <Application>WPS Office_11.1.0.10667_F1E327BC-269C-435d-A152-05C5408002CA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2021-01-23T13:32:00Z</dcterms:created>
  <dc:creator>黄柠</dc:creator>
  <cp:lastModifiedBy>HN</cp:lastModifiedBy>
  <dcterms:modified xsi:type="dcterms:W3CDTF">2021-08-05T13:08:10Z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2052-11.1.0.10667</vt:lpwstr>
  </property>
  <property fmtid="{D5CDD505-2E9C-101B-9397-08002B2CF9AE}" pid="3" name="ICV">
    <vt:lpwstr>7B931A4713054168AE10A5A2E6BD8B67</vt:lpwstr>
  </property>
</Properties>
</file>