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1. </w:t>
      </w:r>
      <w:bookmarkStart w:id="0" w:name="_GoBack"/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平今惩罚</w:t>
      </w:r>
      <w:bookmarkEnd w:id="0"/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。如果是有平今惩罚的策略，在平仓的时候一定要使用锁仓模式，否则再赚钱的策略，在高额平今惩罚下都有可能亏钱。目前，如果交易IF IH IC的中金所期货的话，可能需要考虑锁仓的模式，其他的目前不存在平今惩罚的问题。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126019"/>
    <w:rsid w:val="19AC2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Office_11.1.0.10667_F1E327BC-269C-435d-A152-05C5408002CA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2021-07-07T07:44:00Z</dcterms:created>
  <dc:creator>huangning</dc:creator>
  <cp:lastModifiedBy>HN</cp:lastModifiedBy>
  <dcterms:modified xsi:type="dcterms:W3CDTF">2021-07-31T02:32:33Z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D4DFBA580E334FA2B08BFBD50DDF3B62</vt:lpwstr>
  </property>
</Properties>
</file>