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eastAsia" w:ascii="仿宋" w:hAnsi="仿宋" w:eastAsia="仿宋" w:cs="仿宋"/>
          <w:sz w:val="32"/>
          <w:szCs w:val="32"/>
          <w:lang w:val="en-US" w:eastAsia="zh-CN"/>
        </w:rPr>
      </w:pPr>
      <w:r>
        <w:rPr>
          <w:rFonts w:hint="eastAsia" w:ascii="宋体" w:hAnsi="宋体" w:eastAsia="宋体" w:cs="宋体"/>
          <w:b/>
          <w:bCs/>
          <w:sz w:val="36"/>
          <w:szCs w:val="36"/>
          <w:lang w:val="en-US" w:eastAsia="zh-CN"/>
        </w:rPr>
        <w:t>价差交易小班课</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仿宋" w:hAnsi="仿宋" w:eastAsia="仿宋" w:cs="仿宋"/>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一、量化交易的本质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在未知领域不断向前探索，每一次解决新的问题，有所突破，最终都会变成交易盈利的来源。其中最重要是，遇到某个问题时（不止在量化交易中），如何寻找所需要的资源以及解决问题的能力和决心。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二、课程目标</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（一）理解价差交易的优势和不足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（二）掌握价差算法的代码细节</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（三）学习寻找价差的研究方法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（四）尝试价差进阶策略的开发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三、交易系统的本质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收数据</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做计算</w:t>
      </w:r>
      <w:r>
        <w:rPr>
          <w:rFonts w:hint="default" w:ascii="Arial" w:hAnsi="Arial" w:eastAsia="宋体" w:cs="Arial"/>
          <w:sz w:val="32"/>
          <w:szCs w:val="32"/>
          <w:lang w:val="en-US" w:eastAsia="zh-CN"/>
        </w:rPr>
        <w:t>→</w:t>
      </w:r>
      <w:r>
        <w:rPr>
          <w:rFonts w:hint="eastAsia" w:ascii="宋体" w:hAnsi="宋体" w:eastAsia="宋体" w:cs="宋体"/>
          <w:sz w:val="32"/>
          <w:szCs w:val="32"/>
          <w:lang w:val="en-US" w:eastAsia="zh-CN"/>
        </w:rPr>
        <w:t>发数据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四、准备数据服务</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（一）国内期货使用RQData。</w:t>
      </w:r>
      <w:r>
        <w:rPr>
          <w:rFonts w:hint="eastAsia" w:ascii="宋体" w:hAnsi="宋体" w:eastAsia="宋体" w:cs="宋体"/>
          <w:sz w:val="32"/>
          <w:szCs w:val="32"/>
          <w:lang w:val="en-US" w:eastAsia="zh-CN"/>
        </w:rPr>
        <w:t>如果通过其官网直接注册，需要上传在专业金融机构工作的名片，不上传则会被拒。注册要使用vnpy论坛上的专用链接申请则可以直接跳过这一步。</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（二）数字货币推荐注册币安的实盘账户。</w:t>
      </w:r>
      <w:r>
        <w:rPr>
          <w:rFonts w:hint="eastAsia" w:ascii="宋体" w:hAnsi="宋体" w:eastAsia="宋体" w:cs="宋体"/>
          <w:sz w:val="32"/>
          <w:szCs w:val="32"/>
          <w:lang w:val="en-US" w:eastAsia="zh-CN"/>
        </w:rPr>
        <w:t>目前只有币安的数据质量、完善性还比较高，其他的都不太行。</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五、全球各大金融市场比较</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（一）目前全球主要金融市场包括数字货币、期货、股票、外汇、期权、债券。以上金融市场的排序是按照做价差策略赚钱难易程度来排序，数字货币市场是目前做价差策略赚钱最容易的金融交易市场。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（二）价差交易的英文名叫Spread Trading，被广泛应用在各个金融市场、金融资产里的交易策略。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（五）再难一点儿的就是股票市场。一般是做跨期货和股票之间的，也有股票和股票之间的，相对选择的难度会比较大，因为股票数量比较大。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（六）再难一点儿的就是外汇。外汇市场也是比较特殊的交易市场，因为外汇是去中心化的。例如同样是欧元对美元，在不同的交易市场，价格是不一样的，只要在不同场所都有交易权限，就有赚取价差的机会。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六、什么是价差交易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（三）即使自价差交易方式被发明之日到现在已经有40多年的历史了，但在国际市场上依然是绝大多数顶级金融机构的主流选择，主要原因如下：</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（1）风险更小。因为交易对象是价差，而非价格。价格变化太大，但是价差在大部分时候是比较平稳的，反映到交易上，价差交易风险就更低。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（2）机会更多。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又如现货贸易商Glencore，它的价差交易涉及的市场范围更广，已经不只是在期货交易市场，可能一条腿是现货，例如铁矿石，另一条腿到大商所或者新加坡做一个铁矿石期货的对冲，做的是更加广义的价差交易。</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以上都是用于说明价差交易的重要作用。目前个人不太可能涉及太广义的价差，所以课程主要还是针对金融产品的价差。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七、交易所VS本地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目前在中国做价差交易有两个选择：</w:t>
      </w:r>
    </w:p>
    <w:p>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交易所价差，即所谓的组合合约。</w:t>
      </w:r>
    </w:p>
    <w:p>
      <w:pPr>
        <w:keepNext w:val="0"/>
        <w:keepLines w:val="0"/>
        <w:pageBreakBefore w:val="0"/>
        <w:widowControl w:val="0"/>
        <w:numPr>
          <w:ilvl w:val="0"/>
          <w:numId w:val="2"/>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keepNext w:val="0"/>
        <w:keepLines w:val="0"/>
        <w:pageBreakBefore w:val="0"/>
        <w:widowControl w:val="0"/>
        <w:numPr>
          <w:ilvl w:val="0"/>
          <w:numId w:val="2"/>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keepNext w:val="0"/>
        <w:keepLines w:val="0"/>
        <w:pageBreakBefore w:val="0"/>
        <w:widowControl w:val="0"/>
        <w:numPr>
          <w:ilvl w:val="0"/>
          <w:numId w:val="1"/>
        </w:numPr>
        <w:kinsoku/>
        <w:wordWrap/>
        <w:overflowPunct/>
        <w:topLinePunct w:val="0"/>
        <w:autoSpaceDE/>
        <w:autoSpaceDN/>
        <w:bidi w:val="0"/>
        <w:adjustRightInd/>
        <w:snapToGrid/>
        <w:spacing w:line="560" w:lineRule="exact"/>
        <w:ind w:left="0" w:leftChars="0"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keepNext w:val="0"/>
        <w:keepLines w:val="0"/>
        <w:pageBreakBefore w:val="0"/>
        <w:widowControl w:val="0"/>
        <w:numPr>
          <w:ilvl w:val="0"/>
          <w:numId w:val="3"/>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价差的保证金优势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b/>
          <w:bCs/>
          <w:sz w:val="32"/>
          <w:szCs w:val="32"/>
          <w:u w:val="single"/>
          <w:lang w:val="en-US" w:eastAsia="zh-CN"/>
        </w:rPr>
      </w:pPr>
      <w:r>
        <w:rPr>
          <w:rFonts w:hint="eastAsia" w:ascii="宋体" w:hAnsi="宋体" w:eastAsia="宋体" w:cs="宋体"/>
          <w:sz w:val="32"/>
          <w:szCs w:val="32"/>
          <w:lang w:val="en-US" w:eastAsia="zh-CN"/>
        </w:rPr>
        <w:t>（二）“单向大边”原则，</w:t>
      </w:r>
      <w:r>
        <w:rPr>
          <w:rFonts w:hint="eastAsia" w:ascii="宋体" w:hAnsi="宋体" w:eastAsia="宋体" w:cs="宋体"/>
          <w:b/>
          <w:bCs/>
          <w:sz w:val="32"/>
          <w:szCs w:val="32"/>
          <w:u w:val="single"/>
          <w:lang w:val="en-US" w:eastAsia="zh-CN"/>
        </w:rPr>
        <w:t>有个重要前提就是两条腿都属于同一个品种</w:t>
      </w:r>
      <w:r>
        <w:rPr>
          <w:rFonts w:hint="eastAsia" w:ascii="宋体" w:hAnsi="宋体" w:eastAsia="宋体" w:cs="宋体"/>
          <w:sz w:val="32"/>
          <w:szCs w:val="32"/>
          <w:lang w:val="en-US" w:eastAsia="zh-CN"/>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lang w:val="en-US" w:eastAsia="zh-CN"/>
        </w:rPr>
        <w:t>交易所价差也是按照单边算。</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九、举个简单的实例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十、价差交易的特点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（一）价差交易的理论基础是均值回归。</w:t>
      </w:r>
      <w:r>
        <w:rPr>
          <w:rFonts w:hint="eastAsia" w:ascii="宋体" w:hAnsi="宋体" w:eastAsia="宋体" w:cs="宋体"/>
          <w:sz w:val="32"/>
          <w:szCs w:val="32"/>
          <w:lang w:val="en-US" w:eastAsia="zh-CN"/>
        </w:rPr>
        <w:t>这和CTA策略追涨杀跌转趋势的钱的交易原理有本质的区别。所谓均值回归就是高抛低吸，交易标的物的价格总有回到相对均衡的位置的时候。</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（二）其优点。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一是高胜率。</w:t>
      </w:r>
      <w:r>
        <w:rPr>
          <w:rFonts w:hint="eastAsia" w:ascii="宋体" w:hAnsi="宋体" w:eastAsia="宋体" w:cs="宋体"/>
          <w:sz w:val="32"/>
          <w:szCs w:val="32"/>
          <w:lang w:val="en-US" w:eastAsia="zh-CN"/>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二是低盈亏比。</w:t>
      </w:r>
      <w:r>
        <w:rPr>
          <w:rFonts w:hint="eastAsia" w:ascii="宋体" w:hAnsi="宋体" w:eastAsia="宋体" w:cs="宋体"/>
          <w:sz w:val="32"/>
          <w:szCs w:val="32"/>
          <w:lang w:val="en-US" w:eastAsia="zh-CN"/>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三是只关心价差腿之间的相对涨跌。</w:t>
      </w:r>
      <w:r>
        <w:rPr>
          <w:rFonts w:hint="eastAsia" w:ascii="宋体" w:hAnsi="宋体" w:eastAsia="宋体" w:cs="宋体"/>
          <w:sz w:val="32"/>
          <w:szCs w:val="32"/>
          <w:lang w:val="en-US" w:eastAsia="zh-CN"/>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lang w:val="en-US" w:eastAsia="zh-CN"/>
        </w:rPr>
        <w:t>（三）资金曲线的特点。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以上两条线都是赚钱的交易策略的资金曲线，上面是价差交易的资金曲线，下面是CTA策略的资金曲线。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价差交易策略资金曲线表现为大部分时间都是赚钱的，但偶尔亏钱就会比较多，回撤比较明显。但整体来看，赚钱的时候比较多，亏钱的时候比较少。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如果交易者主业是做CTA策略，做价差交易将会是一个良好的互补，两者的资金曲线整合到一起之后sharp ratio会变高。</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（四）CTA策略的特点。</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盈亏比高，即赚钱的时候能赚很多钱，够抵消策略10笔甚至20笔的亏损。</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赚的钱是价格的绝对涨跌，而不是不同合约之间的相对关系。</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十一、什么是价差</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描述性的定义：</w:t>
      </w:r>
    </w:p>
    <w:p>
      <w:pPr>
        <w:keepNext w:val="0"/>
        <w:keepLines w:val="0"/>
        <w:pageBreakBefore w:val="0"/>
        <w:widowControl w:val="0"/>
        <w:numPr>
          <w:ilvl w:val="0"/>
          <w:numId w:val="4"/>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keepNext w:val="0"/>
        <w:keepLines w:val="0"/>
        <w:pageBreakBefore w:val="0"/>
        <w:widowControl w:val="0"/>
        <w:numPr>
          <w:ilvl w:val="0"/>
          <w:numId w:val="4"/>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组合中多和空方向都分别至少有一个合约。如果是2条腿，那么就是一个做多一个做空。如果是3条腿，那么就是1条腿做多，2条腿做空，或者1条腿做空，2条腿做多。以此类推其他更多腿的情况。</w:t>
      </w:r>
    </w:p>
    <w:p>
      <w:pPr>
        <w:keepNext w:val="0"/>
        <w:keepLines w:val="0"/>
        <w:pageBreakBefore w:val="0"/>
        <w:widowControl w:val="0"/>
        <w:numPr>
          <w:ilvl w:val="0"/>
          <w:numId w:val="4"/>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有的时候单纯在经济上去寻找关系，不一定能想到其中的关系。如果先有一个数据关系之后再仔细想想也能发现有关系。</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十二、组合关系</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价差组合</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价差腿1 做多1手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价差腿2 做多1手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价差腿3 做空2手</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此时这3条腿就构成了一个价差。</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此时的“多”和“空”是针对和价差是同向还是反向的关系。做“多”即开仓买入各个价差腿，做“空”即平仓卖出各个价差腿。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期货腿 IF2006 价格3998 价格乘数-1</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现货腿 510300 价格4.011 价格乘数1000</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numPr>
          <w:ilvl w:val="0"/>
          <w:numId w:val="5"/>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价格乘数就是用来计算价差的乘数。</w:t>
      </w:r>
      <w:r>
        <w:rPr>
          <w:rFonts w:hint="eastAsia" w:ascii="宋体" w:hAnsi="宋体" w:eastAsia="宋体" w:cs="宋体"/>
          <w:sz w:val="32"/>
          <w:szCs w:val="32"/>
          <w:lang w:val="en-US" w:eastAsia="zh-CN"/>
        </w:rPr>
        <w:t>不能直接用3998 - 4.011，这样算出来的价差没有意义。</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宋体" w:hAnsi="宋体" w:eastAsia="宋体" w:cs="宋体"/>
          <w:sz w:val="32"/>
          <w:szCs w:val="32"/>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期货腿 IF2006 价格3998 合约乘数300 交易乘数-1</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最低买1手，总价值大约为3998*300=1,199,400，大约为120万元人民币</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现货腿 510300 价格4.011 合约乘数1 交易乘数30,000</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此时1个ETF就是1股，因此其合约乘数就是1，用对应的1手IF2006的总价值120万除以其价格约等于4得到30,000，因此1手IF2006对应的是30,000股的ETF。</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jc w:val="both"/>
        <w:textAlignment w:val="auto"/>
        <w:rPr>
          <w:rFonts w:hint="eastAsia" w:ascii="宋体" w:hAnsi="宋体" w:eastAsia="宋体" w:cs="宋体"/>
          <w:sz w:val="32"/>
          <w:szCs w:val="32"/>
          <w:lang w:val="en-US" w:eastAsia="zh-CN"/>
        </w:rPr>
      </w:pPr>
    </w:p>
    <w:p>
      <w:pPr>
        <w:keepNext w:val="0"/>
        <w:keepLines w:val="0"/>
        <w:pageBreakBefore w:val="0"/>
        <w:widowControl w:val="0"/>
        <w:numPr>
          <w:ilvl w:val="0"/>
          <w:numId w:val="5"/>
        </w:numPr>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交易乘数</w:t>
      </w:r>
      <w:r>
        <w:rPr>
          <w:rFonts w:hint="eastAsia" w:ascii="宋体" w:hAnsi="宋体" w:eastAsia="宋体" w:cs="宋体"/>
          <w:sz w:val="32"/>
          <w:szCs w:val="32"/>
          <w:lang w:val="en-US" w:eastAsia="zh-CN"/>
        </w:rPr>
        <w:t>是真正在交易的时候，各条腿分别开多少</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十三、核心问题</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420" w:firstLineChars="200"/>
        <w:textAlignment w:val="auto"/>
        <w:rPr>
          <w:rFonts w:hint="default" w:ascii="宋体" w:hAnsi="宋体" w:eastAsia="宋体" w:cs="宋体"/>
          <w:sz w:val="32"/>
          <w:szCs w:val="32"/>
          <w:lang w:val="en-US" w:eastAsia="zh-CN"/>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48260" t="0" r="6604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48260" t="0" r="6604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keepNext w:val="0"/>
        <w:keepLines w:val="0"/>
        <w:pageBreakBefore w:val="0"/>
        <w:widowControl w:val="0"/>
        <w:numPr>
          <w:ilvl w:val="0"/>
          <w:numId w:val="6"/>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keepNext w:val="0"/>
        <w:keepLines w:val="0"/>
        <w:pageBreakBefore w:val="0"/>
        <w:widowControl w:val="0"/>
        <w:numPr>
          <w:ilvl w:val="0"/>
          <w:numId w:val="6"/>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如果主动腿没能成交，主动腿的单子挂在盘口上，但价格跑掉了，过了设定时间（1秒、2秒等，自己设置）后，主动腿的单子会被撤掉。因为主动腿没有成交，所以也不会触发被动腿的发单。</w:t>
      </w:r>
    </w:p>
    <w:p>
      <w:pPr>
        <w:keepNext w:val="0"/>
        <w:keepLines w:val="0"/>
        <w:pageBreakBefore w:val="0"/>
        <w:widowControl w:val="0"/>
        <w:numPr>
          <w:ilvl w:val="0"/>
          <w:numId w:val="6"/>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以上的方案是一个目前行业里比较常用的标准解决方案。</w:t>
      </w:r>
    </w:p>
    <w:p>
      <w:pPr>
        <w:keepNext w:val="0"/>
        <w:keepLines w:val="0"/>
        <w:pageBreakBefore w:val="0"/>
        <w:widowControl w:val="0"/>
        <w:numPr>
          <w:ilvl w:val="0"/>
          <w:numId w:val="6"/>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主动腿只能有一条，剩下的腿都是被动腿，被动腿的执行都会激进一些。FAK（在限定价位下达指令，如果部分申报手数成交，该指令剩余申报手数自动被系统撤销）指令在执行主动腿的指令时非常有用。</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十四、主动腿和被动腿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（二）被动腿就是后下单的腿。一般会选择价差腿中相对流动性好的、盘口挂单厚的、盘口价差窄、容易成交的或者说比较稳定的作为被动腿。例如：跨期套利中一般选择近月作为被动腿。</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十五、价差盘口</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（二）盘口的计算</w:t>
      </w:r>
    </w:p>
    <w:p>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跟期货所有品种的单腿买卖一样，分bid、ask，大部分时候不需要5档，虽然5档也可以算，但一般只计算1档。</w:t>
      </w:r>
    </w:p>
    <w:p>
      <w:pPr>
        <w:keepNext w:val="0"/>
        <w:keepLines w:val="0"/>
        <w:pageBreakBefore w:val="0"/>
        <w:widowControl w:val="0"/>
        <w:numPr>
          <w:ilvl w:val="0"/>
          <w:numId w:val="7"/>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Ask-卖价，即买（做多）价差所需付出的成本，各条腿均立即以对价成交，即立即就能拍得的价格。</w:t>
      </w:r>
    </w:p>
    <w:p>
      <w:pPr>
        <w:keepNext w:val="0"/>
        <w:keepLines w:val="0"/>
        <w:pageBreakBefore w:val="0"/>
        <w:widowControl w:val="0"/>
        <w:numPr>
          <w:ilvl w:val="0"/>
          <w:numId w:val="7"/>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Bid-买价，即卖（做空）价差所需付出的成本，各条腿均立即以对价成交，即立即就能拍得的价格。</w:t>
      </w:r>
    </w:p>
    <w:p>
      <w:pPr>
        <w:keepNext w:val="0"/>
        <w:keepLines w:val="0"/>
        <w:pageBreakBefore w:val="0"/>
        <w:widowControl w:val="0"/>
        <w:numPr>
          <w:ilvl w:val="0"/>
          <w:numId w:val="8"/>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价差持仓</w:t>
      </w:r>
    </w:p>
    <w:p>
      <w:pPr>
        <w:keepNext w:val="0"/>
        <w:keepLines w:val="0"/>
        <w:pageBreakBefore w:val="0"/>
        <w:widowControl w:val="0"/>
        <w:numPr>
          <w:ilvl w:val="0"/>
          <w:numId w:val="9"/>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如果两条腿持仓都一样，那么价差持仓即任一价差腿持仓量。</w:t>
      </w:r>
    </w:p>
    <w:p>
      <w:pPr>
        <w:keepNext w:val="0"/>
        <w:keepLines w:val="0"/>
        <w:pageBreakBefore w:val="0"/>
        <w:widowControl w:val="0"/>
        <w:numPr>
          <w:ilvl w:val="0"/>
          <w:numId w:val="9"/>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如果两条腿持仓不一样，如A腿持仓5手，B腿持仓-10手，价差持仓就是5手，因为只有5手被对冲掉了，剩下的-5手可能是其他策略持仓，甚至是手动交易造成的。</w:t>
      </w:r>
    </w:p>
    <w:p>
      <w:pPr>
        <w:keepNext w:val="0"/>
        <w:keepLines w:val="0"/>
        <w:pageBreakBefore w:val="0"/>
        <w:widowControl w:val="0"/>
        <w:numPr>
          <w:ilvl w:val="0"/>
          <w:numId w:val="9"/>
        </w:numPr>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所以如果基于账户层面去计算价差持仓，应该是两条腿持仓的绝对值得最小值。</w:t>
      </w:r>
    </w:p>
    <w:p>
      <w:pPr>
        <w:keepNext w:val="0"/>
        <w:keepLines w:val="0"/>
        <w:pageBreakBefore w:val="0"/>
        <w:widowControl w:val="0"/>
        <w:numPr>
          <w:ilvl w:val="0"/>
          <w:numId w:val="8"/>
        </w:numPr>
        <w:kinsoku/>
        <w:wordWrap/>
        <w:overflowPunct/>
        <w:topLinePunct w:val="0"/>
        <w:autoSpaceDE/>
        <w:autoSpaceDN/>
        <w:bidi w:val="0"/>
        <w:adjustRightInd/>
        <w:snapToGrid/>
        <w:spacing w:line="560" w:lineRule="exact"/>
        <w:ind w:firstLine="640" w:firstLineChars="200"/>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用数字来举例-1</w:t>
      </w:r>
    </w:p>
    <w:p>
      <w:pPr>
        <w:keepNext w:val="0"/>
        <w:keepLines w:val="0"/>
        <w:pageBreakBefore w:val="0"/>
        <w:widowControl w:val="0"/>
        <w:numPr>
          <w:numId w:val="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lang w:val="en-US" w:eastAsia="zh-CN"/>
        </w:rPr>
        <w:t>计算过程</w:t>
      </w:r>
    </w:p>
    <w:p>
      <w:pPr>
        <w:keepNext w:val="0"/>
        <w:keepLines w:val="0"/>
        <w:pageBreakBefore w:val="0"/>
        <w:widowControl w:val="0"/>
        <w:numPr>
          <w:ilvl w:val="0"/>
          <w:numId w:val="10"/>
        </w:numPr>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买入价差计算</w:t>
      </w:r>
    </w:p>
    <w:p>
      <w:pPr>
        <w:keepNext w:val="0"/>
        <w:keepLines w:val="0"/>
        <w:pageBreakBefore w:val="0"/>
        <w:widowControl w:val="0"/>
        <w:numPr>
          <w:numId w:val="0"/>
        </w:numPr>
        <w:kinsoku/>
        <w:wordWrap/>
        <w:overflowPunct/>
        <w:topLinePunct w:val="0"/>
        <w:autoSpaceDE/>
        <w:autoSpaceDN/>
        <w:bidi w:val="0"/>
        <w:adjustRightInd/>
        <w:snapToGrid/>
        <w:spacing w:line="560" w:lineRule="exact"/>
        <w:textAlignment w:val="auto"/>
        <w:rPr>
          <w:rFonts w:hint="default" w:ascii="宋体" w:hAnsi="宋体" w:eastAsia="宋体" w:cs="宋体"/>
          <w:sz w:val="32"/>
          <w:szCs w:val="32"/>
          <w:lang w:val="en-US" w:eastAsia="zh-CN"/>
        </w:rPr>
      </w:pPr>
      <w:bookmarkStart w:id="0" w:name="_GoBack"/>
      <w:bookmarkEnd w:id="0"/>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 w:name="Sitka Subheading">
    <w:panose1 w:val="02000505000000020004"/>
    <w:charset w:val="00"/>
    <w:family w:val="auto"/>
    <w:pitch w:val="default"/>
    <w:sig w:usb0="A00002EF" w:usb1="4000204B" w:usb2="00000000" w:usb3="00000000" w:csb0="2000019F" w:csb1="00000000"/>
  </w:font>
  <w:font w:name="Trebuchet MS">
    <w:panose1 w:val="020B0603020202020204"/>
    <w:charset w:val="00"/>
    <w:family w:val="auto"/>
    <w:pitch w:val="default"/>
    <w:sig w:usb0="00000687" w:usb1="00000000" w:usb2="00000000" w:usb3="00000000" w:csb0="2000009F" w:csb1="00000000"/>
  </w:font>
  <w:font w:name="Segoe MDL2 Assets">
    <w:panose1 w:val="050A0102010101010101"/>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74AFA0"/>
    <w:multiLevelType w:val="singleLevel"/>
    <w:tmpl w:val="AD74AFA0"/>
    <w:lvl w:ilvl="0" w:tentative="0">
      <w:start w:val="1"/>
      <w:numFmt w:val="decimal"/>
      <w:suff w:val="space"/>
      <w:lvlText w:val="%1."/>
      <w:lvlJc w:val="left"/>
    </w:lvl>
  </w:abstractNum>
  <w:abstractNum w:abstractNumId="1">
    <w:nsid w:val="AF6E3967"/>
    <w:multiLevelType w:val="singleLevel"/>
    <w:tmpl w:val="AF6E3967"/>
    <w:lvl w:ilvl="0" w:tentative="0">
      <w:start w:val="8"/>
      <w:numFmt w:val="chineseCounting"/>
      <w:suff w:val="nothing"/>
      <w:lvlText w:val="%1、"/>
      <w:lvlJc w:val="left"/>
      <w:rPr>
        <w:rFonts w:hint="eastAsia"/>
      </w:rPr>
    </w:lvl>
  </w:abstractNum>
  <w:abstractNum w:abstractNumId="2">
    <w:nsid w:val="BC3712F7"/>
    <w:multiLevelType w:val="singleLevel"/>
    <w:tmpl w:val="BC3712F7"/>
    <w:lvl w:ilvl="0" w:tentative="0">
      <w:start w:val="1"/>
      <w:numFmt w:val="chineseCounting"/>
      <w:suff w:val="nothing"/>
      <w:lvlText w:val="（%1）"/>
      <w:lvlJc w:val="left"/>
      <w:rPr>
        <w:rFonts w:hint="eastAsia"/>
      </w:rPr>
    </w:lvl>
  </w:abstractNum>
  <w:abstractNum w:abstractNumId="3">
    <w:nsid w:val="C3AAA2C0"/>
    <w:multiLevelType w:val="singleLevel"/>
    <w:tmpl w:val="C3AAA2C0"/>
    <w:lvl w:ilvl="0" w:tentative="0">
      <w:start w:val="1"/>
      <w:numFmt w:val="decimal"/>
      <w:suff w:val="space"/>
      <w:lvlText w:val="%1."/>
      <w:lvlJc w:val="left"/>
    </w:lvl>
  </w:abstractNum>
  <w:abstractNum w:abstractNumId="4">
    <w:nsid w:val="21AA5A1A"/>
    <w:multiLevelType w:val="singleLevel"/>
    <w:tmpl w:val="21AA5A1A"/>
    <w:lvl w:ilvl="0" w:tentative="0">
      <w:start w:val="1"/>
      <w:numFmt w:val="chineseCounting"/>
      <w:suff w:val="nothing"/>
      <w:lvlText w:val="（%1）"/>
      <w:lvlJc w:val="left"/>
      <w:rPr>
        <w:rFonts w:hint="eastAsia"/>
      </w:rPr>
    </w:lvl>
  </w:abstractNum>
  <w:abstractNum w:abstractNumId="5">
    <w:nsid w:val="53D51235"/>
    <w:multiLevelType w:val="singleLevel"/>
    <w:tmpl w:val="53D51235"/>
    <w:lvl w:ilvl="0" w:tentative="0">
      <w:start w:val="1"/>
      <w:numFmt w:val="chineseCounting"/>
      <w:suff w:val="nothing"/>
      <w:lvlText w:val="（%1）"/>
      <w:lvlJc w:val="left"/>
      <w:rPr>
        <w:rFonts w:hint="eastAsia"/>
      </w:rPr>
    </w:lvl>
  </w:abstractNum>
  <w:abstractNum w:abstractNumId="6">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7">
    <w:nsid w:val="5A5D889E"/>
    <w:multiLevelType w:val="singleLevel"/>
    <w:tmpl w:val="5A5D889E"/>
    <w:lvl w:ilvl="0" w:tentative="0">
      <w:start w:val="16"/>
      <w:numFmt w:val="chineseCounting"/>
      <w:suff w:val="nothing"/>
      <w:lvlText w:val="%1、"/>
      <w:lvlJc w:val="left"/>
      <w:rPr>
        <w:rFonts w:hint="eastAsia"/>
      </w:rPr>
    </w:lvl>
  </w:abstractNum>
  <w:abstractNum w:abstractNumId="8">
    <w:nsid w:val="5AF5A1C9"/>
    <w:multiLevelType w:val="singleLevel"/>
    <w:tmpl w:val="5AF5A1C9"/>
    <w:lvl w:ilvl="0" w:tentative="0">
      <w:start w:val="1"/>
      <w:numFmt w:val="decimal"/>
      <w:suff w:val="space"/>
      <w:lvlText w:val="%1."/>
      <w:lvlJc w:val="left"/>
    </w:lvl>
  </w:abstractNum>
  <w:abstractNum w:abstractNumId="9">
    <w:nsid w:val="643F9244"/>
    <w:multiLevelType w:val="singleLevel"/>
    <w:tmpl w:val="643F9244"/>
    <w:lvl w:ilvl="0" w:tentative="0">
      <w:start w:val="1"/>
      <w:numFmt w:val="decimal"/>
      <w:suff w:val="space"/>
      <w:lvlText w:val="%1."/>
      <w:lvlJc w:val="left"/>
    </w:lvl>
  </w:abstractNum>
  <w:num w:numId="1">
    <w:abstractNumId w:val="2"/>
  </w:num>
  <w:num w:numId="2">
    <w:abstractNumId w:val="0"/>
  </w:num>
  <w:num w:numId="3">
    <w:abstractNumId w:val="1"/>
  </w:num>
  <w:num w:numId="4">
    <w:abstractNumId w:val="3"/>
  </w:num>
  <w:num w:numId="5">
    <w:abstractNumId w:val="6"/>
  </w:num>
  <w:num w:numId="6">
    <w:abstractNumId w:val="9"/>
  </w:num>
  <w:num w:numId="7">
    <w:abstractNumId w:val="8"/>
  </w:num>
  <w:num w:numId="8">
    <w:abstractNumId w:val="7"/>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355A32"/>
    <w:rsid w:val="07C646FE"/>
    <w:rsid w:val="0FDA44F0"/>
    <w:rsid w:val="1EC25C1E"/>
    <w:rsid w:val="23833C5B"/>
    <w:rsid w:val="245958CB"/>
    <w:rsid w:val="318E2B8F"/>
    <w:rsid w:val="45D936B4"/>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6">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 qsCatId="simple" csTypeId="urn:microsoft.com/office/officeart/2005/8/colors/colorful4"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 qsCatId="simple" csTypeId="urn:microsoft.com/office/officeart/2005/8/colors/colorful4"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949"/>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价差价格</a:t>
          </a:r>
        </a:p>
        <a:p>
          <a:pPr marL="285750" lvl="1" indent="-285750" algn="l" defTabSz="1289050">
            <a:lnSpc>
              <a:spcPct val="90000"/>
            </a:lnSpc>
            <a:spcBef>
              <a:spcPct val="0"/>
            </a:spcBef>
            <a:spcAft>
              <a:spcPct val="15000"/>
            </a:spcAft>
            <a:buChar char="•"/>
          </a:pPr>
          <a:r>
            <a:rPr lang="zh-CN" altLang="en-US" sz="2900" kern="1200" dirty="0">
              <a:solidFill>
                <a:schemeClr val="tx1"/>
              </a:solidFill>
            </a:rPr>
            <a:t>等条件</a:t>
          </a:r>
        </a:p>
      </dsp:txBody>
      <dsp:txXfrm>
        <a:off x="57787" y="1395494"/>
        <a:ext cx="2665308" cy="1560349"/>
      </dsp:txXfrm>
    </dsp:sp>
    <dsp:sp modelId="{BDF12072-B54F-417E-B3B1-9C82F4C455F9}">
      <dsp:nvSpPr>
        <dsp:cNvPr id="0" name=""/>
        <dsp:cNvSpPr/>
      </dsp:nvSpPr>
      <dsp:spPr>
        <a:xfrm>
          <a:off x="3047880" y="1833131"/>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111250">
            <a:lnSpc>
              <a:spcPct val="90000"/>
            </a:lnSpc>
            <a:spcBef>
              <a:spcPct val="0"/>
            </a:spcBef>
            <a:spcAft>
              <a:spcPct val="35000"/>
            </a:spcAft>
            <a:buNone/>
          </a:pPr>
          <a:endParaRPr lang="zh-CN" altLang="en-US" sz="2500" kern="1200"/>
        </a:p>
      </dsp:txBody>
      <dsp:txXfrm>
        <a:off x="3047880" y="1970146"/>
        <a:ext cx="409940" cy="411044"/>
      </dsp:txXfrm>
    </dsp:sp>
    <dsp:sp modelId="{1ED30DB4-67BA-447E-8C98-CC6E9CCC00F2}">
      <dsp:nvSpPr>
        <dsp:cNvPr id="0" name=""/>
        <dsp:cNvSpPr/>
      </dsp:nvSpPr>
      <dsp:spPr>
        <a:xfrm>
          <a:off x="3876600" y="1346949"/>
          <a:ext cx="2762398" cy="1657439"/>
        </a:xfrm>
        <a:prstGeom prst="roundRect">
          <a:avLst>
            <a:gd name="adj" fmla="val 10000"/>
          </a:avLst>
        </a:prstGeom>
        <a:gradFill rotWithShape="0">
          <a:gsLst>
            <a:gs pos="0">
              <a:schemeClr val="accent4">
                <a:hueOff val="3742489"/>
                <a:satOff val="-20694"/>
                <a:lumOff val="-1765"/>
                <a:alphaOff val="0"/>
                <a:satMod val="103000"/>
                <a:lumMod val="102000"/>
                <a:tint val="94000"/>
              </a:schemeClr>
            </a:gs>
            <a:gs pos="50000">
              <a:schemeClr val="accent4">
                <a:hueOff val="3742489"/>
                <a:satOff val="-20694"/>
                <a:lumOff val="-1765"/>
                <a:alphaOff val="0"/>
                <a:satMod val="110000"/>
                <a:lumMod val="100000"/>
                <a:shade val="100000"/>
              </a:schemeClr>
            </a:gs>
            <a:gs pos="100000">
              <a:schemeClr val="accent4">
                <a:hueOff val="3742489"/>
                <a:satOff val="-20694"/>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发主动腿</a:t>
          </a:r>
        </a:p>
        <a:p>
          <a:pPr marL="285750" lvl="1" indent="-285750" algn="l" defTabSz="1289050">
            <a:lnSpc>
              <a:spcPct val="90000"/>
            </a:lnSpc>
            <a:spcBef>
              <a:spcPct val="0"/>
            </a:spcBef>
            <a:spcAft>
              <a:spcPct val="15000"/>
            </a:spcAft>
            <a:buChar char="•"/>
          </a:pPr>
          <a:r>
            <a:rPr lang="zh-CN" altLang="en-US" sz="2900" kern="1200" dirty="0">
              <a:solidFill>
                <a:schemeClr val="tx1"/>
              </a:solidFill>
            </a:rPr>
            <a:t>先成交</a:t>
          </a:r>
        </a:p>
      </dsp:txBody>
      <dsp:txXfrm>
        <a:off x="3925145" y="1395494"/>
        <a:ext cx="2665308" cy="1560349"/>
      </dsp:txXfrm>
    </dsp:sp>
    <dsp:sp modelId="{554582F2-E6DD-49D1-9EC8-AEFDBEA600AE}">
      <dsp:nvSpPr>
        <dsp:cNvPr id="0" name=""/>
        <dsp:cNvSpPr/>
      </dsp:nvSpPr>
      <dsp:spPr>
        <a:xfrm>
          <a:off x="6915239" y="1833131"/>
          <a:ext cx="585628" cy="685074"/>
        </a:xfrm>
        <a:prstGeom prst="rightArrow">
          <a:avLst>
            <a:gd name="adj1" fmla="val 60000"/>
            <a:gd name="adj2" fmla="val 50000"/>
          </a:avLst>
        </a:prstGeom>
        <a:gradFill rotWithShape="0">
          <a:gsLst>
            <a:gs pos="0">
              <a:schemeClr val="accent4">
                <a:hueOff val="7484979"/>
                <a:satOff val="-41387"/>
                <a:lumOff val="-3529"/>
                <a:alphaOff val="0"/>
                <a:satMod val="103000"/>
                <a:lumMod val="102000"/>
                <a:tint val="94000"/>
              </a:schemeClr>
            </a:gs>
            <a:gs pos="50000">
              <a:schemeClr val="accent4">
                <a:hueOff val="7484979"/>
                <a:satOff val="-41387"/>
                <a:lumOff val="-3529"/>
                <a:alphaOff val="0"/>
                <a:satMod val="110000"/>
                <a:lumMod val="100000"/>
                <a:shade val="100000"/>
              </a:schemeClr>
            </a:gs>
            <a:gs pos="100000">
              <a:schemeClr val="accent4">
                <a:hueOff val="7484979"/>
                <a:satOff val="-41387"/>
                <a:lumOff val="-352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111250">
            <a:lnSpc>
              <a:spcPct val="90000"/>
            </a:lnSpc>
            <a:spcBef>
              <a:spcPct val="0"/>
            </a:spcBef>
            <a:spcAft>
              <a:spcPct val="35000"/>
            </a:spcAft>
            <a:buNone/>
          </a:pPr>
          <a:endParaRPr lang="zh-CN" altLang="en-US" sz="2500" kern="1200"/>
        </a:p>
      </dsp:txBody>
      <dsp:txXfrm>
        <a:off x="6915239" y="1970146"/>
        <a:ext cx="409940" cy="411044"/>
      </dsp:txXfrm>
    </dsp:sp>
    <dsp:sp modelId="{72731D81-4C79-4B5C-91E7-9AC1E22A7CEB}">
      <dsp:nvSpPr>
        <dsp:cNvPr id="0" name=""/>
        <dsp:cNvSpPr/>
      </dsp:nvSpPr>
      <dsp:spPr>
        <a:xfrm>
          <a:off x="7743958" y="1346949"/>
          <a:ext cx="2762398" cy="1657439"/>
        </a:xfrm>
        <a:prstGeom prst="roundRect">
          <a:avLst>
            <a:gd name="adj" fmla="val 10000"/>
          </a:avLst>
        </a:prstGeom>
        <a:gradFill rotWithShape="0">
          <a:gsLst>
            <a:gs pos="0">
              <a:schemeClr val="accent4">
                <a:hueOff val="7484979"/>
                <a:satOff val="-41387"/>
                <a:lumOff val="-3529"/>
                <a:alphaOff val="0"/>
                <a:satMod val="103000"/>
                <a:lumMod val="102000"/>
                <a:tint val="94000"/>
              </a:schemeClr>
            </a:gs>
            <a:gs pos="50000">
              <a:schemeClr val="accent4">
                <a:hueOff val="7484979"/>
                <a:satOff val="-41387"/>
                <a:lumOff val="-3529"/>
                <a:alphaOff val="0"/>
                <a:satMod val="110000"/>
                <a:lumMod val="100000"/>
                <a:shade val="100000"/>
              </a:schemeClr>
            </a:gs>
            <a:gs pos="100000">
              <a:schemeClr val="accent4">
                <a:hueOff val="7484979"/>
                <a:satOff val="-41387"/>
                <a:lumOff val="-352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发被动腿</a:t>
          </a:r>
        </a:p>
        <a:p>
          <a:pPr marL="285750" lvl="1" indent="-285750" algn="l" defTabSz="1289050">
            <a:lnSpc>
              <a:spcPct val="90000"/>
            </a:lnSpc>
            <a:spcBef>
              <a:spcPct val="0"/>
            </a:spcBef>
            <a:spcAft>
              <a:spcPct val="15000"/>
            </a:spcAft>
            <a:buChar char="•"/>
          </a:pPr>
          <a:r>
            <a:rPr lang="zh-CN" altLang="en-US" sz="2900" kern="1200" dirty="0">
              <a:solidFill>
                <a:schemeClr val="tx1"/>
              </a:solidFill>
            </a:rPr>
            <a:t>再对冲</a:t>
          </a:r>
        </a:p>
      </dsp:txBody>
      <dsp:txXfrm>
        <a:off x="7792503" y="1395494"/>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949"/>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价差价格</a:t>
          </a:r>
        </a:p>
        <a:p>
          <a:pPr marL="285750" lvl="1" indent="-285750" algn="l" defTabSz="1289050">
            <a:lnSpc>
              <a:spcPct val="90000"/>
            </a:lnSpc>
            <a:spcBef>
              <a:spcPct val="0"/>
            </a:spcBef>
            <a:spcAft>
              <a:spcPct val="15000"/>
            </a:spcAft>
            <a:buChar char="•"/>
          </a:pPr>
          <a:r>
            <a:rPr lang="zh-CN" altLang="en-US" sz="2900" kern="1200" dirty="0">
              <a:solidFill>
                <a:schemeClr val="tx1"/>
              </a:solidFill>
            </a:rPr>
            <a:t>等条件</a:t>
          </a:r>
        </a:p>
      </dsp:txBody>
      <dsp:txXfrm>
        <a:off x="57787" y="1395494"/>
        <a:ext cx="2665308" cy="1560349"/>
      </dsp:txXfrm>
    </dsp:sp>
    <dsp:sp modelId="{BDF12072-B54F-417E-B3B1-9C82F4C455F9}">
      <dsp:nvSpPr>
        <dsp:cNvPr id="0" name=""/>
        <dsp:cNvSpPr/>
      </dsp:nvSpPr>
      <dsp:spPr>
        <a:xfrm>
          <a:off x="3047880" y="1833131"/>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111250">
            <a:lnSpc>
              <a:spcPct val="90000"/>
            </a:lnSpc>
            <a:spcBef>
              <a:spcPct val="0"/>
            </a:spcBef>
            <a:spcAft>
              <a:spcPct val="35000"/>
            </a:spcAft>
            <a:buNone/>
          </a:pPr>
          <a:endParaRPr lang="zh-CN" altLang="en-US" sz="2500" kern="1200"/>
        </a:p>
      </dsp:txBody>
      <dsp:txXfrm>
        <a:off x="3047880" y="1970146"/>
        <a:ext cx="409940" cy="411044"/>
      </dsp:txXfrm>
    </dsp:sp>
    <dsp:sp modelId="{1ED30DB4-67BA-447E-8C98-CC6E9CCC00F2}">
      <dsp:nvSpPr>
        <dsp:cNvPr id="0" name=""/>
        <dsp:cNvSpPr/>
      </dsp:nvSpPr>
      <dsp:spPr>
        <a:xfrm>
          <a:off x="3876600" y="1346949"/>
          <a:ext cx="2762398" cy="1657439"/>
        </a:xfrm>
        <a:prstGeom prst="roundRect">
          <a:avLst>
            <a:gd name="adj" fmla="val 10000"/>
          </a:avLst>
        </a:prstGeom>
        <a:gradFill rotWithShape="0">
          <a:gsLst>
            <a:gs pos="0">
              <a:schemeClr val="accent4">
                <a:hueOff val="3742489"/>
                <a:satOff val="-20694"/>
                <a:lumOff val="-1765"/>
                <a:alphaOff val="0"/>
                <a:satMod val="103000"/>
                <a:lumMod val="102000"/>
                <a:tint val="94000"/>
              </a:schemeClr>
            </a:gs>
            <a:gs pos="50000">
              <a:schemeClr val="accent4">
                <a:hueOff val="3742489"/>
                <a:satOff val="-20694"/>
                <a:lumOff val="-1765"/>
                <a:alphaOff val="0"/>
                <a:satMod val="110000"/>
                <a:lumMod val="100000"/>
                <a:shade val="100000"/>
              </a:schemeClr>
            </a:gs>
            <a:gs pos="100000">
              <a:schemeClr val="accent4">
                <a:hueOff val="3742489"/>
                <a:satOff val="-20694"/>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发主动腿</a:t>
          </a:r>
        </a:p>
        <a:p>
          <a:pPr marL="285750" lvl="1" indent="-285750" algn="l" defTabSz="1289050">
            <a:lnSpc>
              <a:spcPct val="90000"/>
            </a:lnSpc>
            <a:spcBef>
              <a:spcPct val="0"/>
            </a:spcBef>
            <a:spcAft>
              <a:spcPct val="15000"/>
            </a:spcAft>
            <a:buChar char="•"/>
          </a:pPr>
          <a:r>
            <a:rPr lang="zh-CN" altLang="en-US" sz="2900" kern="1200" dirty="0">
              <a:solidFill>
                <a:schemeClr val="tx1"/>
              </a:solidFill>
            </a:rPr>
            <a:t>先成交</a:t>
          </a:r>
        </a:p>
      </dsp:txBody>
      <dsp:txXfrm>
        <a:off x="3925145" y="1395494"/>
        <a:ext cx="2665308" cy="1560349"/>
      </dsp:txXfrm>
    </dsp:sp>
    <dsp:sp modelId="{554582F2-E6DD-49D1-9EC8-AEFDBEA600AE}">
      <dsp:nvSpPr>
        <dsp:cNvPr id="0" name=""/>
        <dsp:cNvSpPr/>
      </dsp:nvSpPr>
      <dsp:spPr>
        <a:xfrm>
          <a:off x="6915239" y="1833131"/>
          <a:ext cx="585628" cy="685074"/>
        </a:xfrm>
        <a:prstGeom prst="rightArrow">
          <a:avLst>
            <a:gd name="adj1" fmla="val 60000"/>
            <a:gd name="adj2" fmla="val 50000"/>
          </a:avLst>
        </a:prstGeom>
        <a:gradFill rotWithShape="0">
          <a:gsLst>
            <a:gs pos="0">
              <a:schemeClr val="accent4">
                <a:hueOff val="7484979"/>
                <a:satOff val="-41387"/>
                <a:lumOff val="-3529"/>
                <a:alphaOff val="0"/>
                <a:satMod val="103000"/>
                <a:lumMod val="102000"/>
                <a:tint val="94000"/>
              </a:schemeClr>
            </a:gs>
            <a:gs pos="50000">
              <a:schemeClr val="accent4">
                <a:hueOff val="7484979"/>
                <a:satOff val="-41387"/>
                <a:lumOff val="-3529"/>
                <a:alphaOff val="0"/>
                <a:satMod val="110000"/>
                <a:lumMod val="100000"/>
                <a:shade val="100000"/>
              </a:schemeClr>
            </a:gs>
            <a:gs pos="100000">
              <a:schemeClr val="accent4">
                <a:hueOff val="7484979"/>
                <a:satOff val="-41387"/>
                <a:lumOff val="-352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111250">
            <a:lnSpc>
              <a:spcPct val="90000"/>
            </a:lnSpc>
            <a:spcBef>
              <a:spcPct val="0"/>
            </a:spcBef>
            <a:spcAft>
              <a:spcPct val="35000"/>
            </a:spcAft>
            <a:buNone/>
          </a:pPr>
          <a:endParaRPr lang="zh-CN" altLang="en-US" sz="2500" kern="1200"/>
        </a:p>
      </dsp:txBody>
      <dsp:txXfrm>
        <a:off x="6915239" y="1970146"/>
        <a:ext cx="409940" cy="411044"/>
      </dsp:txXfrm>
    </dsp:sp>
    <dsp:sp modelId="{72731D81-4C79-4B5C-91E7-9AC1E22A7CEB}">
      <dsp:nvSpPr>
        <dsp:cNvPr id="0" name=""/>
        <dsp:cNvSpPr/>
      </dsp:nvSpPr>
      <dsp:spPr>
        <a:xfrm>
          <a:off x="7743958" y="1346949"/>
          <a:ext cx="2762398" cy="1657439"/>
        </a:xfrm>
        <a:prstGeom prst="roundRect">
          <a:avLst>
            <a:gd name="adj" fmla="val 10000"/>
          </a:avLst>
        </a:prstGeom>
        <a:gradFill rotWithShape="0">
          <a:gsLst>
            <a:gs pos="0">
              <a:schemeClr val="accent4">
                <a:hueOff val="7484979"/>
                <a:satOff val="-41387"/>
                <a:lumOff val="-3529"/>
                <a:alphaOff val="0"/>
                <a:satMod val="103000"/>
                <a:lumMod val="102000"/>
                <a:tint val="94000"/>
              </a:schemeClr>
            </a:gs>
            <a:gs pos="50000">
              <a:schemeClr val="accent4">
                <a:hueOff val="7484979"/>
                <a:satOff val="-41387"/>
                <a:lumOff val="-3529"/>
                <a:alphaOff val="0"/>
                <a:satMod val="110000"/>
                <a:lumMod val="100000"/>
                <a:shade val="100000"/>
              </a:schemeClr>
            </a:gs>
            <a:gs pos="100000">
              <a:schemeClr val="accent4">
                <a:hueOff val="7484979"/>
                <a:satOff val="-41387"/>
                <a:lumOff val="-352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0970" tIns="140970" rIns="140970" bIns="140970" numCol="1" spcCol="1270" anchor="t" anchorCtr="0">
          <a:noAutofit/>
        </a:bodyPr>
        <a:lstStyle/>
        <a:p>
          <a:pPr marL="0" lvl="0" indent="0" algn="l" defTabSz="1644650">
            <a:lnSpc>
              <a:spcPct val="90000"/>
            </a:lnSpc>
            <a:spcBef>
              <a:spcPct val="0"/>
            </a:spcBef>
            <a:spcAft>
              <a:spcPct val="35000"/>
            </a:spcAft>
            <a:buNone/>
          </a:pPr>
          <a:r>
            <a:rPr lang="zh-CN" altLang="en-US" sz="3700" kern="1200" dirty="0">
              <a:solidFill>
                <a:schemeClr val="tx1"/>
              </a:solidFill>
            </a:rPr>
            <a:t>发被动腿</a:t>
          </a:r>
        </a:p>
        <a:p>
          <a:pPr marL="285750" lvl="1" indent="-285750" algn="l" defTabSz="1289050">
            <a:lnSpc>
              <a:spcPct val="90000"/>
            </a:lnSpc>
            <a:spcBef>
              <a:spcPct val="0"/>
            </a:spcBef>
            <a:spcAft>
              <a:spcPct val="15000"/>
            </a:spcAft>
            <a:buChar char="•"/>
          </a:pPr>
          <a:r>
            <a:rPr lang="zh-CN" altLang="en-US" sz="2900" kern="1200" dirty="0">
              <a:solidFill>
                <a:schemeClr val="tx1"/>
              </a:solidFill>
            </a:rPr>
            <a:t>再对冲</a:t>
          </a:r>
        </a:p>
      </dsp:txBody>
      <dsp:txXfrm>
        <a:off x="7792503" y="1395494"/>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rSet qsTypeId="urn:microsoft.com/office/officeart/2005/8/quickstyle/simple5"/>
        </dgm:pt>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rSet qsTypeId="urn:microsoft.com/office/officeart/2005/8/quickstyle/simple5"/>
        </dgm:pt>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70</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2021-08-17T02:03:29Z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