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keepNext w:val="0"/>
        <w:keepLines w:val="0"/>
        <w:pageBreakBefore w:val="0"/>
        <w:widowControl w:val="0"/>
        <w:kinsoku/>
        <w:wordWrap/>
        <w:overflowPunct/>
        <w:topLinePunct w:val="0"/>
        <w:autoSpaceDE/>
        <w:autoSpaceDN/>
        <w:bidi w:val="0"/>
        <w:adjustRightInd/>
        <w:snapToGrid/>
        <w:spacing w:line="560" w:lineRule="exact"/>
        <w:jc w:val="center"/>
        <w:textAlignment w:val="auto"/>
        <w:rPr>
          <w:rFonts w:hint="eastAsia" w:ascii="仿宋" w:hAnsi="仿宋" w:eastAsia="仿宋" w:cs="仿宋"/>
          <w:sz w:val="32"/>
          <w:szCs w:val="32"/>
          <w:lang w:val="en-US" w:eastAsia="zh-CN"/>
        </w:rPr>
      </w:pPr>
    </w:p>
    <w:p>
      <w:pPr>
        <w:keepNext w:val="0"/>
        <w:keepLines w:val="0"/>
        <w:pageBreakBefore w:val="0"/>
        <w:widowControl w:val="0"/>
        <w:kinsoku/>
        <w:wordWrap/>
        <w:overflowPunct/>
        <w:topLinePunct w:val="0"/>
        <w:autoSpaceDE/>
        <w:autoSpaceDN/>
        <w:bidi w:val="0"/>
        <w:adjustRightInd/>
        <w:snapToGrid/>
        <w:spacing w:line="560" w:lineRule="exact"/>
        <w:jc w:val="center"/>
        <w:textAlignment w:val="auto"/>
        <w:rPr>
          <w:rFonts w:hint="eastAsia" w:ascii="仿宋" w:hAnsi="仿宋" w:eastAsia="仿宋" w:cs="仿宋"/>
          <w:sz w:val="32"/>
          <w:szCs w:val="32"/>
          <w:lang w:val="en-US" w:eastAsia="zh-CN"/>
        </w:rPr>
      </w:pPr>
      <w:r>
        <w:rPr>
          <w:rFonts w:hint="eastAsia" w:ascii="宋体" w:hAnsi="宋体" w:eastAsia="宋体" w:cs="宋体"/>
          <w:b/>
          <w:bCs/>
          <w:sz w:val="36"/>
          <w:szCs w:val="36"/>
          <w:lang w:val="en-US" w:eastAsia="zh-CN"/>
        </w:rPr>
        <w:t>价差交易小班课</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仿宋" w:hAnsi="仿宋" w:eastAsia="仿宋" w:cs="仿宋"/>
          <w:sz w:val="32"/>
          <w:szCs w:val="32"/>
          <w:lang w:val="en-US" w:eastAsia="zh-CN"/>
        </w:rPr>
      </w:pP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黑体" w:hAnsi="黑体" w:eastAsia="黑体" w:cs="黑体"/>
          <w:sz w:val="32"/>
          <w:szCs w:val="32"/>
          <w:lang w:val="en-US" w:eastAsia="zh-CN"/>
        </w:rPr>
      </w:pPr>
      <w:r>
        <w:rPr>
          <w:rFonts w:hint="eastAsia" w:ascii="黑体" w:hAnsi="黑体" w:eastAsia="黑体" w:cs="黑体"/>
          <w:sz w:val="32"/>
          <w:szCs w:val="32"/>
          <w:lang w:val="en-US" w:eastAsia="zh-CN"/>
        </w:rPr>
        <w:t>一、量化交易的本质</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在未知领域不断向前探索，每一次解决新的问题，有所突破，最终都会变成交易盈利的来源。其中最重要是，遇到某个问题时（不止在量化交易中），如何寻找所需要的资源以及解决问题的能力和决心。</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黑体" w:hAnsi="黑体" w:eastAsia="黑体" w:cs="黑体"/>
          <w:sz w:val="32"/>
          <w:szCs w:val="32"/>
          <w:lang w:val="en-US" w:eastAsia="zh-CN"/>
        </w:rPr>
      </w:pPr>
      <w:r>
        <w:rPr>
          <w:rFonts w:hint="eastAsia" w:ascii="黑体" w:hAnsi="黑体" w:eastAsia="黑体" w:cs="黑体"/>
          <w:sz w:val="32"/>
          <w:szCs w:val="32"/>
          <w:lang w:val="en-US" w:eastAsia="zh-CN"/>
        </w:rPr>
        <w:t>二、课程目标</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（一）理解价差交易的优势和不足</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（二）掌握价差算法的代码细节</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（三）学习寻找价差的研究方法</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（四）尝试价差进阶策略的开发</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黑体" w:hAnsi="黑体" w:eastAsia="黑体" w:cs="黑体"/>
          <w:sz w:val="32"/>
          <w:szCs w:val="32"/>
          <w:lang w:val="en-US" w:eastAsia="zh-CN"/>
        </w:rPr>
      </w:pPr>
      <w:r>
        <w:rPr>
          <w:rFonts w:hint="eastAsia" w:ascii="黑体" w:hAnsi="黑体" w:eastAsia="黑体" w:cs="黑体"/>
          <w:sz w:val="32"/>
          <w:szCs w:val="32"/>
          <w:lang w:val="en-US" w:eastAsia="zh-CN"/>
        </w:rPr>
        <w:t>三、交易系统的本质</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收数据</w:t>
      </w:r>
      <w:r>
        <w:rPr>
          <w:rFonts w:hint="default" w:ascii="Arial" w:hAnsi="Arial" w:eastAsia="宋体" w:cs="Arial"/>
          <w:sz w:val="32"/>
          <w:szCs w:val="32"/>
          <w:lang w:val="en-US" w:eastAsia="zh-CN"/>
        </w:rPr>
        <w:t>→</w:t>
      </w:r>
      <w:r>
        <w:rPr>
          <w:rFonts w:hint="eastAsia" w:ascii="宋体" w:hAnsi="宋体" w:eastAsia="宋体" w:cs="宋体"/>
          <w:sz w:val="32"/>
          <w:szCs w:val="32"/>
          <w:lang w:val="en-US" w:eastAsia="zh-CN"/>
        </w:rPr>
        <w:t>做计算</w:t>
      </w:r>
      <w:r>
        <w:rPr>
          <w:rFonts w:hint="default" w:ascii="Arial" w:hAnsi="Arial" w:eastAsia="宋体" w:cs="Arial"/>
          <w:sz w:val="32"/>
          <w:szCs w:val="32"/>
          <w:lang w:val="en-US" w:eastAsia="zh-CN"/>
        </w:rPr>
        <w:t>→</w:t>
      </w:r>
      <w:r>
        <w:rPr>
          <w:rFonts w:hint="eastAsia" w:ascii="宋体" w:hAnsi="宋体" w:eastAsia="宋体" w:cs="宋体"/>
          <w:sz w:val="32"/>
          <w:szCs w:val="32"/>
          <w:lang w:val="en-US" w:eastAsia="zh-CN"/>
        </w:rPr>
        <w:t>发数据</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黑体" w:hAnsi="黑体" w:eastAsia="黑体" w:cs="黑体"/>
          <w:sz w:val="32"/>
          <w:szCs w:val="32"/>
          <w:lang w:val="en-US" w:eastAsia="zh-CN"/>
        </w:rPr>
      </w:pPr>
      <w:r>
        <w:rPr>
          <w:rFonts w:hint="eastAsia" w:ascii="黑体" w:hAnsi="黑体" w:eastAsia="黑体" w:cs="黑体"/>
          <w:sz w:val="32"/>
          <w:szCs w:val="32"/>
          <w:lang w:val="en-US" w:eastAsia="zh-CN"/>
        </w:rPr>
        <w:t>四、准备数据服务</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eastAsia" w:ascii="宋体" w:hAnsi="宋体" w:eastAsia="宋体" w:cs="宋体"/>
          <w:sz w:val="32"/>
          <w:szCs w:val="32"/>
          <w:lang w:val="en-US" w:eastAsia="zh-CN"/>
        </w:rPr>
      </w:pPr>
      <w:r>
        <w:rPr>
          <w:rFonts w:hint="eastAsia" w:ascii="楷体" w:hAnsi="楷体" w:eastAsia="楷体" w:cs="楷体"/>
          <w:b/>
          <w:bCs/>
          <w:sz w:val="32"/>
          <w:szCs w:val="32"/>
          <w:lang w:val="en-US" w:eastAsia="zh-CN"/>
        </w:rPr>
        <w:t>（一）国内期货使用RQData。</w:t>
      </w:r>
      <w:r>
        <w:rPr>
          <w:rFonts w:hint="eastAsia" w:ascii="宋体" w:hAnsi="宋体" w:eastAsia="宋体" w:cs="宋体"/>
          <w:sz w:val="32"/>
          <w:szCs w:val="32"/>
          <w:lang w:val="en-US" w:eastAsia="zh-CN"/>
        </w:rPr>
        <w:t>如果通过其官网直接注册，需要上传在专业金融机构工作的名片，不上传则会被拒。注册要使用vnpy论坛上的专用链接申请则可以直接跳过这一步。</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eastAsia" w:ascii="宋体" w:hAnsi="宋体" w:eastAsia="宋体" w:cs="宋体"/>
          <w:sz w:val="32"/>
          <w:szCs w:val="32"/>
          <w:lang w:val="en-US" w:eastAsia="zh-CN"/>
        </w:rPr>
      </w:pPr>
      <w:r>
        <w:rPr>
          <w:rFonts w:hint="eastAsia" w:ascii="楷体" w:hAnsi="楷体" w:eastAsia="楷体" w:cs="楷体"/>
          <w:b/>
          <w:bCs/>
          <w:sz w:val="32"/>
          <w:szCs w:val="32"/>
          <w:lang w:val="en-US" w:eastAsia="zh-CN"/>
        </w:rPr>
        <w:t>（二）数字货币推荐注册币安的实盘账户。</w:t>
      </w:r>
      <w:r>
        <w:rPr>
          <w:rFonts w:hint="eastAsia" w:ascii="宋体" w:hAnsi="宋体" w:eastAsia="宋体" w:cs="宋体"/>
          <w:sz w:val="32"/>
          <w:szCs w:val="32"/>
          <w:lang w:val="en-US" w:eastAsia="zh-CN"/>
        </w:rPr>
        <w:t>目前只有币安的数据质量、完善性还比较高，其他的都不太行。</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黑体" w:hAnsi="黑体" w:eastAsia="黑体" w:cs="黑体"/>
          <w:sz w:val="32"/>
          <w:szCs w:val="32"/>
          <w:lang w:val="en-US" w:eastAsia="zh-CN"/>
        </w:rPr>
      </w:pPr>
      <w:r>
        <w:rPr>
          <w:rFonts w:hint="eastAsia" w:ascii="黑体" w:hAnsi="黑体" w:eastAsia="黑体" w:cs="黑体"/>
          <w:sz w:val="32"/>
          <w:szCs w:val="32"/>
          <w:lang w:val="en-US" w:eastAsia="zh-CN"/>
        </w:rPr>
        <w:t>五、全球各大金融市场比较</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（一）目前全球主要金融市场包括数字货币、期货、股票、外汇、期权、债券。以上金融市场的排序是按照做价差策略赚钱难易程度来排序，数字货币市场是目前做价差策略赚钱最容易的金融交易市场。</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（二）价差交易的英文名叫Spread Trading，被广泛应用在各个金融市场、金融资产里的交易策略。</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三）所有量化交易都是赚“傻子”的钱，所谓的“傻子”就是那些乱交易的散户的钱。数字货币就是“傻子”、“韭菜”最多的市场，是最容易赚钱的市场，不管是做价差交易、趋势跟踪都是如此。但数字货币市场有其他相伴随的问题，比如其交易系统极不稳定、交易所有可能捐款逃跑等，这另当别论。</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四）比数字货币市场赚钱稍难一点儿的市场是期货市场。这里所说的期货市场主要是指商品期货。股指期货目前锁仓还需要锁的情况的下，主要参与者还是专业机构，个人散户不太可能参与，即使有个人做股指期货交易，也是做CTA量化的，要么就是专业机构做对冲交易，甚至有高频交易机构做高频做市交易，个人跟这些专业机构竞争难度较大，意义不大。</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（五）再难一点儿的就是股票市场。一般是做跨期货和股票之间的，也有股票和股票之间的，相对选择的难度会比较大，因为股票数量比较大。</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（六）再难一点儿的就是外汇。外汇市场也是比较特殊的交易市场，因为外汇是去中心化的。例如同样是欧元对美元，在不同的交易市场，价格是不一样的，只要在不同场所都有交易权限，就有赚取价差的机会。</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（七）期权、债券交易市场使用价差交易策略是相对比较少的。期权是非线性金融衍生产品，一般使用波动率Volatility Trading的交易策略，交易原理跟价差交易完全不同，波动率交易的交易信号是波动率。所以就不要考虑在期权、债券市场做价差交易。小班课程主要针对数字货币和期货市场。</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黑体" w:hAnsi="黑体" w:eastAsia="黑体" w:cs="黑体"/>
          <w:sz w:val="32"/>
          <w:szCs w:val="32"/>
          <w:lang w:val="en-US" w:eastAsia="zh-CN"/>
        </w:rPr>
      </w:pPr>
      <w:r>
        <w:rPr>
          <w:rFonts w:hint="eastAsia" w:ascii="黑体" w:hAnsi="黑体" w:eastAsia="黑体" w:cs="黑体"/>
          <w:sz w:val="32"/>
          <w:szCs w:val="32"/>
          <w:lang w:val="en-US" w:eastAsia="zh-CN"/>
        </w:rPr>
        <w:t>六、什么是价差交易</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一）是一种同时买入或卖出2个以上合约，并通过两者价格差值（而非价格本身）来获利的交易方式。做价差交易就跟大部分一般交易者不在一个赛道了，因为大部分交易者的交易对象还是价格本身，跟市场的涨跌有关，但是价差交易的对象是两个金融产品的价格差异，跟市场价格涨跌已经没有直接关系了。</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（二）起源于1980年代的Mongan Stanley，价差交易（Spread Trading），又名配对交易（Pair Trading），Mongan Stanley是量化交易的先行者，当时他们发明这种交易方式的部门叫PDT（Process Driven Trading），后来这个部门出了两个很牛的人，一个是D.E. Shaw，也就是现在的顶级对冲基金D.E. Shaw的创始人，当时他们采用还是频率相对比较低的交易，主要是做日频级别的股票的配对交易。80年代末期招的人另外一个牛人是Peter Muller，后来他创建了PDT Partners对冲基金。</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（三）即使自价差交易方式被发明之日到现在已经有40多年的历史了，但在国际市场上依然是绝大多数顶级金融机构的主流选择，主要原因如下：</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（1）风险更小。因为交易对象是价差，而非价格。价格变化太大，但是价差在大部分时候是比较平稳的，反映到交易上，价差交易风险就更低。</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（2）机会更多。</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1. 例如对国际投行Goldman Sachs来说，大部分交易，如大宗商品、债券的做市业务，其实本质上都是在做价差，你找他询价某到期月份的国债的现券价格，他报给你，你跟他成交之后，它会立即到CME的10年国债市场进行对冲交易做成价差，这样它就只用承担价差波动带来的风险，而不用承担价格本身波动带来的风险。</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2. 又如自营交易Marex Spectron，是雷曼兄弟倒闭之后其整个欧洲分部的自营交易台的创始人重新创立的一个公司，也是欧洲目前最大的自营交易公司，他们做的最多的就是在欧洲那几个交易所或者美国的CME上，一个是布伦特原油Brent Crude，一个是WTI Crude，在他们之间做套利，这是他们很大一块业务。</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3. 又如现货贸易商Glencore，它的价差交易涉及的市场范围更广，已经不只是在期货交易市场，可能一条腿是现货，例如铁矿石，另一条腿到大商所或者新加坡做一个铁矿石期货的对冲，做的是更加广义的价差交易。</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以上都是用于说明价差交易的重要作用。目前个人不太可能涉及太广义的价差，所以课程主要还是针对金融产品的价差。</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黑体" w:hAnsi="黑体" w:eastAsia="黑体" w:cs="黑体"/>
          <w:sz w:val="32"/>
          <w:szCs w:val="32"/>
          <w:lang w:val="en-US" w:eastAsia="zh-CN"/>
        </w:rPr>
      </w:pPr>
      <w:r>
        <w:rPr>
          <w:rFonts w:hint="eastAsia" w:ascii="黑体" w:hAnsi="黑体" w:eastAsia="黑体" w:cs="黑体"/>
          <w:sz w:val="32"/>
          <w:szCs w:val="32"/>
          <w:lang w:val="en-US" w:eastAsia="zh-CN"/>
        </w:rPr>
        <w:t>七、交易所VS本地</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目前在中国做价差交易有两个选择：</w:t>
      </w:r>
    </w:p>
    <w:p>
      <w:pPr>
        <w:keepNext w:val="0"/>
        <w:keepLines w:val="0"/>
        <w:pageBreakBefore w:val="0"/>
        <w:widowControl w:val="0"/>
        <w:numPr>
          <w:ilvl w:val="0"/>
          <w:numId w:val="1"/>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交易所价差，即所谓的组合合约。</w:t>
      </w:r>
    </w:p>
    <w:p>
      <w:pPr>
        <w:keepNext w:val="0"/>
        <w:keepLines w:val="0"/>
        <w:pageBreakBefore w:val="0"/>
        <w:widowControl w:val="0"/>
        <w:numPr>
          <w:ilvl w:val="0"/>
          <w:numId w:val="2"/>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例如大商所和郑商所提供的PTA（即以苯二甲酸作为标的物的引交易品种）、农产品、白糖、豆粕等不同月份期货合约的价差组合的合约，就叫交易所价差。交易者在买卖这类合约的时候，交易所的系统保证只要其中一条腿成交，另一条腿一定同时成交，不管买还是卖都一样，不会出现瘸腿的情况。例如：大商所豆粕跨期。优势是交易方便、执行风险低。</w:t>
      </w:r>
    </w:p>
    <w:p>
      <w:pPr>
        <w:keepNext w:val="0"/>
        <w:keepLines w:val="0"/>
        <w:pageBreakBefore w:val="0"/>
        <w:widowControl w:val="0"/>
        <w:numPr>
          <w:ilvl w:val="0"/>
          <w:numId w:val="2"/>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在交易软件中标记为spd（跨期套利）或ips（跨产品套利）的合约即组合合约。例如：M2109和M2106之间会有&amp;符合连接，M2109 &amp; M2106，这种即所谓的交易所价差。在交易的时候看起来会像是在交易一个标的物，但实际上持仓显示应该是两条期货腿的持仓。</w:t>
      </w:r>
    </w:p>
    <w:p>
      <w:pPr>
        <w:keepNext w:val="0"/>
        <w:keepLines w:val="0"/>
        <w:pageBreakBefore w:val="0"/>
        <w:widowControl w:val="0"/>
        <w:numPr>
          <w:ilvl w:val="0"/>
          <w:numId w:val="1"/>
        </w:numPr>
        <w:kinsoku/>
        <w:wordWrap/>
        <w:overflowPunct/>
        <w:topLinePunct w:val="0"/>
        <w:autoSpaceDE/>
        <w:autoSpaceDN/>
        <w:bidi w:val="0"/>
        <w:adjustRightInd/>
        <w:snapToGrid/>
        <w:spacing w:line="560" w:lineRule="exact"/>
        <w:ind w:left="0" w:leftChars="0"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本地价差，即在vnpy的程序里任意选两条腿计算其盘口、价格、可执行数量。这种价差交易在执行的过程中容易出现瘸腿，即主动腿成交后，被动腿没有及时成交的状况，这时要解决的问题是判断是应该继续发单要被动腿成交，还是赶紧把主动腿平掉。举例，最常见的，国内大量的资管券商特别喜欢的就是“沪深300期限套”。优势就是因为是在本地进行计算，没有限制，可以灵活自定义，能发现更多机会。从经验来看，进行本地价差交易的居多。</w:t>
      </w:r>
    </w:p>
    <w:p>
      <w:pPr>
        <w:keepNext w:val="0"/>
        <w:keepLines w:val="0"/>
        <w:pageBreakBefore w:val="0"/>
        <w:widowControl w:val="0"/>
        <w:numPr>
          <w:ilvl w:val="0"/>
          <w:numId w:val="3"/>
        </w:numPr>
        <w:kinsoku/>
        <w:wordWrap/>
        <w:overflowPunct/>
        <w:topLinePunct w:val="0"/>
        <w:autoSpaceDE/>
        <w:autoSpaceDN/>
        <w:bidi w:val="0"/>
        <w:adjustRightInd/>
        <w:snapToGrid/>
        <w:spacing w:line="560" w:lineRule="exact"/>
        <w:ind w:firstLine="640" w:firstLineChars="200"/>
        <w:textAlignment w:val="auto"/>
        <w:rPr>
          <w:rFonts w:hint="eastAsia" w:ascii="黑体" w:hAnsi="黑体" w:eastAsia="黑体" w:cs="黑体"/>
          <w:sz w:val="32"/>
          <w:szCs w:val="32"/>
          <w:lang w:val="en-US" w:eastAsia="zh-CN"/>
        </w:rPr>
      </w:pPr>
      <w:r>
        <w:rPr>
          <w:rFonts w:hint="eastAsia" w:ascii="黑体" w:hAnsi="黑体" w:eastAsia="黑体" w:cs="黑体"/>
          <w:sz w:val="32"/>
          <w:szCs w:val="32"/>
          <w:lang w:val="en-US" w:eastAsia="zh-CN"/>
        </w:rPr>
        <w:t>价差的保证金优势</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一）价差的波动范围更小、整体价差持仓风险更低、交易所收取更少保证金、可以用更大的杠杆交易。现在各家期货交易所应该都是这样的，例如股指期货，IF2106做多、IF2109做空，这种情况交易所按照“单向大边”原则只收取一边的保证金，不会两条腿都收保证金。</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二）“单向大边”原则，有个重要前提就是两条腿都属于同一个品种。在满足这个前提的情况下，系统会分别计算两边的保证金是多少，因为方向是相反的，系统只会收取保证金大的那一边的保证金，另外一边是免收的。如果两条腿分别属于不同的品种，不适用上述原则，即每条腿还是要各自收各自的保证金。</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三）在国内虽然有“单向大边”原则，但杠杆水平和单腿交易是一样的。在海外交易市场一是价差交易收取的保证金要比单腿交易低得多，甚至可能达到单腿交易保证金的几分之一，所以做价差交易的杠杆比单腿交易的杠杆多得多。但是这个规则目前在国内是没有的。一直有人在交易所层面在提，想加这个规则，但目前证监会还没有通过，未来会是一个方向。</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黑体" w:hAnsi="黑体" w:eastAsia="黑体" w:cs="黑体"/>
          <w:sz w:val="32"/>
          <w:szCs w:val="32"/>
          <w:lang w:val="en-US" w:eastAsia="zh-CN"/>
        </w:rPr>
      </w:pPr>
      <w:r>
        <w:rPr>
          <w:rFonts w:hint="eastAsia" w:ascii="黑体" w:hAnsi="黑体" w:eastAsia="黑体" w:cs="黑体"/>
          <w:sz w:val="32"/>
          <w:szCs w:val="32"/>
          <w:lang w:val="en-US" w:eastAsia="zh-CN"/>
        </w:rPr>
        <w:t>九、举个简单的实例</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T时刻IF2006位于4000、IF2007位于4010，此时远期升水较小。假如预期远期升水还会变大，则执行开仓操作，买入1手IF2007、卖出1手IF2006，相当于用10元做多这两个合约的价差。T+1时刻，升水变大，恢复正常，此时IF2006位于3900，IF2007位于3960，此时升水为60，视为正常水平，因此判断应该此时平掉价差，即相对此前的操作进行反向操作，卖出1手IF2007，买入1手IF2006，以价差60平仓。整体的盈利状况拆解到每条腿上，IF2006盈利为4000-3900=100，IF2007盈利为3960-4010=-50，总体盈利则为100-50=50。因此某一条腿是否赚钱已经不重要了，重要的是最终的总体盈利状况。</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default" w:ascii="黑体" w:hAnsi="黑体" w:eastAsia="黑体" w:cs="黑体"/>
          <w:sz w:val="32"/>
          <w:szCs w:val="32"/>
          <w:lang w:val="en-US" w:eastAsia="zh-CN"/>
        </w:rPr>
      </w:pPr>
      <w:r>
        <w:rPr>
          <w:rFonts w:hint="eastAsia" w:ascii="黑体" w:hAnsi="黑体" w:eastAsia="黑体" w:cs="黑体"/>
          <w:sz w:val="32"/>
          <w:szCs w:val="32"/>
          <w:lang w:val="en-US" w:eastAsia="zh-CN"/>
        </w:rPr>
        <w:t>十、价差交易的特点</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3" w:firstLineChars="200"/>
        <w:textAlignment w:val="auto"/>
        <w:rPr>
          <w:rFonts w:hint="eastAsia" w:ascii="宋体" w:hAnsi="宋体" w:eastAsia="宋体" w:cs="宋体"/>
          <w:sz w:val="32"/>
          <w:szCs w:val="32"/>
          <w:lang w:val="en-US" w:eastAsia="zh-CN"/>
        </w:rPr>
      </w:pPr>
      <w:r>
        <w:rPr>
          <w:rFonts w:hint="eastAsia" w:ascii="楷体" w:hAnsi="楷体" w:eastAsia="楷体" w:cs="楷体"/>
          <w:b/>
          <w:bCs/>
          <w:sz w:val="32"/>
          <w:szCs w:val="32"/>
          <w:lang w:val="en-US" w:eastAsia="zh-CN"/>
        </w:rPr>
        <w:t>（一）价差交易的理论基础是均值回归。</w:t>
      </w:r>
      <w:r>
        <w:rPr>
          <w:rFonts w:hint="eastAsia" w:ascii="宋体" w:hAnsi="宋体" w:eastAsia="宋体" w:cs="宋体"/>
          <w:sz w:val="32"/>
          <w:szCs w:val="32"/>
          <w:lang w:val="en-US" w:eastAsia="zh-CN"/>
        </w:rPr>
        <w:t>这和CTA策略追涨杀跌转趋势的钱的交易原理有本质的区别。所谓均值回归就是高抛低吸，交易标的物的价格总有回到相对均衡的位置的时候。</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3" w:firstLineChars="200"/>
        <w:textAlignment w:val="auto"/>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（二）其优点。</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3" w:firstLineChars="200"/>
        <w:textAlignment w:val="auto"/>
        <w:rPr>
          <w:rFonts w:hint="eastAsia" w:ascii="宋体" w:hAnsi="宋体" w:eastAsia="宋体" w:cs="宋体"/>
          <w:sz w:val="32"/>
          <w:szCs w:val="32"/>
          <w:lang w:val="en-US" w:eastAsia="zh-CN"/>
        </w:rPr>
      </w:pPr>
      <w:r>
        <w:rPr>
          <w:rFonts w:hint="eastAsia" w:ascii="宋体" w:hAnsi="宋体" w:eastAsia="宋体" w:cs="宋体"/>
          <w:b/>
          <w:bCs/>
          <w:sz w:val="32"/>
          <w:szCs w:val="32"/>
          <w:lang w:val="en-US" w:eastAsia="zh-CN"/>
        </w:rPr>
        <w:t>一是高胜率。</w:t>
      </w:r>
      <w:r>
        <w:rPr>
          <w:rFonts w:hint="eastAsia" w:ascii="宋体" w:hAnsi="宋体" w:eastAsia="宋体" w:cs="宋体"/>
          <w:sz w:val="32"/>
          <w:szCs w:val="32"/>
          <w:lang w:val="en-US" w:eastAsia="zh-CN"/>
        </w:rPr>
        <w:t>如果价差是合理的，那回归均值是大概率事件，甚至可以说是肯定会发生的事件。比如比特币的现货和永续合约，因为永续合约有一个资金费率结算的规则，会使得永续合约价格在一定时间后一定会回归到现货价值上，此时永续合约的价格回归就是百分之百会发生的事件。但有些合约之间，例如螺纹钢和热卷板，虽然它们都是钢材，互相之间有一定的关系，但毕竟应用场景不同，其价差绝大多数能回归，但在极端情况下完全有可能会进一步拉大。</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3" w:firstLineChars="200"/>
        <w:textAlignment w:val="auto"/>
        <w:rPr>
          <w:rFonts w:hint="eastAsia" w:ascii="宋体" w:hAnsi="宋体" w:eastAsia="宋体" w:cs="宋体"/>
          <w:sz w:val="32"/>
          <w:szCs w:val="32"/>
          <w:lang w:val="en-US" w:eastAsia="zh-CN"/>
        </w:rPr>
      </w:pPr>
      <w:r>
        <w:rPr>
          <w:rFonts w:hint="eastAsia" w:ascii="宋体" w:hAnsi="宋体" w:eastAsia="宋体" w:cs="宋体"/>
          <w:b/>
          <w:bCs/>
          <w:sz w:val="32"/>
          <w:szCs w:val="32"/>
          <w:lang w:val="en-US" w:eastAsia="zh-CN"/>
        </w:rPr>
        <w:t>二是低盈亏比。</w:t>
      </w:r>
      <w:r>
        <w:rPr>
          <w:rFonts w:hint="eastAsia" w:ascii="宋体" w:hAnsi="宋体" w:eastAsia="宋体" w:cs="宋体"/>
          <w:sz w:val="32"/>
          <w:szCs w:val="32"/>
          <w:lang w:val="en-US" w:eastAsia="zh-CN"/>
        </w:rPr>
        <w:t>价差大部分时间能回归，但每一次赚钱都是赚小钱，只不过是在频繁的赚小钱，但万一出现极端情况，就会亏很多钱。如币圈在现货和永续之间套利，大部分时间都不用怕，但就怕有连续的散户爆仓（就跟期货有人连续止损一样），币圈本身波动就大，提供的杠杆比传统期货还要高，因此A爆仓结束会出发10个B爆仓，然后会再触发100个C爆仓，如此连续螺旋式爆仓，这种情形非常可怕，有可能价格会陡然跳动百分之几十，这时如果策略仍然持仓，很有可能就会因为保证金不够也跟着爆仓。</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3" w:firstLineChars="200"/>
        <w:textAlignment w:val="auto"/>
        <w:rPr>
          <w:rFonts w:hint="eastAsia" w:ascii="宋体" w:hAnsi="宋体" w:eastAsia="宋体" w:cs="宋体"/>
          <w:sz w:val="32"/>
          <w:szCs w:val="32"/>
          <w:lang w:val="en-US" w:eastAsia="zh-CN"/>
        </w:rPr>
      </w:pPr>
      <w:r>
        <w:rPr>
          <w:rFonts w:hint="eastAsia" w:ascii="宋体" w:hAnsi="宋体" w:eastAsia="宋体" w:cs="宋体"/>
          <w:b/>
          <w:bCs/>
          <w:sz w:val="32"/>
          <w:szCs w:val="32"/>
          <w:lang w:val="en-US" w:eastAsia="zh-CN"/>
        </w:rPr>
        <w:t>三是只关心价差腿之间的相对涨跌。</w:t>
      </w:r>
      <w:r>
        <w:rPr>
          <w:rFonts w:hint="eastAsia" w:ascii="宋体" w:hAnsi="宋体" w:eastAsia="宋体" w:cs="宋体"/>
          <w:sz w:val="32"/>
          <w:szCs w:val="32"/>
          <w:lang w:val="en-US" w:eastAsia="zh-CN"/>
        </w:rPr>
        <w:t>不关心每条价差退的价格的绝对涨跌。例如价差交易者并不关心中国股市是上涨还是下跌，只关心价差腿之间的结构变化。有时做价差从私募的角度，可以让你获得额外的优势是，你的资金曲线跟别人家的产品的资金曲线相关性很低，导致FOF（Fund of Funds，基金中的基金）就喜欢投你，因为FOF喜欢分散风险。例如：即使你的Alpha做到很高，比幻方做的还好，但是因为你的资金曲线跟幻方的相关性很高，很有可能人家已经投了幻方，结果为了分散风险就不会再投你，但是如果你主要交易策略是做套利，跟幻方没有什么相关性，甚至有负相关性，那么人家就比较愿意投你。</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3" w:firstLineChars="200"/>
        <w:textAlignment w:val="auto"/>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drawing>
          <wp:anchor distT="0" distB="0" distL="114300" distR="114300" simplePos="0" relativeHeight="251659264" behindDoc="0" locked="0" layoutInCell="1" allowOverlap="1">
            <wp:simplePos x="0" y="0"/>
            <wp:positionH relativeFrom="column">
              <wp:posOffset>321945</wp:posOffset>
            </wp:positionH>
            <wp:positionV relativeFrom="paragraph">
              <wp:posOffset>456565</wp:posOffset>
            </wp:positionV>
            <wp:extent cx="4408805" cy="2230120"/>
            <wp:effectExtent l="0" t="0" r="1270" b="8255"/>
            <wp:wrapTopAndBottom/>
            <wp:docPr id="2" name="图片 2"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SharedScreenshot"/>
                    <pic:cNvPicPr>
                      <a:picLocks noChangeAspect="1"/>
                    </pic:cNvPicPr>
                  </pic:nvPicPr>
                  <pic:blipFill>
                    <a:blip r:embed="rId5"/>
                    <a:stretch>
                      <a:fillRect/>
                    </a:stretch>
                  </pic:blipFill>
                  <pic:spPr>
                    <a:xfrm>
                      <a:off x="0" y="0"/>
                      <a:ext cx="4408805" cy="2230120"/>
                    </a:xfrm>
                    <a:prstGeom prst="rect">
                      <a:avLst/>
                    </a:prstGeom>
                  </pic:spPr>
                </pic:pic>
              </a:graphicData>
            </a:graphic>
          </wp:anchor>
        </w:drawing>
      </w:r>
      <w:r>
        <w:rPr>
          <w:rFonts w:hint="eastAsia" w:ascii="楷体" w:hAnsi="楷体" w:eastAsia="楷体" w:cs="楷体"/>
          <w:b/>
          <w:bCs/>
          <w:sz w:val="32"/>
          <w:szCs w:val="32"/>
          <w:lang w:val="en-US" w:eastAsia="zh-CN"/>
        </w:rPr>
        <w:t>（三）资金曲线的特点。</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以上两条线都是赚钱的交易策略的资金曲线，上面是价差交易的资金曲线，下面是CTA策略的资金曲线。</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1. 价差交易策略资金曲线表现为大部分时间都是赚钱的，但偶尔亏钱就会比较多，回撤比较明显。但整体来看，赚钱的时候比较多，亏钱的时候比较少。</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2. CTA策略资金曲线表现为大部分时间是不赚钱的，甚至是来回通过小止损在亏钱，这种亏钱是为了未来能捕捉到赚钱的机会，所以大部分时候资金曲线是横着或者慢慢往下走，偶尔出现大的行情突破的时候一把赚个大的，然后再进入横盘期，然后再捕捉到大的行情赚一把大的。</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3. 以上曲线是在比较短时间的维度来观察，如果放到比较长时间的维度来看，如果是赚钱的策略的资金曲线，看起来都会像是一条一直向上的直线。因此，如果要通过资金曲线的形态来判断其背后的交易策略类型，应该在放到比较短时间的维度放大来观察。</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4. 如果交易者主业是做CTA策略，做价差交易将会是一个良好的互补，两者的资金曲线整合到一起之后sharp ratio会变高。</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5. 从做期货交易经验来看，有求稳的，从价差交易起步，打一点安全基础后再慢慢上CTA策略。也有一上来就做CTA策略的，使用的是自有资金，不太有止损线的问题，就等着遇到大行情的时候先赚一波大的，等钱多了再慢慢做价差，就相当于过后再把风险小一点儿的策略配上去，这样总体资金曲线</w:t>
      </w:r>
      <w:bookmarkStart w:id="0" w:name="_GoBack"/>
      <w:bookmarkEnd w:id="0"/>
    </w:p>
    <w:sectPr>
      <w:footerReference r:id="rId3"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
    <w:panose1 w:val="02010609060101010101"/>
    <w:charset w:val="86"/>
    <w:family w:val="auto"/>
    <w:pitch w:val="default"/>
    <w:sig w:usb0="800002BF" w:usb1="38CF7CFA" w:usb2="00000016" w:usb3="00000000" w:csb0="00040001" w:csb1="00000000"/>
  </w:font>
  <w:font w:name="楷体">
    <w:panose1 w:val="02010609060101010101"/>
    <w:charset w:val="86"/>
    <w:family w:val="auto"/>
    <w:pitch w:val="default"/>
    <w:sig w:usb0="800002BF" w:usb1="38CF7CFA" w:usb2="00000016" w:usb3="00000000" w:csb0="00040001" w:csb1="00000000"/>
  </w:font>
  <w:font w:name="Arial">
    <w:panose1 w:val="020B0604020202020204"/>
    <w:charset w:val="00"/>
    <w:family w:val="auto"/>
    <w:pitch w:val="default"/>
    <w:sig w:usb0="E0002EFF" w:usb1="C000785B" w:usb2="00000009" w:usb3="00000000" w:csb0="400001FF" w:csb1="FFFF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3"/>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pPr>
                      <w:pStyle w:val="3"/>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D74AFA0"/>
    <w:multiLevelType w:val="singleLevel"/>
    <w:tmpl w:val="AD74AFA0"/>
    <w:lvl w:ilvl="0" w:tentative="0">
      <w:start w:val="1"/>
      <w:numFmt w:val="decimal"/>
      <w:suff w:val="space"/>
      <w:lvlText w:val="%1."/>
      <w:lvlJc w:val="left"/>
    </w:lvl>
  </w:abstractNum>
  <w:abstractNum w:abstractNumId="1">
    <w:nsid w:val="AF6E3967"/>
    <w:multiLevelType w:val="singleLevel"/>
    <w:tmpl w:val="AF6E3967"/>
    <w:lvl w:ilvl="0" w:tentative="0">
      <w:start w:val="8"/>
      <w:numFmt w:val="chineseCounting"/>
      <w:suff w:val="nothing"/>
      <w:lvlText w:val="%1、"/>
      <w:lvlJc w:val="left"/>
      <w:rPr>
        <w:rFonts w:hint="eastAsia"/>
      </w:rPr>
    </w:lvl>
  </w:abstractNum>
  <w:abstractNum w:abstractNumId="2">
    <w:nsid w:val="BC3712F7"/>
    <w:multiLevelType w:val="singleLevel"/>
    <w:tmpl w:val="BC3712F7"/>
    <w:lvl w:ilvl="0" w:tentative="0">
      <w:start w:val="1"/>
      <w:numFmt w:val="chineseCounting"/>
      <w:suff w:val="nothing"/>
      <w:lvlText w:val="（%1）"/>
      <w:lvlJc w:val="left"/>
      <w:rPr>
        <w:rFonts w:hint="eastAsia"/>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4"/>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5355A32"/>
    <w:rsid w:val="07C646FE"/>
    <w:rsid w:val="23833C5B"/>
    <w:rsid w:val="318E2B8F"/>
    <w:rsid w:val="45D936B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character" w:default="1" w:styleId="6">
    <w:name w:val="Default Paragraph Font"/>
    <w:semiHidden/>
    <w:uiPriority w:val="0"/>
  </w:style>
  <w:style w:type="table" w:default="1" w:styleId="5">
    <w:name w:val="Normal Table"/>
    <w:semiHidden/>
    <w:uiPriority w:val="0"/>
    <w:tblPr>
      <w:tblCellMar>
        <w:top w:w="0" w:type="dxa"/>
        <w:left w:w="108" w:type="dxa"/>
        <w:bottom w:w="0" w:type="dxa"/>
        <w:right w:w="108" w:type="dxa"/>
      </w:tblCellMar>
    </w:tblPr>
  </w:style>
  <w:style w:type="paragraph" w:styleId="3">
    <w:name w:val="footer"/>
    <w:basedOn w:val="1"/>
    <w:uiPriority w:val="0"/>
    <w:pPr>
      <w:tabs>
        <w:tab w:val="center" w:pos="4153"/>
        <w:tab w:val="right" w:pos="8306"/>
      </w:tabs>
      <w:snapToGrid w:val="0"/>
      <w:jc w:val="left"/>
    </w:pPr>
    <w:rPr>
      <w:sz w:val="18"/>
    </w:rPr>
  </w:style>
  <w:style w:type="paragraph" w:styleId="4">
    <w:name w:val="header"/>
    <w:basedOn w:val="1"/>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character" w:styleId="7">
    <w:name w:val="Strong"/>
    <w:basedOn w:val="6"/>
    <w:qFormat/>
    <w:uiPriority w:val="0"/>
    <w:rPr>
      <w:b/>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74</TotalTime>
  <ScaleCrop>false</ScaleCrop>
  <LinksUpToDate>false</LinksUpToDate>
  <CharactersWithSpaces>0</CharactersWithSpaces>
  <Application>WPS Office_11.1.0.10700_F1E327BC-269C-435d-A152-05C5408002CA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2021-08-14T05:54:00Z</dcterms:created>
  <dc:creator>huangning</dc:creator>
  <cp:lastModifiedBy>HN</cp:lastModifiedBy>
  <dcterms:modified xsi:type="dcterms:W3CDTF">2021-08-15T05:54:52Z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2052-11.1.0.10700</vt:lpwstr>
  </property>
  <property fmtid="{D5CDD505-2E9C-101B-9397-08002B2CF9AE}" pid="3" name="ICV">
    <vt:lpwstr>71F55F0C050940A4BD73BBE75B2BEE97</vt:lpwstr>
  </property>
</Properties>
</file>