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CCI</w:t>
      </w:r>
      <w:r>
        <w:rPr>
          <w:rFonts w:hint="eastAsia"/>
          <w:lang w:val="en-US" w:eastAsia="zh-Hans"/>
        </w:rPr>
        <w:t>精细化委托管理策略开发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需要解决的问题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CCI的超买、超卖阈值跟交易对象有关系，有的可能是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-100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有的是</w:t>
      </w:r>
      <w:r>
        <w:rPr>
          <w:rFonts w:hint="default"/>
          <w:lang w:eastAsia="zh-Hans"/>
        </w:rPr>
        <w:t>300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-280</w:t>
      </w:r>
      <w:r>
        <w:rPr>
          <w:rFonts w:hint="eastAsia"/>
          <w:lang w:val="en-US" w:eastAsia="zh-Hans"/>
        </w:rPr>
        <w:t>等，需要对照图表具体观察。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FE8F0"/>
    <w:multiLevelType w:val="singleLevel"/>
    <w:tmpl w:val="5FFFE8F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317A"/>
    <w:rsid w:val="7DF7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2021-01-14T14:42:00Z</dcterms:created>
  <dc:creator>huangning</dc:creator>
  <cp:lastModifiedBy>huangning</cp:lastModifiedBy>
  <dcterms:modified xsi:type="dcterms:W3CDTF">2021-01-14T14:47:22Z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