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四十七、期货保证金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保证金是交易所控制投机规模的重要手段。投机者和投机活动是期货市场的润滑剂，但不适度的投机则会加大市场风险，不利于期货市场的稳健运行。当投机过度时，可通过提高保证金的办法，增大入市成本，以抑制投机行为，控制交易的规模和风险。反之，当期货市场低迷、交易规模过小时，则可通过适量降低保证金来吸引更多的市场参与者，活跃交易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（一）保证金概述和计算方式。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保证金可分为结算准备金和交易保证金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结算准备金，也即我们通常所说的可用资金，是投资者为了交易结算而在期货账户中预先准备的资金，是未被合约占用的保证金，比如交易者新开仓便使用的是这部分资金。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2.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交易保证金，我们通常说的保证金即指交易保证金，又称保证金占用，是确保合约履行的资金，是已被合约占用的保证金，即这部分资金已被冻结，不可动用，即不能用来建新仓。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</w:t>
      </w:r>
      <w:r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  <w:t>期货保证金计算公式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计算公式：N手某期货合约占用保证金额=当日结算价 × 交易单位(合约乘数)× 期货保证金率 × N手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假设某投资者有以下3笔关于螺纹钢期货品种的操作(假设螺纹钢保证金比例为9%)。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</w:t>
      </w:r>
      <w:r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  <w:t>举例说明期货保证金的计算方法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期货保证金的算法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2月8日买入开仓8手螺纹钢1705，成交价为3150，则冻结保证金：3150×10×9%×8=22680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2.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2月8日平仓3手，成交价为3200，则平仓释放保证金：3200×10×9%×3=8640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剩余5手持仓占用保证金：3150×10×9%×5=14175，结算后，当日结算价为：3198。则按照结算价，持仓占用保证金应为：3198×10×9%×5=14391 &gt; 结算前实际占用保证金14175。此时便会从期货账户的可用资金里划转不足的部分(14391-14175=216元)至交易保证金冻结。</w:t>
      </w:r>
    </w:p>
    <w:p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保证金总额 = （多仓手数-空仓手数）* 合约乘数 * 价格 * 保证金率 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2021-01-24T02:37:42Z</dcterms:created>
  <dc:creator>黄柠</dc:creator>
  <cp:lastModifiedBy>HN</cp:lastModifiedBy>
  <dcterms:modified xsi:type="dcterms:W3CDTF">2021-01-24T02:38:03Z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