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F55E99" w14:textId="77777777" w:rsidR="008A3B62" w:rsidRDefault="008A3B62" w:rsidP="008A3B62">
      <w:pPr>
        <w:spacing w:line="560" w:lineRule="exact"/>
        <w:jc w:val="center"/>
        <w:outlineLvl w:val="0"/>
        <w:rPr>
          <w:rFonts w:asciiTheme="majorEastAsia" w:eastAsiaTheme="majorEastAsia" w:hAnsiTheme="majorEastAsia" w:cs="黑体"/>
          <w:b/>
          <w:bCs/>
          <w:sz w:val="36"/>
          <w:szCs w:val="36"/>
        </w:rPr>
      </w:pPr>
      <w:r w:rsidRPr="008A3B62">
        <w:rPr>
          <w:rFonts w:asciiTheme="majorEastAsia" w:eastAsiaTheme="majorEastAsia" w:hAnsiTheme="majorEastAsia" w:cs="黑体" w:hint="eastAsia"/>
          <w:b/>
          <w:bCs/>
          <w:sz w:val="36"/>
          <w:szCs w:val="36"/>
        </w:rPr>
        <w:t>CCI（Commodity Channel Index）</w:t>
      </w:r>
    </w:p>
    <w:p w14:paraId="04B6EC1D" w14:textId="40449CBF" w:rsidR="008A3B62" w:rsidRPr="008A3B62" w:rsidRDefault="008A3B62" w:rsidP="008A3B62">
      <w:pPr>
        <w:spacing w:line="560" w:lineRule="exact"/>
        <w:jc w:val="center"/>
        <w:outlineLvl w:val="0"/>
        <w:rPr>
          <w:rFonts w:asciiTheme="majorEastAsia" w:eastAsiaTheme="majorEastAsia" w:hAnsiTheme="majorEastAsia" w:cs="黑体"/>
          <w:b/>
          <w:bCs/>
          <w:sz w:val="36"/>
          <w:szCs w:val="36"/>
        </w:rPr>
      </w:pPr>
      <w:r>
        <w:rPr>
          <w:rFonts w:asciiTheme="majorEastAsia" w:eastAsiaTheme="majorEastAsia" w:hAnsiTheme="majorEastAsia" w:cs="黑体"/>
          <w:b/>
          <w:bCs/>
          <w:sz w:val="36"/>
          <w:szCs w:val="36"/>
        </w:rPr>
        <w:t xml:space="preserve">                     --</w:t>
      </w:r>
      <w:r>
        <w:rPr>
          <w:rFonts w:asciiTheme="majorEastAsia" w:eastAsiaTheme="majorEastAsia" w:hAnsiTheme="majorEastAsia" w:cs="黑体" w:hint="eastAsia"/>
          <w:b/>
          <w:bCs/>
          <w:sz w:val="36"/>
          <w:szCs w:val="36"/>
        </w:rPr>
        <w:t>顺势</w:t>
      </w:r>
      <w:r w:rsidRPr="008A3B62">
        <w:rPr>
          <w:rFonts w:asciiTheme="majorEastAsia" w:eastAsiaTheme="majorEastAsia" w:hAnsiTheme="majorEastAsia" w:cs="黑体" w:hint="eastAsia"/>
          <w:b/>
          <w:bCs/>
          <w:sz w:val="36"/>
          <w:szCs w:val="36"/>
        </w:rPr>
        <w:t>指标</w:t>
      </w:r>
    </w:p>
    <w:p w14:paraId="4F17C1CE" w14:textId="77777777" w:rsidR="008A3B62" w:rsidRDefault="008A3B62" w:rsidP="008A3B62">
      <w:pPr>
        <w:spacing w:line="560" w:lineRule="exact"/>
        <w:jc w:val="center"/>
        <w:outlineLvl w:val="0"/>
        <w:rPr>
          <w:rFonts w:ascii="黑体" w:eastAsia="黑体" w:hAnsi="黑体" w:cs="黑体" w:hint="eastAsia"/>
          <w:sz w:val="32"/>
          <w:szCs w:val="32"/>
        </w:rPr>
      </w:pPr>
    </w:p>
    <w:p w14:paraId="788CD57F" w14:textId="2BCA945A" w:rsidR="008A3B62" w:rsidRPr="008A3B62" w:rsidRDefault="008A3B62" w:rsidP="008A3B62">
      <w:pPr>
        <w:spacing w:line="560" w:lineRule="exact"/>
        <w:ind w:firstLineChars="200" w:firstLine="640"/>
        <w:outlineLvl w:val="1"/>
        <w:rPr>
          <w:rFonts w:ascii="黑体" w:eastAsia="黑体" w:hAnsi="黑体" w:cs="楷体"/>
          <w:sz w:val="32"/>
          <w:szCs w:val="32"/>
        </w:rPr>
      </w:pPr>
      <w:r w:rsidRPr="008A3B62">
        <w:rPr>
          <w:rFonts w:ascii="黑体" w:eastAsia="黑体" w:hAnsi="黑体" w:cs="楷体" w:hint="eastAsia"/>
          <w:sz w:val="32"/>
          <w:szCs w:val="32"/>
        </w:rPr>
        <w:t>一、</w:t>
      </w:r>
      <w:r w:rsidRPr="008A3B62">
        <w:rPr>
          <w:rFonts w:ascii="黑体" w:eastAsia="黑体" w:hAnsi="黑体" w:cs="楷体" w:hint="eastAsia"/>
          <w:sz w:val="32"/>
          <w:szCs w:val="32"/>
        </w:rPr>
        <w:t>简述</w:t>
      </w:r>
    </w:p>
    <w:p w14:paraId="4DE7557C" w14:textId="77777777" w:rsidR="008A3B62" w:rsidRDefault="008A3B62" w:rsidP="008A3B62">
      <w:pPr>
        <w:spacing w:line="560" w:lineRule="exact"/>
        <w:ind w:firstLineChars="200" w:firstLine="640"/>
        <w:rPr>
          <w:rFonts w:asciiTheme="minorEastAsia" w:hAnsiTheme="minorEastAsia" w:cstheme="minorEastAsia"/>
          <w:sz w:val="32"/>
          <w:szCs w:val="32"/>
        </w:rPr>
      </w:pPr>
      <w:r>
        <w:rPr>
          <w:rFonts w:asciiTheme="minorEastAsia" w:hAnsiTheme="minorEastAsia" w:cstheme="minorEastAsia"/>
          <w:sz w:val="32"/>
          <w:szCs w:val="32"/>
        </w:rPr>
        <w:t>CCI指标也称为顺势指标。它是由唐纳德</w:t>
      </w:r>
      <w:r>
        <w:rPr>
          <w:rFonts w:ascii="微软雅黑" w:eastAsia="微软雅黑" w:hAnsi="微软雅黑" w:cs="微软雅黑" w:hint="eastAsia"/>
          <w:sz w:val="32"/>
          <w:szCs w:val="32"/>
        </w:rPr>
        <w:t>·</w:t>
      </w:r>
      <w:r>
        <w:rPr>
          <w:rFonts w:asciiTheme="minorEastAsia" w:hAnsiTheme="minorEastAsia" w:cstheme="minorEastAsia"/>
          <w:sz w:val="32"/>
          <w:szCs w:val="32"/>
        </w:rPr>
        <w:t>蓝伯特(Donald Lambert)于20世纪80年代提出的，用于判断当前价格是否超出常态分布范围，同KDJ、RSI一样，也是用于判断超卖超买。</w:t>
      </w:r>
      <w:r w:rsidRPr="001B2235">
        <w:rPr>
          <w:rFonts w:asciiTheme="minorEastAsia" w:hAnsiTheme="minorEastAsia" w:cstheme="minorEastAsia"/>
          <w:sz w:val="32"/>
          <w:szCs w:val="32"/>
          <w:highlight w:val="yellow"/>
        </w:rPr>
        <w:t>CCI的范围是负无穷和正无穷之间，所以CCI对于短期内暴涨暴跌的股票或者期货可以进行更好的衡量与判断，所以很多短期策略都会用到CCI指标。</w:t>
      </w:r>
    </w:p>
    <w:p w14:paraId="3EC742B3" w14:textId="400B2E5A" w:rsidR="008A3B62" w:rsidRPr="008A3B62" w:rsidRDefault="008A3B62" w:rsidP="008A3B62">
      <w:pPr>
        <w:spacing w:line="560" w:lineRule="exact"/>
        <w:ind w:firstLineChars="200" w:firstLine="640"/>
        <w:outlineLvl w:val="1"/>
        <w:rPr>
          <w:rFonts w:ascii="黑体" w:eastAsia="黑体" w:hAnsi="黑体" w:cs="楷体" w:hint="eastAsia"/>
          <w:sz w:val="32"/>
          <w:szCs w:val="32"/>
        </w:rPr>
      </w:pPr>
      <w:r>
        <w:rPr>
          <w:rFonts w:ascii="黑体" w:eastAsia="黑体" w:hAnsi="黑体" w:cs="楷体" w:hint="eastAsia"/>
          <w:sz w:val="32"/>
          <w:szCs w:val="32"/>
        </w:rPr>
        <w:t>二、</w:t>
      </w:r>
      <w:r w:rsidRPr="008A3B62">
        <w:rPr>
          <w:rFonts w:ascii="黑体" w:eastAsia="黑体" w:hAnsi="黑体" w:cs="楷体" w:hint="eastAsia"/>
          <w:sz w:val="32"/>
          <w:szCs w:val="32"/>
        </w:rPr>
        <w:t>计算</w:t>
      </w:r>
    </w:p>
    <w:p w14:paraId="7D569FE5" w14:textId="77777777" w:rsidR="008A3B62" w:rsidRDefault="008A3B62" w:rsidP="008A3B62">
      <w:pPr>
        <w:spacing w:line="560" w:lineRule="exact"/>
        <w:ind w:firstLineChars="200" w:firstLine="640"/>
        <w:rPr>
          <w:rFonts w:asciiTheme="minorEastAsia" w:hAnsiTheme="minorEastAsia" w:cstheme="minorEastAsia"/>
          <w:sz w:val="32"/>
          <w:szCs w:val="32"/>
        </w:rPr>
      </w:pPr>
      <w:r>
        <w:rPr>
          <w:rFonts w:asciiTheme="minorEastAsia" w:hAnsiTheme="minorEastAsia" w:cstheme="minorEastAsia"/>
          <w:sz w:val="32"/>
          <w:szCs w:val="32"/>
        </w:rPr>
        <w:t>CCI指标的计算方法是</w:t>
      </w:r>
      <w:r>
        <w:rPr>
          <w:rFonts w:asciiTheme="minorEastAsia" w:hAnsiTheme="minorEastAsia" w:cstheme="minorEastAsia" w:hint="eastAsia"/>
          <w:sz w:val="32"/>
          <w:szCs w:val="32"/>
        </w:rPr>
        <w:t>:</w:t>
      </w:r>
    </w:p>
    <w:p w14:paraId="7F411058" w14:textId="77777777" w:rsidR="008A3B62" w:rsidRDefault="008A3B62" w:rsidP="008A3B62">
      <w:pPr>
        <w:spacing w:line="560" w:lineRule="exact"/>
        <w:ind w:firstLineChars="200" w:firstLine="640"/>
        <w:rPr>
          <w:rFonts w:asciiTheme="minorEastAsia" w:hAnsiTheme="minorEastAsia" w:cstheme="minorEastAsia"/>
          <w:sz w:val="32"/>
          <w:szCs w:val="32"/>
        </w:rPr>
      </w:pPr>
      <w:r>
        <w:rPr>
          <w:rFonts w:asciiTheme="minorEastAsia" w:hAnsiTheme="minorEastAsia" w:cstheme="minorEastAsia"/>
          <w:sz w:val="32"/>
          <w:szCs w:val="32"/>
        </w:rPr>
        <w:t>当前TYP(typical price) = (Low + High + Close) / 3</w:t>
      </w:r>
    </w:p>
    <w:p w14:paraId="7E1CFF6B" w14:textId="77777777" w:rsidR="008A3B62" w:rsidRDefault="008A3B62" w:rsidP="008A3B62">
      <w:pPr>
        <w:spacing w:line="560" w:lineRule="exact"/>
        <w:ind w:firstLineChars="200" w:firstLine="640"/>
        <w:rPr>
          <w:rFonts w:asciiTheme="minorEastAsia" w:hAnsiTheme="minorEastAsia" w:cstheme="minorEastAsia"/>
          <w:sz w:val="32"/>
          <w:szCs w:val="32"/>
        </w:rPr>
      </w:pPr>
      <w:r>
        <w:rPr>
          <w:rFonts w:asciiTheme="minorEastAsia" w:hAnsiTheme="minorEastAsia" w:cstheme="minorEastAsia"/>
          <w:sz w:val="32"/>
          <w:szCs w:val="32"/>
        </w:rPr>
        <w:t>计算N周期的TYP的移动平均值MA</w:t>
      </w:r>
    </w:p>
    <w:p w14:paraId="397FAB06" w14:textId="77777777" w:rsidR="008A3B62" w:rsidRDefault="008A3B62" w:rsidP="008A3B62">
      <w:pPr>
        <w:spacing w:line="560" w:lineRule="exact"/>
        <w:ind w:firstLineChars="200" w:firstLine="640"/>
        <w:rPr>
          <w:rFonts w:asciiTheme="minorEastAsia" w:hAnsiTheme="minorEastAsia" w:cstheme="minorEastAsia"/>
          <w:sz w:val="32"/>
          <w:szCs w:val="32"/>
        </w:rPr>
      </w:pPr>
      <w:r>
        <w:rPr>
          <w:rFonts w:asciiTheme="minorEastAsia" w:hAnsiTheme="minorEastAsia" w:cstheme="minorEastAsia"/>
          <w:sz w:val="32"/>
          <w:szCs w:val="32"/>
        </w:rPr>
        <w:t>计算N周期的TYP的标准差MD</w:t>
      </w:r>
    </w:p>
    <w:p w14:paraId="71D0E875" w14:textId="77777777" w:rsidR="008A3B62" w:rsidRDefault="008A3B62" w:rsidP="008A3B62">
      <w:pPr>
        <w:spacing w:line="560" w:lineRule="exact"/>
        <w:ind w:firstLineChars="200" w:firstLine="640"/>
        <w:rPr>
          <w:rFonts w:asciiTheme="minorEastAsia" w:hAnsiTheme="minorEastAsia" w:cstheme="minorEastAsia"/>
          <w:sz w:val="32"/>
          <w:szCs w:val="32"/>
        </w:rPr>
      </w:pPr>
      <w:r>
        <w:rPr>
          <w:rFonts w:asciiTheme="minorEastAsia" w:hAnsiTheme="minorEastAsia" w:cstheme="minorEastAsia"/>
          <w:sz w:val="32"/>
          <w:szCs w:val="32"/>
        </w:rPr>
        <w:t>CCI = (TYP - MA) / (MD * 0.015)</w:t>
      </w:r>
    </w:p>
    <w:p w14:paraId="7672C431" w14:textId="329FE678" w:rsidR="008A3B62" w:rsidRPr="008A3B62" w:rsidRDefault="008A3B62" w:rsidP="008A3B62">
      <w:pPr>
        <w:spacing w:line="560" w:lineRule="exact"/>
        <w:ind w:firstLineChars="200" w:firstLine="640"/>
        <w:outlineLvl w:val="1"/>
        <w:rPr>
          <w:rFonts w:ascii="黑体" w:eastAsia="黑体" w:hAnsi="黑体" w:cs="楷体"/>
          <w:sz w:val="32"/>
          <w:szCs w:val="32"/>
        </w:rPr>
      </w:pPr>
      <w:r>
        <w:rPr>
          <w:rFonts w:ascii="黑体" w:eastAsia="黑体" w:hAnsi="黑体" w:cs="楷体" w:hint="eastAsia"/>
          <w:sz w:val="32"/>
          <w:szCs w:val="32"/>
        </w:rPr>
        <w:t>三、</w:t>
      </w:r>
      <w:r w:rsidRPr="008A3B62">
        <w:rPr>
          <w:rFonts w:ascii="黑体" w:eastAsia="黑体" w:hAnsi="黑体" w:cs="楷体" w:hint="eastAsia"/>
          <w:sz w:val="32"/>
          <w:szCs w:val="32"/>
        </w:rPr>
        <w:t>使用</w:t>
      </w:r>
    </w:p>
    <w:p w14:paraId="2BDD7706" w14:textId="77777777" w:rsidR="008A3B62" w:rsidRDefault="008A3B62" w:rsidP="008A3B62">
      <w:pPr>
        <w:spacing w:line="560" w:lineRule="exact"/>
        <w:ind w:firstLineChars="200" w:firstLine="640"/>
        <w:rPr>
          <w:rFonts w:asciiTheme="minorEastAsia" w:hAnsiTheme="minorEastAsia" w:cstheme="minorEastAsia"/>
          <w:sz w:val="32"/>
          <w:szCs w:val="32"/>
        </w:rPr>
      </w:pPr>
      <w:r>
        <w:rPr>
          <w:rFonts w:asciiTheme="minorEastAsia" w:hAnsiTheme="minorEastAsia" w:cstheme="minorEastAsia" w:hint="eastAsia"/>
          <w:sz w:val="32"/>
          <w:szCs w:val="32"/>
        </w:rPr>
        <w:t>CCI指标是一种超买超卖指标。“超买”，就是已经超出买方的能力，买进股票的人数超过了一定比例，那么，这时候应该反向卖出股票。“超卖”则代表卖方卖股票卖过了头，卖股票的人数超过一定比例时，反而应该买进股票。</w:t>
      </w:r>
    </w:p>
    <w:p w14:paraId="6A2BF852" w14:textId="77777777" w:rsidR="008A3B62" w:rsidRDefault="008A3B62" w:rsidP="008A3B62">
      <w:pPr>
        <w:spacing w:line="560" w:lineRule="exact"/>
        <w:ind w:firstLineChars="200" w:firstLine="640"/>
        <w:rPr>
          <w:rFonts w:asciiTheme="minorEastAsia" w:hAnsiTheme="minorEastAsia" w:cstheme="minorEastAsia"/>
          <w:sz w:val="32"/>
          <w:szCs w:val="32"/>
        </w:rPr>
      </w:pPr>
      <w:r>
        <w:rPr>
          <w:rFonts w:asciiTheme="minorEastAsia" w:hAnsiTheme="minorEastAsia" w:cstheme="minorEastAsia" w:hint="eastAsia"/>
          <w:sz w:val="32"/>
          <w:szCs w:val="32"/>
        </w:rPr>
        <w:t>在常用的技术分析指标当中，CCI是最为奇特的一种。CCI指标波动于正无限大和负无限小之间，但又不一定以0中轴线。CCI指标和所有其他没有运行区域限制的指标不一</w:t>
      </w:r>
      <w:r>
        <w:rPr>
          <w:rFonts w:asciiTheme="minorEastAsia" w:hAnsiTheme="minorEastAsia" w:cstheme="minorEastAsia" w:hint="eastAsia"/>
          <w:sz w:val="32"/>
          <w:szCs w:val="32"/>
        </w:rPr>
        <w:lastRenderedPageBreak/>
        <w:t>样的是，</w:t>
      </w:r>
      <w:r w:rsidRPr="009F14D0">
        <w:rPr>
          <w:rFonts w:asciiTheme="minorEastAsia" w:hAnsiTheme="minorEastAsia" w:cstheme="minorEastAsia" w:hint="eastAsia"/>
          <w:sz w:val="32"/>
          <w:szCs w:val="32"/>
          <w:highlight w:val="yellow"/>
          <w:u w:val="single"/>
        </w:rPr>
        <w:t>它有一个相对的技术参照区域： 100和—100</w:t>
      </w:r>
      <w:r>
        <w:rPr>
          <w:rFonts w:asciiTheme="minorEastAsia" w:hAnsiTheme="minorEastAsia" w:cstheme="minorEastAsia" w:hint="eastAsia"/>
          <w:sz w:val="32"/>
          <w:szCs w:val="32"/>
        </w:rPr>
        <w:t>。按照指标分析，CCI指标的运行区间也分为三类： 100以上为超买区，— 100以下为超卖区， 100到—100之间为震荡区，但是该指标在这三个区域当中的运行所包含的技术含义与其他技术指标的超买与超卖的定义是不同的。</w:t>
      </w:r>
    </w:p>
    <w:p w14:paraId="33E24525" w14:textId="0BFB4545" w:rsidR="008A3B62" w:rsidRDefault="008A3B62" w:rsidP="008A3B62">
      <w:pPr>
        <w:spacing w:line="560" w:lineRule="exact"/>
        <w:ind w:firstLineChars="200" w:firstLine="643"/>
        <w:outlineLvl w:val="2"/>
        <w:rPr>
          <w:rFonts w:asciiTheme="minorEastAsia" w:hAnsiTheme="minorEastAsia" w:cstheme="minorEastAsia"/>
          <w:sz w:val="32"/>
          <w:szCs w:val="32"/>
        </w:rPr>
      </w:pPr>
      <w:r>
        <w:rPr>
          <w:rFonts w:asciiTheme="minorEastAsia" w:hAnsiTheme="minorEastAsia" w:cstheme="minorEastAsia" w:hint="eastAsia"/>
          <w:b/>
          <w:bCs/>
          <w:sz w:val="32"/>
          <w:szCs w:val="32"/>
        </w:rPr>
        <w:t>（一）</w:t>
      </w:r>
      <w:r>
        <w:rPr>
          <w:rFonts w:asciiTheme="minorEastAsia" w:hAnsiTheme="minorEastAsia" w:cstheme="minorEastAsia" w:hint="eastAsia"/>
          <w:b/>
          <w:bCs/>
          <w:sz w:val="32"/>
          <w:szCs w:val="32"/>
        </w:rPr>
        <w:t>CCI指标区间的判断</w:t>
      </w:r>
    </w:p>
    <w:p w14:paraId="0A8370BD" w14:textId="0703D739" w:rsidR="008A3B62" w:rsidRDefault="008A3B62" w:rsidP="008A3B62">
      <w:pPr>
        <w:spacing w:line="560" w:lineRule="exact"/>
        <w:ind w:firstLineChars="200" w:firstLine="640"/>
        <w:rPr>
          <w:rFonts w:asciiTheme="minorEastAsia" w:hAnsiTheme="minorEastAsia" w:cstheme="minorEastAsia"/>
          <w:sz w:val="32"/>
          <w:szCs w:val="32"/>
        </w:rPr>
      </w:pPr>
      <w:r>
        <w:rPr>
          <w:rFonts w:asciiTheme="minorEastAsia" w:hAnsiTheme="minorEastAsia" w:cstheme="minorEastAsia" w:hint="eastAsia"/>
          <w:sz w:val="32"/>
          <w:szCs w:val="32"/>
        </w:rPr>
        <w:t>1</w:t>
      </w:r>
      <w:r>
        <w:rPr>
          <w:rFonts w:asciiTheme="minorEastAsia" w:hAnsiTheme="minorEastAsia" w:cstheme="minorEastAsia"/>
          <w:sz w:val="32"/>
          <w:szCs w:val="32"/>
        </w:rPr>
        <w:t xml:space="preserve">. </w:t>
      </w:r>
      <w:r>
        <w:rPr>
          <w:rFonts w:asciiTheme="minorEastAsia" w:hAnsiTheme="minorEastAsia" w:cstheme="minorEastAsia" w:hint="eastAsia"/>
          <w:sz w:val="32"/>
          <w:szCs w:val="32"/>
        </w:rPr>
        <w:t>当CCI指标从下向上突破 100线而进入非常态区间时，表明股价脱离常态而进入异常波动阶段，中短线应及时买入，</w:t>
      </w:r>
      <w:r>
        <w:rPr>
          <w:rFonts w:asciiTheme="minorEastAsia" w:hAnsiTheme="minorEastAsia" w:cstheme="minorEastAsia" w:hint="eastAsia"/>
          <w:sz w:val="32"/>
          <w:szCs w:val="32"/>
          <w:u w:val="single"/>
        </w:rPr>
        <w:t>如果有较大的成交量配合，买入信号则更为可靠</w:t>
      </w:r>
      <w:r>
        <w:rPr>
          <w:rFonts w:asciiTheme="minorEastAsia" w:hAnsiTheme="minorEastAsia" w:cstheme="minorEastAsia" w:hint="eastAsia"/>
          <w:sz w:val="32"/>
          <w:szCs w:val="32"/>
        </w:rPr>
        <w:t>；</w:t>
      </w:r>
    </w:p>
    <w:p w14:paraId="6F88C365" w14:textId="6AD996CE" w:rsidR="008A3B62" w:rsidRDefault="008A3B62" w:rsidP="008A3B62">
      <w:pPr>
        <w:spacing w:line="560" w:lineRule="exact"/>
        <w:ind w:firstLineChars="200" w:firstLine="640"/>
        <w:rPr>
          <w:rFonts w:asciiTheme="minorEastAsia" w:hAnsiTheme="minorEastAsia" w:cstheme="minorEastAsia"/>
          <w:sz w:val="32"/>
          <w:szCs w:val="32"/>
        </w:rPr>
      </w:pPr>
      <w:r>
        <w:rPr>
          <w:rFonts w:asciiTheme="minorEastAsia" w:hAnsiTheme="minorEastAsia" w:cstheme="minorEastAsia" w:hint="eastAsia"/>
          <w:sz w:val="32"/>
          <w:szCs w:val="32"/>
        </w:rPr>
        <w:t>2</w:t>
      </w:r>
      <w:r>
        <w:rPr>
          <w:rFonts w:asciiTheme="minorEastAsia" w:hAnsiTheme="minorEastAsia" w:cstheme="minorEastAsia"/>
          <w:sz w:val="32"/>
          <w:szCs w:val="32"/>
        </w:rPr>
        <w:t xml:space="preserve">. </w:t>
      </w:r>
      <w:r>
        <w:rPr>
          <w:rFonts w:asciiTheme="minorEastAsia" w:hAnsiTheme="minorEastAsia" w:cstheme="minorEastAsia" w:hint="eastAsia"/>
          <w:sz w:val="32"/>
          <w:szCs w:val="32"/>
        </w:rPr>
        <w:t>当CCI指标从上向下突破-100线而进入另一个非常态区间时，表明股价的盘整阶段已经结束，将进入一个比较长的寻底过程，投资者应以持币观望为主；</w:t>
      </w:r>
    </w:p>
    <w:p w14:paraId="6CBCF77E" w14:textId="6E9EEC56" w:rsidR="008A3B62" w:rsidRDefault="008A3B62" w:rsidP="008A3B62">
      <w:pPr>
        <w:spacing w:line="560" w:lineRule="exact"/>
        <w:ind w:firstLineChars="200" w:firstLine="640"/>
        <w:rPr>
          <w:rFonts w:asciiTheme="minorEastAsia" w:hAnsiTheme="minorEastAsia" w:cstheme="minorEastAsia"/>
          <w:sz w:val="32"/>
          <w:szCs w:val="32"/>
        </w:rPr>
      </w:pPr>
      <w:r>
        <w:rPr>
          <w:rFonts w:asciiTheme="minorEastAsia" w:hAnsiTheme="minorEastAsia" w:cstheme="minorEastAsia" w:hint="eastAsia"/>
          <w:sz w:val="32"/>
          <w:szCs w:val="32"/>
        </w:rPr>
        <w:t>3</w:t>
      </w:r>
      <w:r>
        <w:rPr>
          <w:rFonts w:asciiTheme="minorEastAsia" w:hAnsiTheme="minorEastAsia" w:cstheme="minorEastAsia"/>
          <w:sz w:val="32"/>
          <w:szCs w:val="32"/>
        </w:rPr>
        <w:t xml:space="preserve">. </w:t>
      </w:r>
      <w:r>
        <w:rPr>
          <w:rFonts w:asciiTheme="minorEastAsia" w:hAnsiTheme="minorEastAsia" w:cstheme="minorEastAsia" w:hint="eastAsia"/>
          <w:sz w:val="32"/>
          <w:szCs w:val="32"/>
        </w:rPr>
        <w:t>当CCI指标从上向下突破 100线而重新进入常态区间时，表明股价的上涨阶段可能结束，将进入一个比较长时间的盘整阶段，投资者应及时逢高卖出股票；</w:t>
      </w:r>
    </w:p>
    <w:p w14:paraId="286F9C14" w14:textId="356460FA" w:rsidR="008A3B62" w:rsidRDefault="008A3B62" w:rsidP="008A3B62">
      <w:pPr>
        <w:spacing w:line="560" w:lineRule="exact"/>
        <w:ind w:firstLineChars="200" w:firstLine="640"/>
        <w:rPr>
          <w:rFonts w:asciiTheme="minorEastAsia" w:hAnsiTheme="minorEastAsia" w:cstheme="minorEastAsia"/>
          <w:sz w:val="32"/>
          <w:szCs w:val="32"/>
        </w:rPr>
      </w:pPr>
      <w:r>
        <w:rPr>
          <w:rFonts w:asciiTheme="minorEastAsia" w:hAnsiTheme="minorEastAsia" w:cstheme="minorEastAsia" w:hint="eastAsia"/>
          <w:sz w:val="32"/>
          <w:szCs w:val="32"/>
        </w:rPr>
        <w:t>4</w:t>
      </w:r>
      <w:r>
        <w:rPr>
          <w:rFonts w:asciiTheme="minorEastAsia" w:hAnsiTheme="minorEastAsia" w:cstheme="minorEastAsia"/>
          <w:sz w:val="32"/>
          <w:szCs w:val="32"/>
        </w:rPr>
        <w:t xml:space="preserve">. </w:t>
      </w:r>
      <w:r>
        <w:rPr>
          <w:rFonts w:asciiTheme="minorEastAsia" w:hAnsiTheme="minorEastAsia" w:cstheme="minorEastAsia" w:hint="eastAsia"/>
          <w:sz w:val="32"/>
          <w:szCs w:val="32"/>
        </w:rPr>
        <w:t>当CCI指标从下向上突破-100线而重新进入常态区间时，表明股价的探底阶段可能结束，有将进入一个盘整阶段，投资者可以逢低少量买入股票。</w:t>
      </w:r>
    </w:p>
    <w:p w14:paraId="5CC3761E" w14:textId="58A4FBBF" w:rsidR="008A3B62" w:rsidRDefault="008A3B62" w:rsidP="008A3B62">
      <w:pPr>
        <w:spacing w:line="560" w:lineRule="exact"/>
        <w:ind w:firstLineChars="200" w:firstLine="640"/>
        <w:rPr>
          <w:rFonts w:asciiTheme="minorEastAsia" w:hAnsiTheme="minorEastAsia" w:cstheme="minorEastAsia"/>
          <w:sz w:val="32"/>
          <w:szCs w:val="32"/>
          <w:u w:val="single"/>
        </w:rPr>
      </w:pPr>
      <w:r>
        <w:rPr>
          <w:rFonts w:asciiTheme="minorEastAsia" w:hAnsiTheme="minorEastAsia" w:cstheme="minorEastAsia" w:hint="eastAsia"/>
          <w:sz w:val="32"/>
          <w:szCs w:val="32"/>
          <w:u w:val="single"/>
        </w:rPr>
        <w:t>5</w:t>
      </w:r>
      <w:r>
        <w:rPr>
          <w:rFonts w:asciiTheme="minorEastAsia" w:hAnsiTheme="minorEastAsia" w:cstheme="minorEastAsia"/>
          <w:sz w:val="32"/>
          <w:szCs w:val="32"/>
          <w:u w:val="single"/>
        </w:rPr>
        <w:t xml:space="preserve">. </w:t>
      </w:r>
      <w:r>
        <w:rPr>
          <w:rFonts w:asciiTheme="minorEastAsia" w:hAnsiTheme="minorEastAsia" w:cstheme="minorEastAsia" w:hint="eastAsia"/>
          <w:sz w:val="32"/>
          <w:szCs w:val="32"/>
          <w:u w:val="single"/>
        </w:rPr>
        <w:t>当CCI指标在 100线~-100线的常态区间里运行时，投资者则可以用KD、RSI等其他超买超卖指标进行研判。</w:t>
      </w:r>
    </w:p>
    <w:p w14:paraId="51974858" w14:textId="3A829816" w:rsidR="008A3B62" w:rsidRDefault="008A3B62" w:rsidP="008A3B62">
      <w:pPr>
        <w:spacing w:line="560" w:lineRule="exact"/>
        <w:ind w:firstLineChars="200" w:firstLine="643"/>
        <w:outlineLvl w:val="2"/>
        <w:rPr>
          <w:rFonts w:asciiTheme="minorEastAsia" w:hAnsiTheme="minorEastAsia" w:cstheme="minorEastAsia"/>
          <w:b/>
          <w:bCs/>
          <w:sz w:val="32"/>
          <w:szCs w:val="32"/>
        </w:rPr>
      </w:pPr>
      <w:r>
        <w:rPr>
          <w:rFonts w:asciiTheme="minorEastAsia" w:hAnsiTheme="minorEastAsia" w:cstheme="minorEastAsia" w:hint="eastAsia"/>
          <w:b/>
          <w:bCs/>
          <w:sz w:val="32"/>
          <w:szCs w:val="32"/>
        </w:rPr>
        <w:t>（二）</w:t>
      </w:r>
      <w:r>
        <w:rPr>
          <w:rFonts w:asciiTheme="minorEastAsia" w:hAnsiTheme="minorEastAsia" w:cstheme="minorEastAsia" w:hint="eastAsia"/>
          <w:b/>
          <w:bCs/>
          <w:sz w:val="32"/>
          <w:szCs w:val="32"/>
        </w:rPr>
        <w:t>CCI指标的背离</w:t>
      </w:r>
    </w:p>
    <w:p w14:paraId="33BF43F1" w14:textId="77777777" w:rsidR="008A3B62" w:rsidRDefault="008A3B62" w:rsidP="008A3B62">
      <w:pPr>
        <w:spacing w:line="560" w:lineRule="exact"/>
        <w:ind w:firstLineChars="200" w:firstLine="640"/>
        <w:rPr>
          <w:rFonts w:asciiTheme="minorEastAsia" w:hAnsiTheme="minorEastAsia" w:cstheme="minorEastAsia"/>
          <w:sz w:val="32"/>
          <w:szCs w:val="32"/>
        </w:rPr>
      </w:pPr>
      <w:r>
        <w:rPr>
          <w:rFonts w:asciiTheme="minorEastAsia" w:hAnsiTheme="minorEastAsia" w:cstheme="minorEastAsia" w:hint="eastAsia"/>
          <w:sz w:val="32"/>
          <w:szCs w:val="32"/>
        </w:rPr>
        <w:t>CCI指标的背离是指CCI指标的曲线的走势和股价K线图的走势方向正好相反。CCI指标的背离分为顶背离和底背离两种。当CCI曲线处于远离100线的高位，但它在创出近</w:t>
      </w:r>
      <w:r>
        <w:rPr>
          <w:rFonts w:asciiTheme="minorEastAsia" w:hAnsiTheme="minorEastAsia" w:cstheme="minorEastAsia" w:hint="eastAsia"/>
          <w:sz w:val="32"/>
          <w:szCs w:val="32"/>
        </w:rPr>
        <w:lastRenderedPageBreak/>
        <w:t>期新高后，CCI曲线反而形成一峰比一峰低的走势，而此时K线图上的股价却再次创出新高，形成一峰比一峰高的走势，这就是顶背离。</w:t>
      </w:r>
    </w:p>
    <w:p w14:paraId="4B9E4493" w14:textId="77777777" w:rsidR="008A3B62" w:rsidRDefault="008A3B62" w:rsidP="008A3B62">
      <w:pPr>
        <w:spacing w:line="560" w:lineRule="exact"/>
        <w:ind w:firstLineChars="200" w:firstLine="640"/>
        <w:rPr>
          <w:rFonts w:asciiTheme="minorEastAsia" w:hAnsiTheme="minorEastAsia" w:cstheme="minorEastAsia"/>
          <w:sz w:val="32"/>
          <w:szCs w:val="32"/>
        </w:rPr>
      </w:pPr>
      <w:r>
        <w:rPr>
          <w:rFonts w:asciiTheme="minorEastAsia" w:hAnsiTheme="minorEastAsia" w:cstheme="minorEastAsia" w:hint="eastAsia"/>
          <w:sz w:val="32"/>
          <w:szCs w:val="32"/>
        </w:rPr>
        <w:t>在实际走势中，CCI指标出现顶背离是指股价在进入拉升过程中，先创出一个高点，CCI指标也相应在﹢100线以上创出新的高点，之后，股价出现一定幅度的回落调整，CCI曲线也随着股价回落走势出现调整。但是，如果股价再度向上并超越前期高点创出新的高点时，而CCI曲线随着股价上扬也反身向上但没有冲过前期高点就开始回落，这就形成CCI指标的顶背离。</w:t>
      </w:r>
      <w:r>
        <w:rPr>
          <w:rFonts w:asciiTheme="minorEastAsia" w:hAnsiTheme="minorEastAsia" w:cstheme="minorEastAsia" w:hint="eastAsia"/>
          <w:sz w:val="32"/>
          <w:szCs w:val="32"/>
          <w:u w:val="single"/>
        </w:rPr>
        <w:t>CCI指标出现顶背离后，股价见顶回落的可能性较大，是比较强烈的卖出信号。</w:t>
      </w:r>
    </w:p>
    <w:p w14:paraId="11B994F2" w14:textId="378162DC" w:rsidR="008A3B62" w:rsidRDefault="008A3B62" w:rsidP="008A3B62">
      <w:pPr>
        <w:spacing w:line="560" w:lineRule="exact"/>
        <w:ind w:firstLineChars="200" w:firstLine="643"/>
        <w:outlineLvl w:val="2"/>
        <w:rPr>
          <w:rFonts w:asciiTheme="minorEastAsia" w:hAnsiTheme="minorEastAsia" w:cstheme="minorEastAsia"/>
          <w:sz w:val="32"/>
          <w:szCs w:val="32"/>
        </w:rPr>
      </w:pPr>
      <w:r>
        <w:rPr>
          <w:rFonts w:asciiTheme="minorEastAsia" w:hAnsiTheme="minorEastAsia" w:cstheme="minorEastAsia" w:hint="eastAsia"/>
          <w:b/>
          <w:bCs/>
          <w:sz w:val="32"/>
          <w:szCs w:val="32"/>
        </w:rPr>
        <w:t>（三）</w:t>
      </w:r>
      <w:r>
        <w:rPr>
          <w:rFonts w:asciiTheme="minorEastAsia" w:hAnsiTheme="minorEastAsia" w:cstheme="minorEastAsia" w:hint="eastAsia"/>
          <w:b/>
          <w:bCs/>
          <w:sz w:val="32"/>
          <w:szCs w:val="32"/>
        </w:rPr>
        <w:t>CCI曲线的走势</w:t>
      </w:r>
    </w:p>
    <w:p w14:paraId="1793BDB7" w14:textId="06372B81" w:rsidR="008A3B62" w:rsidRDefault="008A3B62" w:rsidP="008A3B62">
      <w:pPr>
        <w:spacing w:line="560" w:lineRule="exact"/>
        <w:ind w:firstLineChars="200" w:firstLine="640"/>
        <w:rPr>
          <w:rFonts w:asciiTheme="minorEastAsia" w:hAnsiTheme="minorEastAsia" w:cstheme="minorEastAsia"/>
          <w:sz w:val="32"/>
          <w:szCs w:val="32"/>
        </w:rPr>
      </w:pPr>
      <w:r>
        <w:rPr>
          <w:rFonts w:asciiTheme="minorEastAsia" w:hAnsiTheme="minorEastAsia" w:cstheme="minorEastAsia" w:hint="eastAsia"/>
          <w:sz w:val="32"/>
          <w:szCs w:val="32"/>
        </w:rPr>
        <w:t>1</w:t>
      </w:r>
      <w:r>
        <w:rPr>
          <w:rFonts w:asciiTheme="minorEastAsia" w:hAnsiTheme="minorEastAsia" w:cstheme="minorEastAsia"/>
          <w:sz w:val="32"/>
          <w:szCs w:val="32"/>
        </w:rPr>
        <w:t xml:space="preserve">. </w:t>
      </w:r>
      <w:r>
        <w:rPr>
          <w:rFonts w:asciiTheme="minorEastAsia" w:hAnsiTheme="minorEastAsia" w:cstheme="minorEastAsia" w:hint="eastAsia"/>
          <w:sz w:val="32"/>
          <w:szCs w:val="32"/>
        </w:rPr>
        <w:t>当CCI曲线向上突破100线而进入非常态区间时，表明股价开始进入强势状态，投资者应及时买入股票；</w:t>
      </w:r>
    </w:p>
    <w:p w14:paraId="19E1D8FE" w14:textId="52A89E53" w:rsidR="008A3B62" w:rsidRDefault="008A3B62" w:rsidP="008A3B62">
      <w:pPr>
        <w:spacing w:line="560" w:lineRule="exact"/>
        <w:ind w:firstLineChars="200" w:firstLine="640"/>
        <w:rPr>
          <w:rFonts w:asciiTheme="minorEastAsia" w:hAnsiTheme="minorEastAsia" w:cstheme="minorEastAsia"/>
          <w:sz w:val="32"/>
          <w:szCs w:val="32"/>
        </w:rPr>
      </w:pPr>
      <w:r>
        <w:rPr>
          <w:rFonts w:asciiTheme="minorEastAsia" w:hAnsiTheme="minorEastAsia" w:cstheme="minorEastAsia" w:hint="eastAsia"/>
          <w:sz w:val="32"/>
          <w:szCs w:val="32"/>
        </w:rPr>
        <w:t>2</w:t>
      </w:r>
      <w:r>
        <w:rPr>
          <w:rFonts w:asciiTheme="minorEastAsia" w:hAnsiTheme="minorEastAsia" w:cstheme="minorEastAsia"/>
          <w:sz w:val="32"/>
          <w:szCs w:val="32"/>
        </w:rPr>
        <w:t xml:space="preserve">. </w:t>
      </w:r>
      <w:r>
        <w:rPr>
          <w:rFonts w:asciiTheme="minorEastAsia" w:hAnsiTheme="minorEastAsia" w:cstheme="minorEastAsia" w:hint="eastAsia"/>
          <w:sz w:val="32"/>
          <w:szCs w:val="32"/>
        </w:rPr>
        <w:t>当CCI曲线向上突破100线而进入非常态区间后，只要CCI曲线一直朝上运行，就表明股价强势依旧，投资者可以一路持股待涨；</w:t>
      </w:r>
    </w:p>
    <w:p w14:paraId="084E5501" w14:textId="46F0ED9C" w:rsidR="008A3B62" w:rsidRDefault="008A3B62" w:rsidP="008A3B62">
      <w:pPr>
        <w:spacing w:line="560" w:lineRule="exact"/>
        <w:ind w:firstLineChars="200" w:firstLine="640"/>
        <w:rPr>
          <w:rFonts w:asciiTheme="minorEastAsia" w:hAnsiTheme="minorEastAsia" w:cstheme="minorEastAsia"/>
          <w:sz w:val="32"/>
          <w:szCs w:val="32"/>
        </w:rPr>
      </w:pPr>
      <w:r>
        <w:rPr>
          <w:rFonts w:asciiTheme="minorEastAsia" w:hAnsiTheme="minorEastAsia" w:cstheme="minorEastAsia" w:hint="eastAsia"/>
          <w:sz w:val="32"/>
          <w:szCs w:val="32"/>
        </w:rPr>
        <w:t>3</w:t>
      </w:r>
      <w:r>
        <w:rPr>
          <w:rFonts w:asciiTheme="minorEastAsia" w:hAnsiTheme="minorEastAsia" w:cstheme="minorEastAsia"/>
          <w:sz w:val="32"/>
          <w:szCs w:val="32"/>
        </w:rPr>
        <w:t xml:space="preserve">. </w:t>
      </w:r>
      <w:r>
        <w:rPr>
          <w:rFonts w:asciiTheme="minorEastAsia" w:hAnsiTheme="minorEastAsia" w:cstheme="minorEastAsia" w:hint="eastAsia"/>
          <w:sz w:val="32"/>
          <w:szCs w:val="32"/>
        </w:rPr>
        <w:t>当CCI曲线在 100线以上的非常态区间，在远离 100线的地方开始掉头向下时，表明股价的强势状态将难以维持，是股价比较强的转势信号。如果前期的短期涨幅过高时更可确认。此时投资者应及时逢高卖出股票；</w:t>
      </w:r>
    </w:p>
    <w:p w14:paraId="401FBAD7" w14:textId="155C35FE" w:rsidR="008A3B62" w:rsidRDefault="008A3B62" w:rsidP="008A3B62">
      <w:pPr>
        <w:spacing w:line="560" w:lineRule="exact"/>
        <w:ind w:firstLineChars="200" w:firstLine="640"/>
        <w:rPr>
          <w:rFonts w:asciiTheme="minorEastAsia" w:hAnsiTheme="minorEastAsia" w:cstheme="minorEastAsia"/>
          <w:sz w:val="32"/>
          <w:szCs w:val="32"/>
        </w:rPr>
      </w:pPr>
      <w:r>
        <w:rPr>
          <w:rFonts w:asciiTheme="minorEastAsia" w:hAnsiTheme="minorEastAsia" w:cstheme="minorEastAsia" w:hint="eastAsia"/>
          <w:sz w:val="32"/>
          <w:szCs w:val="32"/>
        </w:rPr>
        <w:t>4</w:t>
      </w:r>
      <w:r>
        <w:rPr>
          <w:rFonts w:asciiTheme="minorEastAsia" w:hAnsiTheme="minorEastAsia" w:cstheme="minorEastAsia"/>
          <w:sz w:val="32"/>
          <w:szCs w:val="32"/>
        </w:rPr>
        <w:t xml:space="preserve">. </w:t>
      </w:r>
      <w:r>
        <w:rPr>
          <w:rFonts w:asciiTheme="minorEastAsia" w:hAnsiTheme="minorEastAsia" w:cstheme="minorEastAsia" w:hint="eastAsia"/>
          <w:sz w:val="32"/>
          <w:szCs w:val="32"/>
        </w:rPr>
        <w:t>当CCI曲线在 100线以上的非常态区间，在远离 100线的地方处于一路下跌时，表明股价的强势状态已经结束，投资者还应以逢高卖出股票为主；</w:t>
      </w:r>
    </w:p>
    <w:p w14:paraId="1C4F9BC8" w14:textId="1F0984C6" w:rsidR="008A3B62" w:rsidRDefault="008A3B62" w:rsidP="008A3B62">
      <w:pPr>
        <w:spacing w:line="560" w:lineRule="exact"/>
        <w:ind w:firstLineChars="200" w:firstLine="640"/>
        <w:rPr>
          <w:rFonts w:asciiTheme="minorEastAsia" w:hAnsiTheme="minorEastAsia" w:cstheme="minorEastAsia"/>
          <w:sz w:val="32"/>
          <w:szCs w:val="32"/>
        </w:rPr>
      </w:pPr>
      <w:r>
        <w:rPr>
          <w:rFonts w:asciiTheme="minorEastAsia" w:hAnsiTheme="minorEastAsia" w:cstheme="minorEastAsia" w:hint="eastAsia"/>
          <w:sz w:val="32"/>
          <w:szCs w:val="32"/>
        </w:rPr>
        <w:lastRenderedPageBreak/>
        <w:t>5</w:t>
      </w:r>
      <w:r>
        <w:rPr>
          <w:rFonts w:asciiTheme="minorEastAsia" w:hAnsiTheme="minorEastAsia" w:cstheme="minorEastAsia"/>
          <w:sz w:val="32"/>
          <w:szCs w:val="32"/>
        </w:rPr>
        <w:t xml:space="preserve">. </w:t>
      </w:r>
      <w:r>
        <w:rPr>
          <w:rFonts w:asciiTheme="minorEastAsia" w:hAnsiTheme="minorEastAsia" w:cstheme="minorEastAsia" w:hint="eastAsia"/>
          <w:sz w:val="32"/>
          <w:szCs w:val="32"/>
        </w:rPr>
        <w:t>当CCI曲线向下突破-100线而进入另一个非常态区间时，表明股价的弱势状态已经形成，投资者应以持币观望为主；</w:t>
      </w:r>
    </w:p>
    <w:p w14:paraId="3517FAAF" w14:textId="15A58B9F" w:rsidR="008A3B62" w:rsidRDefault="008A3B62" w:rsidP="008A3B62">
      <w:pPr>
        <w:spacing w:line="560" w:lineRule="exact"/>
        <w:ind w:firstLineChars="200" w:firstLine="640"/>
        <w:rPr>
          <w:rFonts w:asciiTheme="minorEastAsia" w:hAnsiTheme="minorEastAsia" w:cstheme="minorEastAsia"/>
          <w:sz w:val="32"/>
          <w:szCs w:val="32"/>
        </w:rPr>
      </w:pPr>
      <w:r>
        <w:rPr>
          <w:rFonts w:asciiTheme="minorEastAsia" w:hAnsiTheme="minorEastAsia" w:cstheme="minorEastAsia" w:hint="eastAsia"/>
          <w:sz w:val="32"/>
          <w:szCs w:val="32"/>
        </w:rPr>
        <w:t>6</w:t>
      </w:r>
      <w:r>
        <w:rPr>
          <w:rFonts w:asciiTheme="minorEastAsia" w:hAnsiTheme="minorEastAsia" w:cstheme="minorEastAsia"/>
          <w:sz w:val="32"/>
          <w:szCs w:val="32"/>
        </w:rPr>
        <w:t xml:space="preserve">. </w:t>
      </w:r>
      <w:r>
        <w:rPr>
          <w:rFonts w:asciiTheme="minorEastAsia" w:hAnsiTheme="minorEastAsia" w:cstheme="minorEastAsia" w:hint="eastAsia"/>
          <w:sz w:val="32"/>
          <w:szCs w:val="32"/>
        </w:rPr>
        <w:t>当CCI曲线向下突破-100线而进入另一个非常态区间后，只要CCI曲线一路朝下运行，就表明股价弱势依旧，投资者可以一路观望；</w:t>
      </w:r>
    </w:p>
    <w:p w14:paraId="73F8D9CC" w14:textId="7CE8BC51" w:rsidR="008A3B62" w:rsidRDefault="008A3B62" w:rsidP="008A3B62">
      <w:pPr>
        <w:spacing w:line="560" w:lineRule="exact"/>
        <w:ind w:firstLineChars="200" w:firstLine="640"/>
        <w:rPr>
          <w:rFonts w:asciiTheme="minorEastAsia" w:hAnsiTheme="minorEastAsia" w:cstheme="minorEastAsia"/>
          <w:sz w:val="32"/>
          <w:szCs w:val="32"/>
        </w:rPr>
      </w:pPr>
      <w:r>
        <w:rPr>
          <w:rFonts w:asciiTheme="minorEastAsia" w:hAnsiTheme="minorEastAsia" w:cstheme="minorEastAsia" w:hint="eastAsia"/>
          <w:sz w:val="32"/>
          <w:szCs w:val="32"/>
        </w:rPr>
        <w:t>7</w:t>
      </w:r>
      <w:r>
        <w:rPr>
          <w:rFonts w:asciiTheme="minorEastAsia" w:hAnsiTheme="minorEastAsia" w:cstheme="minorEastAsia"/>
          <w:sz w:val="32"/>
          <w:szCs w:val="32"/>
        </w:rPr>
        <w:t xml:space="preserve">. </w:t>
      </w:r>
      <w:r>
        <w:rPr>
          <w:rFonts w:asciiTheme="minorEastAsia" w:hAnsiTheme="minorEastAsia" w:cstheme="minorEastAsia" w:hint="eastAsia"/>
          <w:sz w:val="32"/>
          <w:szCs w:val="32"/>
        </w:rPr>
        <w:t>当CCI曲线向下突破-100线而进入另一个非常态区间，如果CCI曲线在超卖区运行了相当长的一段时间后开始掉头向上，表明股价的阶段性底部初步探明，投资者可以适量建仓。CCI曲线在超卖区运行的时间越长，越可以确认阶段性的底部。</w:t>
      </w:r>
    </w:p>
    <w:p w14:paraId="2CC8593A" w14:textId="23B051DD" w:rsidR="008A3B62" w:rsidRDefault="008A3B62" w:rsidP="008A3B62">
      <w:pPr>
        <w:spacing w:line="560" w:lineRule="exact"/>
        <w:ind w:firstLineChars="200" w:firstLine="643"/>
        <w:outlineLvl w:val="2"/>
        <w:rPr>
          <w:rFonts w:asciiTheme="minorEastAsia" w:hAnsiTheme="minorEastAsia" w:cstheme="minorEastAsia"/>
          <w:b/>
          <w:bCs/>
          <w:sz w:val="32"/>
          <w:szCs w:val="32"/>
        </w:rPr>
      </w:pPr>
      <w:r>
        <w:rPr>
          <w:rFonts w:asciiTheme="minorEastAsia" w:hAnsiTheme="minorEastAsia" w:cstheme="minorEastAsia" w:hint="eastAsia"/>
          <w:b/>
          <w:bCs/>
          <w:sz w:val="32"/>
          <w:szCs w:val="32"/>
        </w:rPr>
        <w:t>（四）</w:t>
      </w:r>
      <w:r>
        <w:rPr>
          <w:rFonts w:asciiTheme="minorEastAsia" w:hAnsiTheme="minorEastAsia" w:cstheme="minorEastAsia" w:hint="eastAsia"/>
          <w:b/>
          <w:bCs/>
          <w:sz w:val="32"/>
          <w:szCs w:val="32"/>
        </w:rPr>
        <w:t>CCI曲线的形状</w:t>
      </w:r>
    </w:p>
    <w:p w14:paraId="1D13D220" w14:textId="7EFD1693" w:rsidR="008A3B62" w:rsidRDefault="008A3B62" w:rsidP="008A3B62">
      <w:pPr>
        <w:spacing w:line="560" w:lineRule="exact"/>
        <w:ind w:firstLineChars="200" w:firstLine="640"/>
        <w:rPr>
          <w:rFonts w:asciiTheme="minorEastAsia" w:hAnsiTheme="minorEastAsia" w:cstheme="minorEastAsia"/>
          <w:sz w:val="32"/>
          <w:szCs w:val="32"/>
        </w:rPr>
      </w:pPr>
      <w:r>
        <w:rPr>
          <w:rFonts w:asciiTheme="minorEastAsia" w:hAnsiTheme="minorEastAsia" w:cstheme="minorEastAsia" w:hint="eastAsia"/>
          <w:sz w:val="32"/>
          <w:szCs w:val="32"/>
        </w:rPr>
        <w:t>1</w:t>
      </w:r>
      <w:r>
        <w:rPr>
          <w:rFonts w:asciiTheme="minorEastAsia" w:hAnsiTheme="minorEastAsia" w:cstheme="minorEastAsia"/>
          <w:sz w:val="32"/>
          <w:szCs w:val="32"/>
        </w:rPr>
        <w:t xml:space="preserve">. </w:t>
      </w:r>
      <w:r>
        <w:rPr>
          <w:rFonts w:asciiTheme="minorEastAsia" w:hAnsiTheme="minorEastAsia" w:cstheme="minorEastAsia" w:hint="eastAsia"/>
          <w:sz w:val="32"/>
          <w:szCs w:val="32"/>
        </w:rPr>
        <w:t>当CCI曲线在远离100线上方的高位时，</w:t>
      </w:r>
      <w:r>
        <w:rPr>
          <w:rFonts w:asciiTheme="minorEastAsia" w:hAnsiTheme="minorEastAsia" w:cstheme="minorEastAsia" w:hint="eastAsia"/>
          <w:sz w:val="32"/>
          <w:szCs w:val="32"/>
          <w:u w:val="single"/>
        </w:rPr>
        <w:t>如果CCI曲线的走势形成M头或三重顶等顶部反转形态</w:t>
      </w:r>
      <w:r>
        <w:rPr>
          <w:rFonts w:asciiTheme="minorEastAsia" w:hAnsiTheme="minorEastAsia" w:cstheme="minorEastAsia" w:hint="eastAsia"/>
          <w:sz w:val="32"/>
          <w:szCs w:val="32"/>
        </w:rPr>
        <w:t>，可能预示着股价由强势转为弱势，股价可能大跌，应及时卖出股票。</w:t>
      </w:r>
      <w:r>
        <w:rPr>
          <w:rFonts w:asciiTheme="minorEastAsia" w:hAnsiTheme="minorEastAsia" w:cstheme="minorEastAsia" w:hint="eastAsia"/>
          <w:sz w:val="32"/>
          <w:szCs w:val="32"/>
          <w:u w:val="single"/>
        </w:rPr>
        <w:t>如果股价的曲线也出现同样形态则更可以确认，其跌幅可以用M头或三重顶等形态理论来研判</w:t>
      </w:r>
      <w:r>
        <w:rPr>
          <w:rFonts w:asciiTheme="minorEastAsia" w:hAnsiTheme="minorEastAsia" w:cstheme="minorEastAsia" w:hint="eastAsia"/>
          <w:sz w:val="32"/>
          <w:szCs w:val="32"/>
        </w:rPr>
        <w:t>；</w:t>
      </w:r>
    </w:p>
    <w:p w14:paraId="1C70D71D" w14:textId="78A19F62" w:rsidR="008A3B62" w:rsidRDefault="008A3B62" w:rsidP="008A3B62">
      <w:pPr>
        <w:spacing w:line="560" w:lineRule="exact"/>
        <w:ind w:firstLineChars="200" w:firstLine="640"/>
        <w:rPr>
          <w:rFonts w:asciiTheme="minorEastAsia" w:hAnsiTheme="minorEastAsia" w:cstheme="minorEastAsia"/>
          <w:sz w:val="32"/>
          <w:szCs w:val="32"/>
        </w:rPr>
      </w:pPr>
      <w:r>
        <w:rPr>
          <w:rFonts w:asciiTheme="minorEastAsia" w:hAnsiTheme="minorEastAsia" w:cstheme="minorEastAsia" w:hint="eastAsia"/>
          <w:sz w:val="32"/>
          <w:szCs w:val="32"/>
        </w:rPr>
        <w:t>2</w:t>
      </w:r>
      <w:r>
        <w:rPr>
          <w:rFonts w:asciiTheme="minorEastAsia" w:hAnsiTheme="minorEastAsia" w:cstheme="minorEastAsia"/>
          <w:sz w:val="32"/>
          <w:szCs w:val="32"/>
        </w:rPr>
        <w:t xml:space="preserve">. </w:t>
      </w:r>
      <w:r>
        <w:rPr>
          <w:rFonts w:asciiTheme="minorEastAsia" w:hAnsiTheme="minorEastAsia" w:cstheme="minorEastAsia" w:hint="eastAsia"/>
          <w:sz w:val="32"/>
          <w:szCs w:val="32"/>
        </w:rPr>
        <w:t>当CCI曲线在远离-100线下方的低位时，</w:t>
      </w:r>
      <w:r>
        <w:rPr>
          <w:rFonts w:asciiTheme="minorEastAsia" w:hAnsiTheme="minorEastAsia" w:cstheme="minorEastAsia" w:hint="eastAsia"/>
          <w:sz w:val="32"/>
          <w:szCs w:val="32"/>
          <w:u w:val="single"/>
        </w:rPr>
        <w:t>如果CCI曲线的走势出现W底或三重底等底部反转形态，可能预示着股价由弱势转为强势，股价即将反弹向上</w:t>
      </w:r>
      <w:r>
        <w:rPr>
          <w:rFonts w:asciiTheme="minorEastAsia" w:hAnsiTheme="minorEastAsia" w:cstheme="minorEastAsia" w:hint="eastAsia"/>
          <w:sz w:val="32"/>
          <w:szCs w:val="32"/>
        </w:rPr>
        <w:t>，可以逢低少量吸纳股票。</w:t>
      </w:r>
      <w:r>
        <w:rPr>
          <w:rFonts w:asciiTheme="minorEastAsia" w:hAnsiTheme="minorEastAsia" w:cstheme="minorEastAsia" w:hint="eastAsia"/>
          <w:sz w:val="32"/>
          <w:szCs w:val="32"/>
          <w:u w:val="single"/>
        </w:rPr>
        <w:t>如果股价曲线也出现同样形态更可以确认，其涨幅可以用W底或三重底形态理论来研判</w:t>
      </w:r>
      <w:r>
        <w:rPr>
          <w:rFonts w:asciiTheme="minorEastAsia" w:hAnsiTheme="minorEastAsia" w:cstheme="minorEastAsia" w:hint="eastAsia"/>
          <w:sz w:val="32"/>
          <w:szCs w:val="32"/>
        </w:rPr>
        <w:t>；</w:t>
      </w:r>
    </w:p>
    <w:p w14:paraId="2FF943EF" w14:textId="72A9F137" w:rsidR="008A3B62" w:rsidRDefault="008A3B62" w:rsidP="008A3B62">
      <w:pPr>
        <w:spacing w:line="560" w:lineRule="exact"/>
        <w:ind w:firstLineChars="200" w:firstLine="640"/>
        <w:rPr>
          <w:rFonts w:asciiTheme="minorEastAsia" w:hAnsiTheme="minorEastAsia" w:cstheme="minorEastAsia"/>
          <w:sz w:val="32"/>
          <w:szCs w:val="32"/>
        </w:rPr>
      </w:pPr>
      <w:r>
        <w:rPr>
          <w:rFonts w:asciiTheme="minorEastAsia" w:hAnsiTheme="minorEastAsia" w:cstheme="minorEastAsia" w:hint="eastAsia"/>
          <w:sz w:val="32"/>
          <w:szCs w:val="32"/>
        </w:rPr>
        <w:t>3</w:t>
      </w:r>
      <w:r>
        <w:rPr>
          <w:rFonts w:asciiTheme="minorEastAsia" w:hAnsiTheme="minorEastAsia" w:cstheme="minorEastAsia"/>
          <w:sz w:val="32"/>
          <w:szCs w:val="32"/>
        </w:rPr>
        <w:t xml:space="preserve">. </w:t>
      </w:r>
      <w:r>
        <w:rPr>
          <w:rFonts w:asciiTheme="minorEastAsia" w:hAnsiTheme="minorEastAsia" w:cstheme="minorEastAsia" w:hint="eastAsia"/>
          <w:sz w:val="32"/>
          <w:szCs w:val="32"/>
          <w:u w:val="single"/>
        </w:rPr>
        <w:t>CCI曲线的形态中M头和三重顶的准确性要大于W底和三重底</w:t>
      </w:r>
      <w:r>
        <w:rPr>
          <w:rFonts w:asciiTheme="minorEastAsia" w:hAnsiTheme="minorEastAsia" w:cstheme="minorEastAsia" w:hint="eastAsia"/>
          <w:sz w:val="32"/>
          <w:szCs w:val="32"/>
        </w:rPr>
        <w:t>。</w:t>
      </w:r>
    </w:p>
    <w:p w14:paraId="08AFFDD8" w14:textId="3BFEF68F" w:rsidR="008A3B62" w:rsidRDefault="008A3B62" w:rsidP="008A3B62">
      <w:pPr>
        <w:spacing w:line="560" w:lineRule="exact"/>
        <w:ind w:firstLineChars="200" w:firstLine="643"/>
        <w:outlineLvl w:val="2"/>
        <w:rPr>
          <w:rFonts w:asciiTheme="minorEastAsia" w:hAnsiTheme="minorEastAsia" w:cstheme="minorEastAsia"/>
          <w:b/>
          <w:bCs/>
          <w:sz w:val="32"/>
          <w:szCs w:val="32"/>
        </w:rPr>
      </w:pPr>
      <w:r>
        <w:rPr>
          <w:rFonts w:asciiTheme="minorEastAsia" w:hAnsiTheme="minorEastAsia" w:cstheme="minorEastAsia" w:hint="eastAsia"/>
          <w:b/>
          <w:bCs/>
          <w:sz w:val="32"/>
          <w:szCs w:val="32"/>
        </w:rPr>
        <w:lastRenderedPageBreak/>
        <w:t>（五）</w:t>
      </w:r>
      <w:r>
        <w:rPr>
          <w:rFonts w:asciiTheme="minorEastAsia" w:hAnsiTheme="minorEastAsia" w:cstheme="minorEastAsia" w:hint="eastAsia"/>
          <w:b/>
          <w:bCs/>
          <w:sz w:val="32"/>
          <w:szCs w:val="32"/>
        </w:rPr>
        <w:t>总结</w:t>
      </w:r>
    </w:p>
    <w:p w14:paraId="62AA0F06" w14:textId="77777777" w:rsidR="008A3B62" w:rsidRDefault="008A3B62" w:rsidP="008A3B62">
      <w:pPr>
        <w:spacing w:line="560" w:lineRule="exact"/>
        <w:ind w:firstLineChars="200" w:firstLine="640"/>
        <w:rPr>
          <w:rFonts w:asciiTheme="minorEastAsia" w:hAnsiTheme="minorEastAsia" w:cstheme="minorEastAsia"/>
          <w:sz w:val="32"/>
          <w:szCs w:val="32"/>
        </w:rPr>
      </w:pPr>
      <w:r>
        <w:rPr>
          <w:rFonts w:asciiTheme="minorEastAsia" w:hAnsiTheme="minorEastAsia" w:cstheme="minorEastAsia" w:hint="eastAsia"/>
          <w:sz w:val="32"/>
          <w:szCs w:val="32"/>
        </w:rPr>
        <w:t>总之，CCI主要是在超买和超卖区域发生作用。但是在不同的市场走势中，这两种作用又是不同的。</w:t>
      </w:r>
      <w:r>
        <w:rPr>
          <w:rFonts w:asciiTheme="minorEastAsia" w:hAnsiTheme="minorEastAsia" w:cstheme="minorEastAsia" w:hint="eastAsia"/>
          <w:sz w:val="32"/>
          <w:szCs w:val="32"/>
          <w:u w:val="single"/>
        </w:rPr>
        <w:t>在牛市里，CCI最有价值的应用是判断短线回调的底部拐点，在熊市里，CCI最有价值的应用是判断短线反弹的顶点</w:t>
      </w:r>
      <w:r>
        <w:rPr>
          <w:rFonts w:asciiTheme="minorEastAsia" w:hAnsiTheme="minorEastAsia" w:cstheme="minorEastAsia" w:hint="eastAsia"/>
          <w:sz w:val="32"/>
          <w:szCs w:val="32"/>
        </w:rPr>
        <w:t>。这并不是熊市和牛市所固有的特点，而与CCI本身特点有关。</w:t>
      </w:r>
    </w:p>
    <w:p w14:paraId="310F44EE" w14:textId="77777777" w:rsidR="008A3B62" w:rsidRDefault="008A3B62" w:rsidP="008A3B62">
      <w:pPr>
        <w:spacing w:line="560" w:lineRule="exact"/>
        <w:ind w:firstLineChars="200" w:firstLine="640"/>
        <w:rPr>
          <w:rFonts w:asciiTheme="minorEastAsia" w:hAnsiTheme="minorEastAsia" w:cstheme="minorEastAsia"/>
          <w:sz w:val="32"/>
          <w:szCs w:val="32"/>
        </w:rPr>
      </w:pPr>
      <w:r>
        <w:rPr>
          <w:rFonts w:asciiTheme="minorEastAsia" w:hAnsiTheme="minorEastAsia" w:cstheme="minorEastAsia" w:hint="eastAsia"/>
          <w:sz w:val="32"/>
          <w:szCs w:val="32"/>
        </w:rPr>
        <w:t>举例如何在30分钟周期里使用CCI指标</w:t>
      </w:r>
    </w:p>
    <w:p w14:paraId="31D41995" w14:textId="77777777" w:rsidR="008A3B62" w:rsidRDefault="008A3B62" w:rsidP="008A3B62">
      <w:pPr>
        <w:spacing w:line="560" w:lineRule="exact"/>
        <w:ind w:firstLineChars="200" w:firstLine="640"/>
        <w:rPr>
          <w:rFonts w:asciiTheme="minorEastAsia" w:hAnsiTheme="minorEastAsia" w:cstheme="minorEastAsia"/>
          <w:sz w:val="32"/>
          <w:szCs w:val="32"/>
        </w:rPr>
      </w:pPr>
      <w:r>
        <w:rPr>
          <w:rFonts w:asciiTheme="minorEastAsia" w:hAnsiTheme="minorEastAsia" w:cstheme="minorEastAsia" w:hint="eastAsia"/>
          <w:sz w:val="32"/>
          <w:szCs w:val="32"/>
        </w:rPr>
        <w:t>尾盘30分钟週期的CCI指标由远离-100的最负的最远端向上运动，当快接近-100时候，即为投资者进入时期，股价在30分钟週期里由负的最远端向正常区运动的概率极大，正常区为-100—- 100，每天有8个30分钟週期，当投资者进入后，次日股价在剩下的8个30分钟週期向上跑的概率极大，甚至跑道 100以上。投资者可选择在这8个30分钟週期中退出。</w:t>
      </w:r>
    </w:p>
    <w:p w14:paraId="30E628AB" w14:textId="77777777" w:rsidR="008A3B62" w:rsidRDefault="008A3B62" w:rsidP="008A3B62">
      <w:pPr>
        <w:spacing w:line="560" w:lineRule="exact"/>
        <w:ind w:firstLineChars="200" w:firstLine="640"/>
        <w:rPr>
          <w:rFonts w:asciiTheme="minorEastAsia" w:hAnsiTheme="minorEastAsia" w:cstheme="minorEastAsia"/>
          <w:sz w:val="32"/>
          <w:szCs w:val="32"/>
          <w:u w:val="single"/>
        </w:rPr>
      </w:pPr>
      <w:r>
        <w:rPr>
          <w:rFonts w:asciiTheme="minorEastAsia" w:hAnsiTheme="minorEastAsia" w:cstheme="minorEastAsia" w:hint="eastAsia"/>
          <w:sz w:val="32"/>
          <w:szCs w:val="32"/>
          <w:u w:val="single"/>
        </w:rPr>
        <w:t>在大盘大跳水的情况下最好勿用该法，其正确性会大大降低。在大盘小跌、盘整、小升、熊市、牛市等情况下，该法皆可使用，而且该法在大盘小跌、盘整、小升、熊市、牛市等情况下的准确率会达到95%以上。</w:t>
      </w:r>
    </w:p>
    <w:p w14:paraId="08B3032A" w14:textId="77777777" w:rsidR="008A3B62" w:rsidRDefault="008A3B62" w:rsidP="008A3B62">
      <w:pPr>
        <w:spacing w:line="560" w:lineRule="exact"/>
        <w:ind w:firstLineChars="200" w:firstLine="640"/>
        <w:rPr>
          <w:rFonts w:asciiTheme="minorEastAsia" w:hAnsiTheme="minorEastAsia" w:cstheme="minorEastAsia"/>
          <w:sz w:val="32"/>
          <w:szCs w:val="32"/>
        </w:rPr>
      </w:pPr>
      <w:r>
        <w:rPr>
          <w:rFonts w:asciiTheme="minorEastAsia" w:hAnsiTheme="minorEastAsia" w:cstheme="minorEastAsia" w:hint="eastAsia"/>
          <w:sz w:val="32"/>
          <w:szCs w:val="32"/>
        </w:rPr>
        <w:t>除了大盘跳水以外，其他情况下尾盘买进，次日卖出，成功率极高，第二天几乎稳赚。在接近尾盘时，用30分钟週期预警，符合条件的股票并不多，每天接近尾盘时均会出现预警，有时候几只，有时候十几只。</w:t>
      </w:r>
    </w:p>
    <w:p w14:paraId="568D09F8" w14:textId="77777777" w:rsidR="008A3B62" w:rsidRDefault="008A3B62" w:rsidP="008A3B62">
      <w:pPr>
        <w:spacing w:line="560" w:lineRule="exact"/>
        <w:ind w:firstLineChars="200" w:firstLine="640"/>
        <w:rPr>
          <w:rFonts w:asciiTheme="minorEastAsia" w:hAnsiTheme="minorEastAsia" w:cstheme="minorEastAsia"/>
          <w:sz w:val="32"/>
          <w:szCs w:val="32"/>
        </w:rPr>
      </w:pPr>
      <w:r>
        <w:rPr>
          <w:rFonts w:asciiTheme="minorEastAsia" w:hAnsiTheme="minorEastAsia" w:cstheme="minorEastAsia" w:hint="eastAsia"/>
          <w:sz w:val="32"/>
          <w:szCs w:val="32"/>
        </w:rPr>
        <w:t>当然选出来的股票要结合当时的热点，另外最好结合其他指标使用，效果更加好！</w:t>
      </w:r>
    </w:p>
    <w:p w14:paraId="5017CD06" w14:textId="11870AD3" w:rsidR="00B17FBF" w:rsidRPr="008A3B62" w:rsidRDefault="00B17FBF" w:rsidP="008A3B62"/>
    <w:sectPr w:rsidR="00B17FBF" w:rsidRPr="008A3B62">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4FA289" w14:textId="77777777" w:rsidR="00731B4B" w:rsidRDefault="00731B4B">
      <w:r>
        <w:separator/>
      </w:r>
    </w:p>
  </w:endnote>
  <w:endnote w:type="continuationSeparator" w:id="0">
    <w:p w14:paraId="334E8460" w14:textId="77777777" w:rsidR="00731B4B" w:rsidRDefault="00731B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A09E6A" w14:textId="77777777" w:rsidR="00B17FBF" w:rsidRDefault="00731B4B">
    <w:pPr>
      <w:pStyle w:val="a3"/>
    </w:pPr>
    <w:r>
      <w:rPr>
        <w:noProof/>
      </w:rPr>
      <mc:AlternateContent>
        <mc:Choice Requires="wps">
          <w:drawing>
            <wp:anchor distT="0" distB="0" distL="114300" distR="114300" simplePos="0" relativeHeight="251658240" behindDoc="0" locked="0" layoutInCell="1" allowOverlap="1" wp14:anchorId="6F07CA01" wp14:editId="18DD8C8A">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738DC29" w14:textId="77777777" w:rsidR="00B17FBF" w:rsidRDefault="00731B4B">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F07CA01"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14:paraId="3738DC29" w14:textId="77777777" w:rsidR="00B17FBF" w:rsidRDefault="00731B4B">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72E851" w14:textId="77777777" w:rsidR="00731B4B" w:rsidRDefault="00731B4B">
      <w:r>
        <w:separator/>
      </w:r>
    </w:p>
  </w:footnote>
  <w:footnote w:type="continuationSeparator" w:id="0">
    <w:p w14:paraId="68B176EC" w14:textId="77777777" w:rsidR="00731B4B" w:rsidRDefault="00731B4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7FBF"/>
    <w:rsid w:val="001B2235"/>
    <w:rsid w:val="00731B4B"/>
    <w:rsid w:val="00873730"/>
    <w:rsid w:val="008A3B62"/>
    <w:rsid w:val="009F14D0"/>
    <w:rsid w:val="00B17FBF"/>
    <w:rsid w:val="00E828F9"/>
    <w:rsid w:val="016F5620"/>
    <w:rsid w:val="01D0641C"/>
    <w:rsid w:val="01D4376C"/>
    <w:rsid w:val="020341FE"/>
    <w:rsid w:val="028E07C3"/>
    <w:rsid w:val="02BB2B05"/>
    <w:rsid w:val="042B2636"/>
    <w:rsid w:val="055400E0"/>
    <w:rsid w:val="05FF6CF5"/>
    <w:rsid w:val="07131027"/>
    <w:rsid w:val="07837594"/>
    <w:rsid w:val="07D95A1A"/>
    <w:rsid w:val="07F265D5"/>
    <w:rsid w:val="0819378E"/>
    <w:rsid w:val="090029B8"/>
    <w:rsid w:val="09E67D98"/>
    <w:rsid w:val="09EB3AF5"/>
    <w:rsid w:val="0AD20742"/>
    <w:rsid w:val="0C234065"/>
    <w:rsid w:val="0DCF17FA"/>
    <w:rsid w:val="0E93084F"/>
    <w:rsid w:val="107804C1"/>
    <w:rsid w:val="11071AA3"/>
    <w:rsid w:val="117629FB"/>
    <w:rsid w:val="119E6865"/>
    <w:rsid w:val="126E7299"/>
    <w:rsid w:val="136A6E55"/>
    <w:rsid w:val="18851C75"/>
    <w:rsid w:val="18950A7C"/>
    <w:rsid w:val="18F73F2E"/>
    <w:rsid w:val="197F5021"/>
    <w:rsid w:val="1AA91920"/>
    <w:rsid w:val="1BF875CA"/>
    <w:rsid w:val="1CD6404D"/>
    <w:rsid w:val="1D4B68D1"/>
    <w:rsid w:val="1F446B45"/>
    <w:rsid w:val="21951C51"/>
    <w:rsid w:val="21AF7884"/>
    <w:rsid w:val="24041AED"/>
    <w:rsid w:val="241F04A1"/>
    <w:rsid w:val="244F5B24"/>
    <w:rsid w:val="2454712E"/>
    <w:rsid w:val="24994FB9"/>
    <w:rsid w:val="253D4C73"/>
    <w:rsid w:val="26E21E04"/>
    <w:rsid w:val="274D0B6D"/>
    <w:rsid w:val="27F64CE6"/>
    <w:rsid w:val="28367580"/>
    <w:rsid w:val="28D1769C"/>
    <w:rsid w:val="2B2709F3"/>
    <w:rsid w:val="2C18368C"/>
    <w:rsid w:val="2C6B2C8F"/>
    <w:rsid w:val="2D2D0E3A"/>
    <w:rsid w:val="2D6E3B45"/>
    <w:rsid w:val="2DDA7A75"/>
    <w:rsid w:val="2E252E5D"/>
    <w:rsid w:val="2EA71814"/>
    <w:rsid w:val="2F5D5156"/>
    <w:rsid w:val="2F8F7634"/>
    <w:rsid w:val="309F198C"/>
    <w:rsid w:val="31483D65"/>
    <w:rsid w:val="315942AD"/>
    <w:rsid w:val="318B18B2"/>
    <w:rsid w:val="334340D6"/>
    <w:rsid w:val="34373783"/>
    <w:rsid w:val="3506593C"/>
    <w:rsid w:val="354B732C"/>
    <w:rsid w:val="35525C8D"/>
    <w:rsid w:val="35BA104B"/>
    <w:rsid w:val="3600383A"/>
    <w:rsid w:val="36D9425E"/>
    <w:rsid w:val="376B7C66"/>
    <w:rsid w:val="37966B87"/>
    <w:rsid w:val="386E3F0F"/>
    <w:rsid w:val="39731763"/>
    <w:rsid w:val="3A3F3577"/>
    <w:rsid w:val="3AC663C2"/>
    <w:rsid w:val="3AFF20E2"/>
    <w:rsid w:val="3B376893"/>
    <w:rsid w:val="3B3F178D"/>
    <w:rsid w:val="3B88742F"/>
    <w:rsid w:val="3BD2418A"/>
    <w:rsid w:val="3BD42A9B"/>
    <w:rsid w:val="3C61200A"/>
    <w:rsid w:val="3CDA5B8A"/>
    <w:rsid w:val="3E0E5E99"/>
    <w:rsid w:val="3ECF1593"/>
    <w:rsid w:val="4096761B"/>
    <w:rsid w:val="40F277FA"/>
    <w:rsid w:val="412363DC"/>
    <w:rsid w:val="41262F71"/>
    <w:rsid w:val="4155681D"/>
    <w:rsid w:val="420430F7"/>
    <w:rsid w:val="423D6369"/>
    <w:rsid w:val="428201A9"/>
    <w:rsid w:val="42F63A71"/>
    <w:rsid w:val="43CF73F8"/>
    <w:rsid w:val="43F200A7"/>
    <w:rsid w:val="444A6D62"/>
    <w:rsid w:val="45F2298D"/>
    <w:rsid w:val="45F501F7"/>
    <w:rsid w:val="461377E3"/>
    <w:rsid w:val="47086B50"/>
    <w:rsid w:val="47090FF2"/>
    <w:rsid w:val="482C777C"/>
    <w:rsid w:val="486E014F"/>
    <w:rsid w:val="49707ACB"/>
    <w:rsid w:val="4A1E000B"/>
    <w:rsid w:val="4ABB4358"/>
    <w:rsid w:val="4B2B4C18"/>
    <w:rsid w:val="4B831AFA"/>
    <w:rsid w:val="4D075BA9"/>
    <w:rsid w:val="4DDC6C79"/>
    <w:rsid w:val="4DFF036C"/>
    <w:rsid w:val="4E094AF2"/>
    <w:rsid w:val="4E395485"/>
    <w:rsid w:val="4F01706E"/>
    <w:rsid w:val="4FE8008B"/>
    <w:rsid w:val="50194CA8"/>
    <w:rsid w:val="5071465E"/>
    <w:rsid w:val="52F6522C"/>
    <w:rsid w:val="54036FB3"/>
    <w:rsid w:val="543A4A46"/>
    <w:rsid w:val="55D275F5"/>
    <w:rsid w:val="56BC7C92"/>
    <w:rsid w:val="57BF2A13"/>
    <w:rsid w:val="57C705B4"/>
    <w:rsid w:val="58773281"/>
    <w:rsid w:val="58AB0899"/>
    <w:rsid w:val="597E5F94"/>
    <w:rsid w:val="59D23FE7"/>
    <w:rsid w:val="5AA83CB8"/>
    <w:rsid w:val="5AE04450"/>
    <w:rsid w:val="5BEC11EE"/>
    <w:rsid w:val="5D51186D"/>
    <w:rsid w:val="5DA21BAB"/>
    <w:rsid w:val="5E3E5ED5"/>
    <w:rsid w:val="5E5F2735"/>
    <w:rsid w:val="5ED762BB"/>
    <w:rsid w:val="5F827024"/>
    <w:rsid w:val="5FA00F22"/>
    <w:rsid w:val="600841E1"/>
    <w:rsid w:val="61BE5EB4"/>
    <w:rsid w:val="61E16E04"/>
    <w:rsid w:val="62233812"/>
    <w:rsid w:val="633571D9"/>
    <w:rsid w:val="637C29F6"/>
    <w:rsid w:val="64322C46"/>
    <w:rsid w:val="64851C23"/>
    <w:rsid w:val="661660BD"/>
    <w:rsid w:val="68BA0A2B"/>
    <w:rsid w:val="6905191F"/>
    <w:rsid w:val="695D17AF"/>
    <w:rsid w:val="6A227E0B"/>
    <w:rsid w:val="6A49117F"/>
    <w:rsid w:val="6A692E06"/>
    <w:rsid w:val="6ADD0D90"/>
    <w:rsid w:val="6B9A3F1E"/>
    <w:rsid w:val="6BBD7A4A"/>
    <w:rsid w:val="6BF545A7"/>
    <w:rsid w:val="6C2023C6"/>
    <w:rsid w:val="6C490466"/>
    <w:rsid w:val="6D7A4342"/>
    <w:rsid w:val="6D85299B"/>
    <w:rsid w:val="70506E84"/>
    <w:rsid w:val="70B81FEA"/>
    <w:rsid w:val="71B50A26"/>
    <w:rsid w:val="71F90CBC"/>
    <w:rsid w:val="72E02E5A"/>
    <w:rsid w:val="730C45AB"/>
    <w:rsid w:val="738C5B1F"/>
    <w:rsid w:val="75773E59"/>
    <w:rsid w:val="7593133F"/>
    <w:rsid w:val="765E04A0"/>
    <w:rsid w:val="766F163C"/>
    <w:rsid w:val="777D0569"/>
    <w:rsid w:val="77E86A1E"/>
    <w:rsid w:val="79E312EC"/>
    <w:rsid w:val="79EB7B0C"/>
    <w:rsid w:val="7A377F36"/>
    <w:rsid w:val="7A7B631A"/>
    <w:rsid w:val="7A914D99"/>
    <w:rsid w:val="7B8C4B3E"/>
    <w:rsid w:val="7C890D6B"/>
    <w:rsid w:val="7EF802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8DA10DD"/>
  <w15:docId w15:val="{AD1DC25B-4328-A449-B4C0-6BE93660A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5">
    <w:name w:val="Normal (Web)"/>
    <w:basedOn w:val="a"/>
    <w:qFormat/>
    <w:pPr>
      <w:spacing w:beforeAutospacing="1" w:afterAutospacing="1"/>
      <w:jc w:val="left"/>
    </w:pPr>
    <w:rPr>
      <w:rFonts w:cs="Times New Roman"/>
      <w:kern w:val="0"/>
      <w:sz w:val="24"/>
    </w:rPr>
  </w:style>
  <w:style w:type="character" w:styleId="a6">
    <w:name w:val="Strong"/>
    <w:basedOn w:val="a0"/>
    <w:qFormat/>
    <w:rPr>
      <w:b/>
    </w:rPr>
  </w:style>
  <w:style w:type="character" w:styleId="a7">
    <w:name w:val="Hyperlink"/>
    <w:basedOn w:val="a0"/>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Pages>
  <Words>418</Words>
  <Characters>2387</Characters>
  <Application>Microsoft Office Word</Application>
  <DocSecurity>0</DocSecurity>
  <Lines>19</Lines>
  <Paragraphs>5</Paragraphs>
  <ScaleCrop>false</ScaleCrop>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huangning</dc:creator>
  <cp:lastModifiedBy>黄 柠</cp:lastModifiedBy>
  <cp:revision>4</cp:revision>
  <dcterms:created xsi:type="dcterms:W3CDTF">2020-06-28T07:40:00Z</dcterms:created>
  <dcterms:modified xsi:type="dcterms:W3CDTF">2021-01-18T09:01:00Z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