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价差交易模块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价差交易与CTA有比较大的不同：</w:t>
      </w:r>
    </w:p>
    <w:p>
      <w:pPr>
        <w:rPr>
          <w:rFonts w:hint="eastAsia"/>
        </w:rPr>
      </w:pPr>
    </w:p>
    <w:p>
      <w:pPr>
        <w:rPr/>
      </w:pPr>
      <w:r>
        <w:rPr>
          <w:rFonts w:hint="eastAsia"/>
        </w:rPr>
        <w:t>CTA主要是针对单标的品种，盈利主要靠肥尾部分，特点是低胜率高盈亏比。</w:t>
      </w:r>
    </w:p>
    <w:p>
      <w:pPr>
        <w:rPr/>
      </w:pPr>
    </w:p>
    <w:p>
      <w:pPr>
        <w:rPr>
          <w:rFonts w:hint="eastAsia" w:ascii="楷体" w:hAnsi="楷体" w:eastAsia="楷体" w:cs="楷体"/>
          <w:b/>
          <w:bCs/>
          <w:highlight w:val="red"/>
          <w:u w:val="single"/>
        </w:rPr>
      </w:pPr>
      <w:r>
        <w:rPr>
          <w:rFonts w:hint="eastAsia"/>
        </w:rPr>
        <w:t>价差交易针对的是关联程度高的品种，实现方式可以是</w:t>
      </w:r>
      <w:r>
        <w:rPr>
          <w:rFonts w:hint="eastAsia"/>
          <w:highlight w:val="red"/>
          <w:u w:val="single"/>
        </w:rPr>
        <w:t>期现套利、跨期套利、跨市套利、跨品种套利</w:t>
      </w:r>
      <w:r>
        <w:rPr>
          <w:rFonts w:hint="eastAsia"/>
        </w:rPr>
        <w:t>。从另一个角度来看，</w:t>
      </w:r>
      <w:r>
        <w:rPr>
          <w:rFonts w:hint="eastAsia"/>
          <w:u w:val="single"/>
        </w:rPr>
        <w:t>价差交易的标的物是价差，价差的统计特征是均值回归，即围绕某个数值上下波动。</w:t>
      </w:r>
      <w:r>
        <w:rPr>
          <w:rFonts w:hint="eastAsia" w:ascii="楷体" w:hAnsi="楷体" w:eastAsia="楷体" w:cs="楷体"/>
          <w:b/>
          <w:bCs/>
          <w:highlight w:val="red"/>
          <w:u w:val="single"/>
        </w:rPr>
        <w:t>因此出现黑天鹅的概率要远远少于单标的品种，其盈利主要靠尖峰部分。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/>
      </w:pPr>
      <w:r>
        <w:rPr>
          <w:rFonts w:hint="eastAsia"/>
        </w:rPr>
        <w:t>根据品种相关程度不同，价差交易所适用的领域也有所不同：</w:t>
      </w:r>
    </w:p>
    <w:p>
      <w:pPr>
        <w:rPr>
          <w:rFonts w:hint="eastAsia"/>
        </w:rPr>
      </w:pP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  <w:u w:val="single"/>
        </w:rPr>
        <w:t>相关程度100%</w:t>
      </w:r>
      <w:r>
        <w:rPr>
          <w:rFonts w:hint="eastAsia"/>
        </w:rPr>
        <w:t>，也就是说交易的是同一样商品，区别仅仅是所处的市场不同。举个例子：比特币在火币的价格是8500美元，在币安是8495美元，这样完全可以从币安以8495美元买入，并且在火币以8500美元卖出，赚取5美元的无风险利润。</w:t>
      </w:r>
      <w:r>
        <w:rPr>
          <w:rFonts w:hint="eastAsia" w:ascii="楷体" w:hAnsi="楷体" w:eastAsia="楷体" w:cs="楷体"/>
          <w:b/>
          <w:bCs/>
          <w:highlight w:val="red"/>
          <w:u w:val="single"/>
        </w:rPr>
        <w:t>因此类似这种无风险套利，拼的是低延时，属于高频交易领域。需要投入大量精力在托管机房、海底光缆、网卡设计等方面。</w:t>
      </w:r>
    </w:p>
    <w:p>
      <w:pPr>
        <w:rPr/>
      </w:pPr>
    </w:p>
    <w:p>
      <w:pPr>
        <w:rPr>
          <w:highlight w:val="red"/>
        </w:rPr>
      </w:pPr>
      <w:r>
        <w:rPr>
          <w:rFonts w:hint="eastAsia" w:ascii="宋体" w:hAnsi="宋体" w:eastAsia="宋体" w:cs="宋体"/>
          <w:b/>
          <w:bCs/>
          <w:highlight w:val="red"/>
          <w:u w:val="single"/>
        </w:rPr>
        <w:t>★★★</w:t>
      </w:r>
      <w:r>
        <w:rPr>
          <w:rFonts w:hint="eastAsia" w:ascii="楷体" w:hAnsi="楷体" w:eastAsia="楷体" w:cs="楷体"/>
          <w:b/>
          <w:bCs/>
          <w:highlight w:val="red"/>
          <w:u w:val="single"/>
        </w:rPr>
        <w:t>相关程度高的品种，如期货的近期合约和远期合约，可以做日内交易。</w:t>
      </w:r>
      <w:r>
        <w:rPr>
          <w:rFonts w:hint="eastAsia"/>
          <w:highlight w:val="red"/>
        </w:rPr>
        <w:t>简单的可以设置固定阈值，如价差&lt;买入阈值，买入价差（买入主动腿，并且卖出被动退完成对冲）；价差&gt;卖出阈值，卖出价差（卖出主动腿，并且买入被动腿完成对冲）。若价差并不严格的遵守均值回归；或者在大周期上价差发生较大的偏离，但是在小周期上围绕着均值上下波动；这两类可以使用布林带通道实现套利，如价差&gt;布林带通道上轨，卖出价差；价差&lt;布林带下轨，买入价差。</w:t>
      </w:r>
      <w:bookmarkStart w:id="0" w:name="_GoBack"/>
      <w:bookmarkEnd w:id="0"/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>相关程度</w:t>
      </w:r>
      <w:r>
        <w:rPr>
          <w:rFonts w:hint="eastAsia"/>
          <w:lang w:val="en-US" w:eastAsia="zh-CN"/>
        </w:rPr>
        <w:t>较高</w:t>
      </w:r>
      <w:r>
        <w:rPr>
          <w:rFonts w:hint="eastAsia"/>
        </w:rPr>
        <w:t>品种，如产业链相关的期货品种，可以做基本面套利。基本面套利更要求投资者主动挖掘有用信息，如参与实地调研，或者使用无人机加上图形识别技术监控品种的实际库存状况；通过对基本面信息的分析与处理，然后在单个方向去交易价差，即在高位卖出价差，在均值位平仓离场。由于价差基本面套利的持仓周期可以从几周到几个月，所以对执行的要求不高，更偏重于基本面信息的挖掘和处理。</w:t>
      </w:r>
    </w:p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4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2021-04-25T09:30:57Z</dcterms:created>
  <dc:creator>huangning</dc:creator>
  <cp:lastModifiedBy>HN</cp:lastModifiedBy>
  <dcterms:modified xsi:type="dcterms:W3CDTF">2021-04-25T09:48:15Z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