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基本操作</w:t>
      </w:r>
    </w:p>
    <w:p>
      <w:pPr>
        <w:rPr>
          <w:rFonts w:hint="eastAsia"/>
        </w:rPr>
      </w:pPr>
    </w:p>
    <w:p>
      <w:r>
        <w:rPr>
          <w:rFonts w:hint="eastAsia"/>
        </w:rPr>
        <w:t>打开价差交易界面</w:t>
      </w:r>
    </w:p>
    <w:p>
      <w:pPr>
        <w:rPr>
          <w:rFonts w:hint="eastAsia"/>
        </w:rPr>
      </w:pPr>
      <w:r>
        <w:rPr>
          <w:rFonts w:hint="eastAsia"/>
        </w:rPr>
        <w:t>打开VN Trader，先连接上交易接口，如BITMEX；然后在菜单栏中点击【功能】-&gt;【价差交易】进入价差交易界面。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ge">
              <wp:posOffset>2160905</wp:posOffset>
            </wp:positionV>
            <wp:extent cx="4986655" cy="2654300"/>
            <wp:effectExtent l="0" t="0" r="4445" b="317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t>总体来说，价差交易界面可分成2部分：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交易部分：在创建好价差合约后，可以调用价差策略实现自动交易，也可以手动交易来调整仓位。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监控部分：可以查看实时价差合约行情信息，价差策略和价差算法执行情况，日志组件也会输出相关信息。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94C52"/>
    <w:rsid w:val="1F0365A9"/>
    <w:rsid w:val="300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2021-04-25T09:54:00Z</dcterms:created>
  <dc:creator>huangning</dc:creator>
  <cp:lastModifiedBy>HN</cp:lastModifiedBy>
  <dcterms:modified xsi:type="dcterms:W3CDTF">2021-04-26T07:57:02Z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