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660" w:lineRule="exact"/>
        <w:ind w:left="0" w:right="0" w:firstLine="0"/>
        <w:jc w:val="center"/>
        <w:rPr>
          <w:rFonts w:ascii="Heiti SC Medium" w:cs="Heiti SC Medium" w:hAnsi="Heiti SC Medium" w:eastAsia="Heiti SC Medium"/>
          <w:sz w:val="36"/>
          <w:szCs w:val="36"/>
          <w:rtl w:val="0"/>
        </w:rPr>
      </w:pPr>
      <w:r>
        <w:rPr>
          <w:rFonts w:eastAsia="Heiti SC Medium" w:hint="eastAsia"/>
          <w:sz w:val="36"/>
          <w:szCs w:val="36"/>
          <w:rtl w:val="0"/>
          <w:lang w:val="zh-CN" w:eastAsia="zh-CN"/>
        </w:rPr>
        <w:t>量化交易基础理论</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660" w:lineRule="exact"/>
        <w:ind w:left="0" w:right="0" w:firstLine="0"/>
        <w:jc w:val="center"/>
        <w:rPr>
          <w:rFonts w:ascii="Heiti SC Medium" w:cs="Heiti SC Medium" w:hAnsi="Heiti SC Medium" w:eastAsia="Heiti SC Medium"/>
          <w:sz w:val="36"/>
          <w:szCs w:val="36"/>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660" w:lineRule="exact"/>
        <w:ind w:left="0" w:right="0" w:firstLine="737"/>
        <w:jc w:val="both"/>
        <w:rPr>
          <w:rFonts w:ascii="Heiti SC Medium" w:cs="Heiti SC Medium" w:hAnsi="Heiti SC Medium" w:eastAsia="Heiti SC Medium"/>
          <w:sz w:val="36"/>
          <w:szCs w:val="36"/>
          <w:rtl w:val="0"/>
        </w:rPr>
      </w:pPr>
      <w:r>
        <w:rPr>
          <w:rFonts w:eastAsia="Heiti SC Medium" w:hint="eastAsia"/>
          <w:sz w:val="36"/>
          <w:szCs w:val="36"/>
          <w:rtl w:val="0"/>
          <w:lang w:val="zh-CN" w:eastAsia="zh-CN"/>
        </w:rPr>
        <w:t>一、什么是量化交易</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660" w:lineRule="exact"/>
        <w:ind w:left="0" w:right="0" w:firstLine="737"/>
        <w:jc w:val="both"/>
        <w:rPr>
          <w:rFonts w:ascii="华文仿宋" w:cs="华文仿宋" w:hAnsi="华文仿宋" w:eastAsia="华文仿宋"/>
          <w:sz w:val="36"/>
          <w:szCs w:val="36"/>
          <w:rtl w:val="0"/>
        </w:rPr>
      </w:pPr>
      <w:r>
        <w:rPr>
          <w:rFonts w:eastAsia="华文仿宋" w:hint="eastAsia"/>
          <w:sz w:val="36"/>
          <w:szCs w:val="36"/>
          <w:rtl w:val="0"/>
          <w:lang w:val="zh-CN" w:eastAsia="zh-CN"/>
        </w:rPr>
        <w:t>记住两个定律</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660" w:lineRule="exact"/>
        <w:ind w:left="0" w:right="0" w:firstLine="737"/>
        <w:jc w:val="both"/>
        <w:rPr>
          <w:rFonts w:ascii="Heiti SC Medium" w:cs="Heiti SC Medium" w:hAnsi="Heiti SC Medium" w:eastAsia="Heiti SC Medium"/>
          <w:sz w:val="36"/>
          <w:szCs w:val="36"/>
          <w:rtl w:val="0"/>
        </w:rPr>
      </w:pPr>
      <w:r>
        <w:rPr>
          <w:rFonts w:eastAsia="Heiti SC Medium" w:hint="eastAsia"/>
          <w:sz w:val="36"/>
          <w:szCs w:val="36"/>
          <w:rtl w:val="0"/>
          <w:lang w:val="zh-CN" w:eastAsia="zh-CN"/>
        </w:rPr>
        <w:t>大数定律（</w:t>
      </w:r>
      <w:r>
        <w:rPr>
          <w:rFonts w:ascii="Heiti SC Medium" w:hAnsi="Heiti SC Medium"/>
          <w:sz w:val="36"/>
          <w:szCs w:val="36"/>
          <w:rtl w:val="0"/>
          <w:lang w:val="zh-CN" w:eastAsia="zh-CN"/>
        </w:rPr>
        <w:t>Law of Large Numbers</w:t>
      </w:r>
      <w:r>
        <w:rPr>
          <w:rFonts w:eastAsia="Heiti SC Medium" w:hint="eastAsia"/>
          <w:sz w:val="36"/>
          <w:szCs w:val="36"/>
          <w:rtl w:val="0"/>
          <w:lang w:val="zh-CN" w:eastAsia="zh-CN"/>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660" w:lineRule="exact"/>
        <w:ind w:left="0" w:right="0" w:firstLine="737"/>
        <w:jc w:val="both"/>
        <w:rPr>
          <w:rFonts w:ascii="华文仿宋" w:cs="华文仿宋" w:hAnsi="华文仿宋" w:eastAsia="华文仿宋"/>
          <w:sz w:val="36"/>
          <w:szCs w:val="36"/>
          <w:rtl w:val="0"/>
        </w:rPr>
      </w:pPr>
      <w:r>
        <w:rPr>
          <w:rFonts w:eastAsia="华文仿宋" w:hint="eastAsia"/>
          <w:sz w:val="36"/>
          <w:szCs w:val="36"/>
          <w:rtl w:val="0"/>
          <w:lang w:val="zh-CN" w:eastAsia="zh-CN"/>
        </w:rPr>
        <w:t>概率论中讨论随机变量序列的算术平均值向随机变量各数学期望的算术平均值收敛的定律</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660" w:lineRule="exact"/>
        <w:ind w:left="0" w:right="0" w:firstLine="737"/>
        <w:jc w:val="both"/>
        <w:rPr>
          <w:rFonts w:ascii="Heiti SC Medium" w:cs="Heiti SC Medium" w:hAnsi="Heiti SC Medium" w:eastAsia="Heiti SC Medium"/>
          <w:sz w:val="36"/>
          <w:szCs w:val="36"/>
          <w:rtl w:val="0"/>
        </w:rPr>
      </w:pPr>
      <w:r>
        <w:rPr>
          <w:rFonts w:eastAsia="Heiti SC Medium" w:hint="eastAsia"/>
          <w:sz w:val="36"/>
          <w:szCs w:val="36"/>
          <w:rtl w:val="0"/>
          <w:lang w:val="zh-CN" w:eastAsia="zh-CN"/>
        </w:rPr>
        <w:t>一价定律（</w:t>
      </w:r>
      <w:r>
        <w:rPr>
          <w:rFonts w:ascii="Heiti SC Medium" w:hAnsi="Heiti SC Medium"/>
          <w:sz w:val="36"/>
          <w:szCs w:val="36"/>
          <w:rtl w:val="0"/>
          <w:lang w:val="zh-CN" w:eastAsia="zh-CN"/>
        </w:rPr>
        <w:t>No-Arbitrage Principle</w:t>
      </w:r>
      <w:r>
        <w:rPr>
          <w:rFonts w:eastAsia="Heiti SC Medium" w:hint="eastAsia"/>
          <w:sz w:val="36"/>
          <w:szCs w:val="36"/>
          <w:rtl w:val="0"/>
          <w:lang w:val="zh-CN" w:eastAsia="zh-CN"/>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660" w:lineRule="exact"/>
        <w:ind w:left="0" w:right="0" w:firstLine="737"/>
        <w:jc w:val="both"/>
        <w:rPr>
          <w:rFonts w:ascii="华文仿宋" w:cs="华文仿宋" w:hAnsi="华文仿宋" w:eastAsia="华文仿宋"/>
          <w:sz w:val="36"/>
          <w:szCs w:val="36"/>
          <w:rtl w:val="0"/>
        </w:rPr>
      </w:pPr>
      <w:r>
        <w:rPr>
          <w:rFonts w:eastAsia="华文仿宋" w:hint="eastAsia"/>
          <w:sz w:val="36"/>
          <w:szCs w:val="36"/>
          <w:rtl w:val="0"/>
          <w:lang w:val="zh-CN" w:eastAsia="zh-CN"/>
        </w:rPr>
        <w:t>两个未来现金流一样的金融资产组合，其在当前时间点的价格理论上应当一样。</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660" w:lineRule="exact"/>
        <w:ind w:left="0" w:right="0" w:firstLine="737"/>
        <w:jc w:val="both"/>
        <w:rPr>
          <w:rtl w:val="0"/>
        </w:rPr>
      </w:pPr>
      <w:r>
        <w:rPr>
          <w:rFonts w:eastAsia="华文仿宋" w:hint="eastAsia"/>
          <w:sz w:val="36"/>
          <w:szCs w:val="36"/>
          <w:rtl w:val="0"/>
          <w:lang w:val="zh-CN" w:eastAsia="zh-CN"/>
        </w:rPr>
        <w:t>用以上两条定律指导的交易都可以叫做量化交易。</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iti SC Medium">
    <w:charset w:val="00"/>
    <w:family w:val="roman"/>
    <w:pitch w:val="default"/>
  </w:font>
  <w:font w:name="华文仿宋">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819"/>
        <w:tab w:val="right" w:pos="9638"/>
        <w:tab w:val="clear" w:pos="9020"/>
      </w:tabs>
      <w:jc w:val="left"/>
    </w:pPr>
    <w:r>
      <w:tab/>
    </w:r>
    <w:r>
      <w:rPr>
        <w:rFonts w:ascii="Arial Unicode MS" w:cs="Arial Unicode MS" w:hAnsi="Arial Unicode MS" w:eastAsia="Arial Unicode MS" w:hint="eastAsia"/>
        <w:b w:val="0"/>
        <w:bCs w:val="0"/>
        <w:i w:val="0"/>
        <w:iCs w:val="0"/>
        <w:rtl w:val="0"/>
        <w:lang w:val="zh-TW" w:eastAsia="zh-TW"/>
      </w:rPr>
      <w:t>页码：</w:t>
    </w:r>
    <w:r>
      <w:rPr/>
      <w:fldChar w:fldCharType="begin" w:fldLock="0"/>
    </w:r>
    <w:r>
      <w:instrText xml:space="preserve"> PAGE </w:instrText>
    </w:r>
    <w:r>
      <w:rPr/>
      <w:fldChar w:fldCharType="separate" w:fldLock="0"/>
    </w:r>
    <w:r/>
    <w:r>
      <w:rPr/>
      <w:fldChar w:fldCharType="end" w:fldLock="0"/>
    </w:r>
    <w:r>
      <w:rPr>
        <w:rtl w:val="0"/>
        <w:lang w:val="zh-TW" w:eastAsia="zh-TW"/>
      </w:rPr>
      <w:t>/</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60057" cy="10692004"/>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60057" cy="10692004"/>
                      </a:xfrm>
                      <a:prstGeom prst="rect">
                        <a:avLst/>
                      </a:prstGeom>
                      <a:solidFill>
                        <a:schemeClr val="accent2">
                          <a:hueOff val="192982"/>
                          <a:satOff val="17755"/>
                          <a:lumOff val="-28483"/>
                        </a:schemeClr>
                      </a:solidFill>
                      <a:ln w="12700" cap="flat">
                        <a:noFill/>
                        <a:miter lim="400000"/>
                      </a:ln>
                      <a:effectLst/>
                    </wps:spPr>
                    <wps:bodyPr/>
                  </wps:wsp>
                </a:graphicData>
              </a:graphic>
            </wp:anchor>
          </w:drawing>
        </mc:Choice>
        <mc:Fallback>
          <w:pict>
            <v:rect id="_x0000_s1026" style="visibility:visible;position:absolute;margin-left:0.0pt;margin-top:0.0pt;width:595.3pt;height:841.9pt;z-index:-251658240;mso-position-horizontal:absolute;mso-position-horizontal-relative:page;mso-position-vertical:absolute;mso-position-vertical-relative:page;mso-wrap-distance-left:12.0pt;mso-wrap-distance-top:12.0pt;mso-wrap-distance-right:12.0pt;mso-wrap-distance-bottom:12.0pt;">
              <v:fill color="#006C6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