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5F1BD" w14:textId="77777777" w:rsidR="00FA4062" w:rsidRDefault="000A696C">
      <w:pPr>
        <w:spacing w:line="560" w:lineRule="exact"/>
        <w:jc w:val="center"/>
        <w:outlineLvl w:val="0"/>
        <w:rPr>
          <w:rFonts w:asciiTheme="minorEastAsia" w:hAnsiTheme="minorEastAsia" w:cstheme="minorEastAsia"/>
          <w:b/>
          <w:bCs/>
          <w:sz w:val="36"/>
          <w:szCs w:val="36"/>
        </w:rPr>
      </w:pPr>
      <w:r>
        <w:rPr>
          <w:rFonts w:asciiTheme="minorEastAsia" w:hAnsiTheme="minorEastAsia" w:cstheme="minorEastAsia" w:hint="eastAsia"/>
          <w:b/>
          <w:bCs/>
          <w:sz w:val="36"/>
          <w:szCs w:val="36"/>
        </w:rPr>
        <w:t>CTA策略开发学习笔记</w:t>
      </w:r>
    </w:p>
    <w:p w14:paraId="2797BA40" w14:textId="77777777" w:rsidR="00FA4062" w:rsidRDefault="00FA4062">
      <w:pPr>
        <w:spacing w:line="560" w:lineRule="exact"/>
        <w:rPr>
          <w:rFonts w:asciiTheme="minorEastAsia" w:hAnsiTheme="minorEastAsia" w:cstheme="minorEastAsia"/>
          <w:b/>
          <w:bCs/>
          <w:sz w:val="36"/>
          <w:szCs w:val="36"/>
        </w:rPr>
      </w:pPr>
    </w:p>
    <w:p w14:paraId="02D0F3E2" w14:textId="77777777" w:rsidR="00FA4062" w:rsidRDefault="000A696C">
      <w:pPr>
        <w:spacing w:line="560" w:lineRule="exact"/>
        <w:ind w:firstLineChars="200" w:firstLine="640"/>
        <w:outlineLvl w:val="0"/>
        <w:rPr>
          <w:rFonts w:ascii="黑体" w:eastAsia="黑体" w:hAnsi="黑体" w:cs="黑体"/>
          <w:sz w:val="32"/>
          <w:szCs w:val="32"/>
        </w:rPr>
      </w:pPr>
      <w:r>
        <w:rPr>
          <w:rFonts w:ascii="黑体" w:eastAsia="黑体" w:hAnsi="黑体" w:cs="黑体" w:hint="eastAsia"/>
          <w:sz w:val="32"/>
          <w:szCs w:val="32"/>
        </w:rPr>
        <w:t>一、CTA策略获利的理论基础</w:t>
      </w:r>
    </w:p>
    <w:p w14:paraId="2528D548"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好的CTA策略应该是非常简洁的。真正有用的交易信号条件很少，策略开发者要做的就是从纷繁复杂的指标中找出少数几个真正有用的策略条件。完整的CTA策略应该包含以下4个部分：</w:t>
      </w:r>
    </w:p>
    <w:p w14:paraId="2A8AFD22" w14:textId="77777777" w:rsidR="00FA4062" w:rsidRDefault="000A696C">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（一）信号：赌涨还是赌跌。</w:t>
      </w:r>
    </w:p>
    <w:p w14:paraId="311DC0E4"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用于判断什么时候做多，什么时候做空，什么时候不玩。反向信号在实践中意义不大，因为反向信号出现的时候，回撤已经比较大了。</w:t>
      </w:r>
    </w:p>
    <w:p w14:paraId="5D7DC5DD" w14:textId="77777777" w:rsidR="00FA4062" w:rsidRDefault="000A696C">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（二）过滤：是否该最终下注。</w:t>
      </w:r>
    </w:p>
    <w:p w14:paraId="3D1CA3B9"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用于对交易信号进行进一步筛选，避免过于频繁的无谓交易，减少交易成本（手续费、滑点）损失。</w:t>
      </w:r>
    </w:p>
    <w:p w14:paraId="0EC1D464"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noProof/>
          <w:sz w:val="32"/>
          <w:szCs w:val="32"/>
        </w:rPr>
        <w:drawing>
          <wp:anchor distT="0" distB="0" distL="114300" distR="114300" simplePos="0" relativeHeight="251673600" behindDoc="0" locked="0" layoutInCell="1" allowOverlap="1" wp14:anchorId="0282FEF5" wp14:editId="767BB892">
            <wp:simplePos x="0" y="0"/>
            <wp:positionH relativeFrom="column">
              <wp:posOffset>127000</wp:posOffset>
            </wp:positionH>
            <wp:positionV relativeFrom="paragraph">
              <wp:posOffset>277495</wp:posOffset>
            </wp:positionV>
            <wp:extent cx="5274310" cy="2425700"/>
            <wp:effectExtent l="0" t="0" r="2540" b="3175"/>
            <wp:wrapSquare wrapText="bothSides"/>
            <wp:docPr id="32" name="图片 3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jpg"/>
                    <pic:cNvPicPr>
                      <a:picLocks noChangeAspect="1"/>
                    </pic:cNvPicPr>
                  </pic:nvPicPr>
                  <pic:blipFill>
                    <a:blip r:embed="rId7"/>
                    <a:stretch>
                      <a:fillRect/>
                    </a:stretch>
                  </pic:blipFill>
                  <pic:spPr>
                    <a:xfrm>
                      <a:off x="0" y="0"/>
                      <a:ext cx="5274310" cy="2425700"/>
                    </a:xfrm>
                    <a:prstGeom prst="rect">
                      <a:avLst/>
                    </a:prstGeom>
                  </pic:spPr>
                </pic:pic>
              </a:graphicData>
            </a:graphic>
          </wp:anchor>
        </w:drawing>
      </w:r>
      <w:r>
        <w:rPr>
          <w:rFonts w:asciiTheme="minorEastAsia" w:hAnsiTheme="minorEastAsia" w:cstheme="minorEastAsia" w:hint="eastAsia"/>
          <w:sz w:val="32"/>
          <w:szCs w:val="32"/>
        </w:rPr>
        <w:t>ATR指标不但考虑了价格，还考虑了市场波动程度，是一个比较实用的趋势强度指标。</w:t>
      </w:r>
    </w:p>
    <w:p w14:paraId="3CFDAE2F" w14:textId="77777777" w:rsidR="00FA4062" w:rsidRDefault="000A696C">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（三）出场：手气不顺要跑。</w:t>
      </w:r>
    </w:p>
    <w:p w14:paraId="6B102134"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lastRenderedPageBreak/>
        <w:t>用于判断什么时候该平仓</w:t>
      </w:r>
    </w:p>
    <w:p w14:paraId="64D6C9D0"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离场。</w:t>
      </w:r>
    </w:p>
    <w:p w14:paraId="1F092F91" w14:textId="77777777" w:rsidR="00FA4062" w:rsidRDefault="000A696C">
      <w:pPr>
        <w:spacing w:line="560" w:lineRule="exact"/>
        <w:ind w:firstLineChars="200" w:firstLine="640"/>
        <w:rPr>
          <w:rFonts w:ascii="楷体" w:eastAsia="楷体" w:hAnsi="楷体" w:cs="楷体"/>
          <w:b/>
          <w:bCs/>
          <w:sz w:val="32"/>
          <w:szCs w:val="32"/>
        </w:rPr>
      </w:pPr>
      <w:r>
        <w:rPr>
          <w:rFonts w:asciiTheme="minorEastAsia" w:hAnsiTheme="minorEastAsia" w:cstheme="minorEastAsia"/>
          <w:noProof/>
          <w:sz w:val="32"/>
          <w:szCs w:val="32"/>
        </w:rPr>
        <w:drawing>
          <wp:anchor distT="0" distB="0" distL="114300" distR="114300" simplePos="0" relativeHeight="251674624" behindDoc="0" locked="0" layoutInCell="1" allowOverlap="1" wp14:anchorId="0364A265" wp14:editId="46B6AFB8">
            <wp:simplePos x="0" y="0"/>
            <wp:positionH relativeFrom="column">
              <wp:posOffset>76200</wp:posOffset>
            </wp:positionH>
            <wp:positionV relativeFrom="paragraph">
              <wp:posOffset>100330</wp:posOffset>
            </wp:positionV>
            <wp:extent cx="5269230" cy="1490345"/>
            <wp:effectExtent l="0" t="0" r="7620" b="5080"/>
            <wp:wrapSquare wrapText="bothSides"/>
            <wp:docPr id="33" name="图片 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
                    <pic:cNvPicPr>
                      <a:picLocks noChangeAspect="1"/>
                    </pic:cNvPicPr>
                  </pic:nvPicPr>
                  <pic:blipFill>
                    <a:blip r:embed="rId8"/>
                    <a:stretch>
                      <a:fillRect/>
                    </a:stretch>
                  </pic:blipFill>
                  <pic:spPr>
                    <a:xfrm>
                      <a:off x="0" y="0"/>
                      <a:ext cx="5269230" cy="1490345"/>
                    </a:xfrm>
                    <a:prstGeom prst="rect">
                      <a:avLst/>
                    </a:prstGeom>
                  </pic:spPr>
                </pic:pic>
              </a:graphicData>
            </a:graphic>
          </wp:anchor>
        </w:drawing>
      </w:r>
      <w:r>
        <w:rPr>
          <w:rFonts w:ascii="楷体" w:eastAsia="楷体" w:hAnsi="楷体" w:cs="楷体" w:hint="eastAsia"/>
          <w:b/>
          <w:bCs/>
          <w:sz w:val="32"/>
          <w:szCs w:val="32"/>
        </w:rPr>
        <w:t>（四）仓位：每次赌多大。</w:t>
      </w:r>
    </w:p>
    <w:p w14:paraId="3E72A2F2"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每次平均下注，可能并非好的做法。</w:t>
      </w:r>
    </w:p>
    <w:p w14:paraId="4EE1EC83"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大致的原则应该是市场波动大的时候，仓位应该降下来，市场波动小的时候；市场波动小的时候，仓位逐渐加大。</w:t>
      </w:r>
    </w:p>
    <w:p w14:paraId="4C3B4C2F"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如何控制：</w:t>
      </w:r>
    </w:p>
    <w:p w14:paraId="19E684D0" w14:textId="77777777" w:rsidR="00FA4062" w:rsidRDefault="000A696C">
      <w:pPr>
        <w:spacing w:line="560" w:lineRule="exact"/>
        <w:ind w:firstLineChars="200" w:firstLine="640"/>
        <w:rPr>
          <w:rFonts w:asciiTheme="minorEastAsia" w:hAnsiTheme="minorEastAsia" w:cstheme="minorEastAsia"/>
          <w:sz w:val="32"/>
          <w:szCs w:val="32"/>
          <w:u w:val="single"/>
        </w:rPr>
      </w:pPr>
      <w:r>
        <w:rPr>
          <w:rFonts w:asciiTheme="minorEastAsia" w:hAnsiTheme="minorEastAsia" w:cstheme="minorEastAsia" w:hint="eastAsia"/>
          <w:sz w:val="32"/>
          <w:szCs w:val="32"/>
          <w:u w:val="single"/>
        </w:rPr>
        <w:t>描绘市场风险</w:t>
      </w:r>
      <w:r>
        <w:rPr>
          <w:rFonts w:ascii="Arial" w:hAnsi="Arial" w:cs="Arial"/>
          <w:sz w:val="32"/>
          <w:szCs w:val="32"/>
          <w:u w:val="single"/>
        </w:rPr>
        <w:t>→</w:t>
      </w:r>
      <w:r>
        <w:rPr>
          <w:rFonts w:asciiTheme="minorEastAsia" w:hAnsiTheme="minorEastAsia" w:cstheme="minorEastAsia" w:hint="eastAsia"/>
          <w:sz w:val="32"/>
          <w:szCs w:val="32"/>
          <w:u w:val="single"/>
        </w:rPr>
        <w:t>反比例调整仓位</w:t>
      </w:r>
      <w:r>
        <w:rPr>
          <w:rFonts w:ascii="Arial" w:hAnsi="Arial" w:cs="Arial"/>
          <w:sz w:val="32"/>
          <w:szCs w:val="32"/>
          <w:u w:val="single"/>
        </w:rPr>
        <w:t>→</w:t>
      </w:r>
      <w:r>
        <w:rPr>
          <w:rFonts w:asciiTheme="minorEastAsia" w:hAnsiTheme="minorEastAsia" w:cstheme="minorEastAsia" w:hint="eastAsia"/>
          <w:sz w:val="32"/>
          <w:szCs w:val="32"/>
          <w:u w:val="single"/>
        </w:rPr>
        <w:t>平滑资金曲线</w:t>
      </w:r>
    </w:p>
    <w:p w14:paraId="3B81DBF5" w14:textId="77777777" w:rsidR="00FA4062" w:rsidRDefault="000A696C">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（五）统计指标</w:t>
      </w:r>
    </w:p>
    <w:p w14:paraId="7FE008E9"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资金变动：年化收益率、回撤百分比、收益回撤比</w:t>
      </w:r>
    </w:p>
    <w:p w14:paraId="50C2DAB7"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交易统计：总盈亏、总手续费、总滑点</w:t>
      </w:r>
    </w:p>
    <w:p w14:paraId="5E4D72EC"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曲线形态：日均收益、标准差、夏普比率</w:t>
      </w:r>
    </w:p>
    <w:p w14:paraId="5C3EBCC5"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图表分析：</w:t>
      </w:r>
    </w:p>
    <w:p w14:paraId="6DDCC720"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账户净值：看整体的斜度和波动度</w:t>
      </w:r>
    </w:p>
    <w:p w14:paraId="49D0169A"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净值回撤：看回撤的幅度和时间点</w:t>
      </w:r>
    </w:p>
    <w:p w14:paraId="4EFFF513"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回撤：此前最临近的最高点到目前的价差</w:t>
      </w:r>
    </w:p>
    <w:p w14:paraId="4C69BFA8"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每日盈亏：看红绿是否均匀以及大盈利日期</w:t>
      </w:r>
    </w:p>
    <w:p w14:paraId="0FEA5D23"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盈亏分布：看右侧是否长尾，分布最高点位于0点左右</w:t>
      </w:r>
    </w:p>
    <w:p w14:paraId="2D03B7AC" w14:textId="77777777" w:rsidR="00FA4062" w:rsidRDefault="000A696C">
      <w:pPr>
        <w:spacing w:line="560" w:lineRule="exact"/>
        <w:ind w:firstLineChars="200" w:firstLine="643"/>
        <w:outlineLvl w:val="0"/>
        <w:rPr>
          <w:rFonts w:asciiTheme="minorEastAsia" w:hAnsiTheme="minorEastAsia" w:cstheme="minorEastAsia"/>
          <w:sz w:val="32"/>
          <w:szCs w:val="32"/>
        </w:rPr>
      </w:pPr>
      <w:r>
        <w:rPr>
          <w:rFonts w:ascii="楷体" w:eastAsia="楷体" w:hAnsi="楷体" w:cs="楷体" w:hint="eastAsia"/>
          <w:b/>
          <w:bCs/>
          <w:sz w:val="32"/>
          <w:szCs w:val="32"/>
        </w:rPr>
        <w:t>（六）决定CTA策略能否盈利的核心逻辑公式</w:t>
      </w:r>
    </w:p>
    <w:p w14:paraId="02A9FE8E" w14:textId="77777777" w:rsidR="00FA4062" w:rsidRDefault="000A696C">
      <w:pPr>
        <w:spacing w:line="560" w:lineRule="exact"/>
        <w:ind w:firstLineChars="200" w:firstLine="643"/>
        <w:rPr>
          <w:rFonts w:asciiTheme="minorEastAsia" w:hAnsiTheme="minorEastAsia" w:cstheme="minorEastAsia"/>
          <w:b/>
          <w:bCs/>
          <w:sz w:val="32"/>
          <w:szCs w:val="32"/>
        </w:rPr>
      </w:pPr>
      <w:r>
        <w:rPr>
          <w:rFonts w:asciiTheme="minorEastAsia" w:hAnsiTheme="minorEastAsia" w:cstheme="minorEastAsia" w:hint="eastAsia"/>
          <w:b/>
          <w:bCs/>
          <w:sz w:val="32"/>
          <w:szCs w:val="32"/>
        </w:rPr>
        <w:t>1. 交易胜率 * 盈亏比 = 预期收益率</w:t>
      </w:r>
    </w:p>
    <w:p w14:paraId="4E97427C" w14:textId="77777777" w:rsidR="00FA4062" w:rsidRDefault="000A696C">
      <w:pPr>
        <w:spacing w:line="560" w:lineRule="exact"/>
        <w:ind w:firstLineChars="200" w:firstLine="643"/>
        <w:rPr>
          <w:rFonts w:asciiTheme="minorEastAsia" w:hAnsiTheme="minorEastAsia" w:cstheme="minorEastAsia"/>
          <w:b/>
          <w:bCs/>
          <w:sz w:val="32"/>
          <w:szCs w:val="32"/>
        </w:rPr>
      </w:pPr>
      <w:r>
        <w:rPr>
          <w:rFonts w:asciiTheme="minorEastAsia" w:hAnsiTheme="minorEastAsia" w:cstheme="minorEastAsia" w:hint="eastAsia"/>
          <w:b/>
          <w:bCs/>
          <w:sz w:val="32"/>
          <w:szCs w:val="32"/>
        </w:rPr>
        <w:lastRenderedPageBreak/>
        <w:t>2. 预期收益率 * 市场波动 =  预期收益额</w:t>
      </w:r>
    </w:p>
    <w:p w14:paraId="1BDE7208" w14:textId="77777777" w:rsidR="00FA4062" w:rsidRDefault="000A696C">
      <w:pPr>
        <w:spacing w:line="560" w:lineRule="exact"/>
        <w:ind w:firstLineChars="200" w:firstLine="643"/>
        <w:rPr>
          <w:rFonts w:asciiTheme="minorEastAsia" w:hAnsiTheme="minorEastAsia" w:cstheme="minorEastAsia"/>
          <w:b/>
          <w:bCs/>
          <w:sz w:val="32"/>
          <w:szCs w:val="32"/>
        </w:rPr>
      </w:pPr>
      <w:r>
        <w:rPr>
          <w:rFonts w:asciiTheme="minorEastAsia" w:hAnsiTheme="minorEastAsia" w:cstheme="minorEastAsia" w:hint="eastAsia"/>
          <w:b/>
          <w:bCs/>
          <w:sz w:val="32"/>
          <w:szCs w:val="32"/>
        </w:rPr>
        <w:t>3. 预期收益额 - 交易成本 = 实际收益额</w:t>
      </w:r>
    </w:p>
    <w:p w14:paraId="3FC9655D" w14:textId="0C1F487A" w:rsidR="00FA4062" w:rsidRDefault="000A696C">
      <w:pPr>
        <w:spacing w:line="560" w:lineRule="exact"/>
        <w:ind w:firstLineChars="200" w:firstLine="643"/>
        <w:rPr>
          <w:rFonts w:ascii="楷体" w:eastAsia="楷体" w:hAnsi="楷体" w:cs="楷体"/>
          <w:b/>
          <w:bCs/>
          <w:sz w:val="32"/>
          <w:szCs w:val="32"/>
        </w:rPr>
      </w:pPr>
      <w:r>
        <w:rPr>
          <w:rFonts w:asciiTheme="minorEastAsia" w:hAnsiTheme="minorEastAsia" w:cstheme="minorEastAsia" w:hint="eastAsia"/>
          <w:b/>
          <w:bCs/>
          <w:sz w:val="32"/>
          <w:szCs w:val="32"/>
        </w:rPr>
        <w:t>4. 实际收益额</w:t>
      </w:r>
      <w:r w:rsidR="00703C29">
        <w:rPr>
          <w:rFonts w:asciiTheme="minorEastAsia" w:hAnsiTheme="minorEastAsia" w:cstheme="minorEastAsia" w:hint="eastAsia"/>
          <w:b/>
          <w:bCs/>
          <w:sz w:val="32"/>
          <w:szCs w:val="32"/>
        </w:rPr>
        <w:t xml:space="preserve"> </w:t>
      </w:r>
      <w:r>
        <w:rPr>
          <w:rFonts w:asciiTheme="minorEastAsia" w:hAnsiTheme="minorEastAsia" w:cstheme="minorEastAsia" w:hint="eastAsia"/>
          <w:b/>
          <w:bCs/>
          <w:sz w:val="32"/>
          <w:szCs w:val="32"/>
        </w:rPr>
        <w:t>*</w:t>
      </w:r>
      <w:r w:rsidR="00703C29">
        <w:rPr>
          <w:rFonts w:asciiTheme="minorEastAsia" w:hAnsiTheme="minorEastAsia" w:cstheme="minorEastAsia"/>
          <w:b/>
          <w:bCs/>
          <w:sz w:val="32"/>
          <w:szCs w:val="32"/>
        </w:rPr>
        <w:t xml:space="preserve"> </w:t>
      </w:r>
      <w:r>
        <w:rPr>
          <w:rFonts w:asciiTheme="minorEastAsia" w:hAnsiTheme="minorEastAsia" w:cstheme="minorEastAsia" w:hint="eastAsia"/>
          <w:b/>
          <w:bCs/>
          <w:sz w:val="32"/>
          <w:szCs w:val="32"/>
        </w:rPr>
        <w:t>仓位的风险暴露 = 账户的资金曲线</w:t>
      </w:r>
    </w:p>
    <w:p w14:paraId="2C426D10"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CTA策略的本质是趋势跟踪策略，交易策略的重要核心就是过滤出市场波动足够大的行情，追求的是较高的盈亏比，预期收益往往远高于（数倍/数十倍）交易成本，但相比高频策略而言，交易胜率相对较低。大致可以理解为，虽然时不时会亏钱，但不会亏太多钱，一旦赚钱就会赚很多钱。因此，对CTA策略而言，行情波动幅度越大，越容易获利。</w:t>
      </w:r>
    </w:p>
    <w:p w14:paraId="0B5ED535" w14:textId="77777777" w:rsidR="00FA4062" w:rsidRDefault="000A696C">
      <w:pPr>
        <w:spacing w:line="560" w:lineRule="exact"/>
        <w:ind w:firstLineChars="200" w:firstLine="640"/>
        <w:rPr>
          <w:rFonts w:ascii="楷体" w:eastAsia="楷体" w:hAnsi="楷体" w:cs="楷体"/>
          <w:b/>
          <w:bCs/>
          <w:sz w:val="32"/>
          <w:szCs w:val="32"/>
        </w:rPr>
      </w:pPr>
      <w:r>
        <w:rPr>
          <w:rFonts w:asciiTheme="minorEastAsia" w:hAnsiTheme="minorEastAsia" w:cstheme="minorEastAsia" w:hint="eastAsia"/>
          <w:sz w:val="32"/>
          <w:szCs w:val="32"/>
        </w:rPr>
        <w:t>高频策略能够盈利的主要原因在于超高的胜率，但相对CTA策略而言盈亏比相对较低，每次交易获利甚微。开发高频交易策略，需要非常细致的tick级甚至更精细数据的建模分析。但实盘交易中，交易员能获得的最精细数据只有tick级的切片数据，要想获得相邻两个tick数据之间的更加精细的行情信息，只有通过成交数据来推理获得。因此，高频交易策略的研发成本非常高。</w:t>
      </w:r>
    </w:p>
    <w:p w14:paraId="5026164A"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如何控制仓位：</w:t>
      </w:r>
    </w:p>
    <w:p w14:paraId="6031EC06" w14:textId="77777777" w:rsidR="00FA4062" w:rsidRDefault="000A696C">
      <w:pPr>
        <w:spacing w:line="560" w:lineRule="exact"/>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 xml:space="preserve">描绘市场风险 </w:t>
      </w:r>
      <w:r>
        <w:rPr>
          <w:rFonts w:ascii="Arial" w:hAnsi="Arial" w:cs="Arial"/>
          <w:sz w:val="32"/>
          <w:szCs w:val="32"/>
        </w:rPr>
        <w:t>→</w:t>
      </w:r>
      <w:r>
        <w:rPr>
          <w:rFonts w:asciiTheme="minorEastAsia" w:hAnsiTheme="minorEastAsia" w:cstheme="minorEastAsia" w:hint="eastAsia"/>
          <w:sz w:val="32"/>
          <w:szCs w:val="32"/>
        </w:rPr>
        <w:t xml:space="preserve"> 反比例调整仓位 </w:t>
      </w:r>
      <w:r>
        <w:rPr>
          <w:rFonts w:ascii="Arial" w:hAnsi="Arial" w:cs="Arial"/>
          <w:sz w:val="32"/>
          <w:szCs w:val="32"/>
        </w:rPr>
        <w:t>→</w:t>
      </w:r>
      <w:r>
        <w:rPr>
          <w:rFonts w:asciiTheme="minorEastAsia" w:hAnsiTheme="minorEastAsia" w:cstheme="minorEastAsia" w:hint="eastAsia"/>
          <w:sz w:val="32"/>
          <w:szCs w:val="32"/>
        </w:rPr>
        <w:t xml:space="preserve"> 平滑资金曲线</w:t>
      </w:r>
    </w:p>
    <w:p w14:paraId="5625C853" w14:textId="3648B751" w:rsidR="00FA4062" w:rsidRPr="00AC7BE6" w:rsidRDefault="00FA4062">
      <w:pPr>
        <w:tabs>
          <w:tab w:val="right" w:pos="7666"/>
        </w:tabs>
        <w:spacing w:line="560" w:lineRule="exact"/>
        <w:ind w:firstLineChars="200" w:firstLine="640"/>
        <w:rPr>
          <w:rFonts w:asciiTheme="minorEastAsia" w:hAnsiTheme="minorEastAsia" w:cstheme="minorEastAsia"/>
          <w:sz w:val="32"/>
          <w:szCs w:val="32"/>
        </w:rPr>
      </w:pPr>
    </w:p>
    <w:sectPr w:rsidR="00FA4062" w:rsidRPr="00AC7BE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A1D33" w14:textId="77777777" w:rsidR="005B2B34" w:rsidRDefault="005B2B34">
      <w:r>
        <w:separator/>
      </w:r>
    </w:p>
  </w:endnote>
  <w:endnote w:type="continuationSeparator" w:id="0">
    <w:p w14:paraId="7B072D46" w14:textId="77777777" w:rsidR="005B2B34" w:rsidRDefault="005B2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10687" w14:textId="77777777" w:rsidR="00FA4062" w:rsidRDefault="000A696C">
    <w:pPr>
      <w:pStyle w:val="a3"/>
    </w:pPr>
    <w:r>
      <w:rPr>
        <w:noProof/>
      </w:rPr>
      <mc:AlternateContent>
        <mc:Choice Requires="wps">
          <w:drawing>
            <wp:anchor distT="0" distB="0" distL="114300" distR="114300" simplePos="0" relativeHeight="251658240" behindDoc="0" locked="0" layoutInCell="1" allowOverlap="1" wp14:anchorId="6DE750DB" wp14:editId="5E15E61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298017" w14:textId="77777777" w:rsidR="00FA4062" w:rsidRDefault="000A696C">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BCBA9" w14:textId="77777777" w:rsidR="005B2B34" w:rsidRDefault="005B2B34">
      <w:r>
        <w:separator/>
      </w:r>
    </w:p>
  </w:footnote>
  <w:footnote w:type="continuationSeparator" w:id="0">
    <w:p w14:paraId="5FCC9D0E" w14:textId="77777777" w:rsidR="005B2B34" w:rsidRDefault="005B2B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062"/>
    <w:rsid w:val="000A696C"/>
    <w:rsid w:val="005B2B34"/>
    <w:rsid w:val="00703C29"/>
    <w:rsid w:val="00AC7BE6"/>
    <w:rsid w:val="00E828F9"/>
    <w:rsid w:val="00FA4062"/>
    <w:rsid w:val="016F5620"/>
    <w:rsid w:val="01D0641C"/>
    <w:rsid w:val="01D4376C"/>
    <w:rsid w:val="020341FE"/>
    <w:rsid w:val="028E07C3"/>
    <w:rsid w:val="02BB2B05"/>
    <w:rsid w:val="042B2636"/>
    <w:rsid w:val="055400E0"/>
    <w:rsid w:val="05FF6CF5"/>
    <w:rsid w:val="07131027"/>
    <w:rsid w:val="07837594"/>
    <w:rsid w:val="07D95A1A"/>
    <w:rsid w:val="07F265D5"/>
    <w:rsid w:val="0819378E"/>
    <w:rsid w:val="090029B8"/>
    <w:rsid w:val="09E67D98"/>
    <w:rsid w:val="09EB3AF5"/>
    <w:rsid w:val="0AD20742"/>
    <w:rsid w:val="0C234065"/>
    <w:rsid w:val="0DCF17FA"/>
    <w:rsid w:val="0E93084F"/>
    <w:rsid w:val="0FFF6566"/>
    <w:rsid w:val="107804C1"/>
    <w:rsid w:val="11071AA3"/>
    <w:rsid w:val="117629FB"/>
    <w:rsid w:val="119E6865"/>
    <w:rsid w:val="11B2013E"/>
    <w:rsid w:val="126E7299"/>
    <w:rsid w:val="136A6E55"/>
    <w:rsid w:val="18851C75"/>
    <w:rsid w:val="18950A7C"/>
    <w:rsid w:val="18F73F2E"/>
    <w:rsid w:val="197F5021"/>
    <w:rsid w:val="1AA91920"/>
    <w:rsid w:val="1BF875CA"/>
    <w:rsid w:val="1CD6404D"/>
    <w:rsid w:val="1D4B68D1"/>
    <w:rsid w:val="1F446B45"/>
    <w:rsid w:val="20B717FD"/>
    <w:rsid w:val="21951C51"/>
    <w:rsid w:val="21AF7884"/>
    <w:rsid w:val="24041AED"/>
    <w:rsid w:val="241F04A1"/>
    <w:rsid w:val="244F5B24"/>
    <w:rsid w:val="2454712E"/>
    <w:rsid w:val="24994FB9"/>
    <w:rsid w:val="253D4C73"/>
    <w:rsid w:val="26E21E04"/>
    <w:rsid w:val="274D0B6D"/>
    <w:rsid w:val="27F64CE6"/>
    <w:rsid w:val="28367580"/>
    <w:rsid w:val="28D1769C"/>
    <w:rsid w:val="2B2709F3"/>
    <w:rsid w:val="2C18368C"/>
    <w:rsid w:val="2C6B2C8F"/>
    <w:rsid w:val="2D2D0E3A"/>
    <w:rsid w:val="2D6E3B45"/>
    <w:rsid w:val="2DDA7A75"/>
    <w:rsid w:val="2E252E5D"/>
    <w:rsid w:val="2EA71814"/>
    <w:rsid w:val="2F5D5156"/>
    <w:rsid w:val="2F8F7634"/>
    <w:rsid w:val="309F198C"/>
    <w:rsid w:val="31483D65"/>
    <w:rsid w:val="315942AD"/>
    <w:rsid w:val="318B18B2"/>
    <w:rsid w:val="334340D6"/>
    <w:rsid w:val="34373783"/>
    <w:rsid w:val="3506593C"/>
    <w:rsid w:val="354B732C"/>
    <w:rsid w:val="35525C8D"/>
    <w:rsid w:val="35BA104B"/>
    <w:rsid w:val="3600383A"/>
    <w:rsid w:val="36D9425E"/>
    <w:rsid w:val="376B7C66"/>
    <w:rsid w:val="37966B87"/>
    <w:rsid w:val="386E3F0F"/>
    <w:rsid w:val="39731763"/>
    <w:rsid w:val="3A3F3577"/>
    <w:rsid w:val="3AC663C2"/>
    <w:rsid w:val="3AFF20E2"/>
    <w:rsid w:val="3B376893"/>
    <w:rsid w:val="3B3F178D"/>
    <w:rsid w:val="3B88742F"/>
    <w:rsid w:val="3BD2418A"/>
    <w:rsid w:val="3BD42A9B"/>
    <w:rsid w:val="3C61200A"/>
    <w:rsid w:val="3CDA5B8A"/>
    <w:rsid w:val="3E0E5E99"/>
    <w:rsid w:val="3ECF1593"/>
    <w:rsid w:val="4096761B"/>
    <w:rsid w:val="40F277FA"/>
    <w:rsid w:val="412363DC"/>
    <w:rsid w:val="41262F71"/>
    <w:rsid w:val="4155681D"/>
    <w:rsid w:val="420430F7"/>
    <w:rsid w:val="423D6369"/>
    <w:rsid w:val="428201A9"/>
    <w:rsid w:val="42F63A71"/>
    <w:rsid w:val="43CF73F8"/>
    <w:rsid w:val="43F200A7"/>
    <w:rsid w:val="444A6D62"/>
    <w:rsid w:val="45F2298D"/>
    <w:rsid w:val="45F501F7"/>
    <w:rsid w:val="461377E3"/>
    <w:rsid w:val="47086B50"/>
    <w:rsid w:val="47090FF2"/>
    <w:rsid w:val="482C777C"/>
    <w:rsid w:val="486E014F"/>
    <w:rsid w:val="48B91309"/>
    <w:rsid w:val="49707ACB"/>
    <w:rsid w:val="4A1E000B"/>
    <w:rsid w:val="4A8A5940"/>
    <w:rsid w:val="4ABB4358"/>
    <w:rsid w:val="4B2B4C18"/>
    <w:rsid w:val="4B831AFA"/>
    <w:rsid w:val="4D075BA9"/>
    <w:rsid w:val="4DDC6C79"/>
    <w:rsid w:val="4DFF036C"/>
    <w:rsid w:val="4E094AF2"/>
    <w:rsid w:val="4E395485"/>
    <w:rsid w:val="4F01706E"/>
    <w:rsid w:val="4FE8008B"/>
    <w:rsid w:val="50194CA8"/>
    <w:rsid w:val="5071465E"/>
    <w:rsid w:val="52F6522C"/>
    <w:rsid w:val="54036FB3"/>
    <w:rsid w:val="543A4A46"/>
    <w:rsid w:val="55D275F5"/>
    <w:rsid w:val="56BC7C92"/>
    <w:rsid w:val="57BF2A13"/>
    <w:rsid w:val="57C705B4"/>
    <w:rsid w:val="58773281"/>
    <w:rsid w:val="58AB0899"/>
    <w:rsid w:val="597E5F94"/>
    <w:rsid w:val="59D23FE7"/>
    <w:rsid w:val="5AA83CB8"/>
    <w:rsid w:val="5AE04450"/>
    <w:rsid w:val="5BEC11EE"/>
    <w:rsid w:val="5D51186D"/>
    <w:rsid w:val="5DA21BAB"/>
    <w:rsid w:val="5E3E5ED5"/>
    <w:rsid w:val="5E5F2735"/>
    <w:rsid w:val="5ED762BB"/>
    <w:rsid w:val="5F827024"/>
    <w:rsid w:val="5FA00F22"/>
    <w:rsid w:val="600841E1"/>
    <w:rsid w:val="60E6184A"/>
    <w:rsid w:val="61BE5EB4"/>
    <w:rsid w:val="61E16E04"/>
    <w:rsid w:val="62233812"/>
    <w:rsid w:val="633571D9"/>
    <w:rsid w:val="637C29F6"/>
    <w:rsid w:val="64322C46"/>
    <w:rsid w:val="64851C23"/>
    <w:rsid w:val="661660BD"/>
    <w:rsid w:val="68BA0A2B"/>
    <w:rsid w:val="6905191F"/>
    <w:rsid w:val="695D17AF"/>
    <w:rsid w:val="6A227E0B"/>
    <w:rsid w:val="6A49117F"/>
    <w:rsid w:val="6A692E06"/>
    <w:rsid w:val="6ADD0D90"/>
    <w:rsid w:val="6B9A3F1E"/>
    <w:rsid w:val="6BBD7A4A"/>
    <w:rsid w:val="6BF545A7"/>
    <w:rsid w:val="6C2023C6"/>
    <w:rsid w:val="6C490466"/>
    <w:rsid w:val="6D7A4342"/>
    <w:rsid w:val="6D85299B"/>
    <w:rsid w:val="6E9E1D09"/>
    <w:rsid w:val="70506E84"/>
    <w:rsid w:val="70B81FEA"/>
    <w:rsid w:val="71B50A26"/>
    <w:rsid w:val="71F90CBC"/>
    <w:rsid w:val="72E02E5A"/>
    <w:rsid w:val="730C45AB"/>
    <w:rsid w:val="738C5B1F"/>
    <w:rsid w:val="75773E59"/>
    <w:rsid w:val="7593133F"/>
    <w:rsid w:val="765E04A0"/>
    <w:rsid w:val="766F163C"/>
    <w:rsid w:val="777D0569"/>
    <w:rsid w:val="77E86A1E"/>
    <w:rsid w:val="79E312EC"/>
    <w:rsid w:val="79EB7B0C"/>
    <w:rsid w:val="7A377F36"/>
    <w:rsid w:val="7A7B631A"/>
    <w:rsid w:val="7A914D99"/>
    <w:rsid w:val="7B8C4B3E"/>
    <w:rsid w:val="7C890D6B"/>
    <w:rsid w:val="7EF80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BF2A79"/>
  <w15:docId w15:val="{94E82DCC-A36F-3D42-9598-E2400129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huangning</dc:creator>
  <cp:lastModifiedBy>黄 柠</cp:lastModifiedBy>
  <cp:revision>3</cp:revision>
  <dcterms:created xsi:type="dcterms:W3CDTF">2020-06-28T07:40:00Z</dcterms:created>
  <dcterms:modified xsi:type="dcterms:W3CDTF">2021-02-07T08:47:00Z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