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8588" w14:textId="05647F25" w:rsidR="00FA4062" w:rsidRDefault="000A696C">
      <w:pPr>
        <w:tabs>
          <w:tab w:val="right" w:pos="7666"/>
        </w:tabs>
        <w:spacing w:line="560" w:lineRule="exact"/>
        <w:ind w:firstLineChars="200" w:firstLine="640"/>
        <w:outlineLvl w:val="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全球六大金融市场</w:t>
      </w:r>
    </w:p>
    <w:p w14:paraId="7167AD10" w14:textId="77777777" w:rsidR="00FA4062" w:rsidRDefault="000A696C">
      <w:pPr>
        <w:tabs>
          <w:tab w:val="right" w:pos="7666"/>
        </w:tabs>
        <w:spacing w:line="560" w:lineRule="exact"/>
        <w:ind w:firstLineChars="200" w:firstLine="640"/>
        <w:rPr>
          <w:rFonts w:asciiTheme="minorEastAsia" w:hAnsiTheme="minorEastAsia" w:cstheme="minorEastAsia"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sz w:val="32"/>
          <w:szCs w:val="32"/>
        </w:rPr>
        <w:t>目前全球金融市场主要包括数字货币、期货、股票、外汇、期权、债券。</w:t>
      </w:r>
      <w:r>
        <w:rPr>
          <w:rFonts w:asciiTheme="minorEastAsia" w:hAnsiTheme="minorEastAsia" w:cstheme="minorEastAsia" w:hint="eastAsia"/>
          <w:sz w:val="32"/>
          <w:szCs w:val="32"/>
          <w:u w:val="single"/>
        </w:rPr>
        <w:t>目前CTA策略最适用于数字货币，其次是期货。</w:t>
      </w:r>
    </w:p>
    <w:p w14:paraId="316725FD" w14:textId="77777777" w:rsidR="00FA4062" w:rsidRDefault="000A696C">
      <w:pPr>
        <w:tabs>
          <w:tab w:val="right" w:pos="7666"/>
        </w:tabs>
        <w:spacing w:line="560" w:lineRule="exact"/>
        <w:ind w:firstLineChars="200" w:firstLine="643"/>
        <w:rPr>
          <w:rFonts w:asciiTheme="minorEastAsia" w:hAnsiTheme="minorEastAsia" w:cstheme="minorEastAsia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数字货币：</w:t>
      </w:r>
      <w:r>
        <w:rPr>
          <w:rFonts w:asciiTheme="minorEastAsia" w:hAnsiTheme="minorEastAsia" w:cstheme="minorEastAsia" w:hint="eastAsia"/>
          <w:sz w:val="32"/>
          <w:szCs w:val="32"/>
        </w:rPr>
        <w:t>目前主要有国外的</w:t>
      </w:r>
      <w:proofErr w:type="spellStart"/>
      <w:r>
        <w:rPr>
          <w:rFonts w:asciiTheme="minorEastAsia" w:hAnsiTheme="minorEastAsia" w:cstheme="minorEastAsia" w:hint="eastAsia"/>
          <w:sz w:val="32"/>
          <w:szCs w:val="32"/>
        </w:rPr>
        <w:t>BitMEX</w:t>
      </w:r>
      <w:proofErr w:type="spellEnd"/>
      <w:r>
        <w:rPr>
          <w:rFonts w:asciiTheme="minorEastAsia" w:hAnsiTheme="minorEastAsia" w:cstheme="minorEastAsia" w:hint="eastAsia"/>
          <w:sz w:val="32"/>
          <w:szCs w:val="32"/>
        </w:rPr>
        <w:t>；国内主要有火币、OK币、币安、</w:t>
      </w:r>
      <w:proofErr w:type="spellStart"/>
      <w:r>
        <w:rPr>
          <w:rFonts w:asciiTheme="minorEastAsia" w:hAnsiTheme="minorEastAsia" w:cstheme="minorEastAsia" w:hint="eastAsia"/>
          <w:sz w:val="32"/>
          <w:szCs w:val="32"/>
        </w:rPr>
        <w:t>Bybit</w:t>
      </w:r>
      <w:proofErr w:type="spellEnd"/>
      <w:r>
        <w:rPr>
          <w:rFonts w:asciiTheme="minorEastAsia" w:hAnsiTheme="minorEastAsia" w:cstheme="minorEastAsia" w:hint="eastAsia"/>
          <w:sz w:val="32"/>
          <w:szCs w:val="32"/>
        </w:rPr>
        <w:t>。其中</w:t>
      </w:r>
      <w:proofErr w:type="spellStart"/>
      <w:r>
        <w:rPr>
          <w:rFonts w:asciiTheme="minorEastAsia" w:hAnsiTheme="minorEastAsia" w:cstheme="minorEastAsia" w:hint="eastAsia"/>
          <w:sz w:val="32"/>
          <w:szCs w:val="32"/>
        </w:rPr>
        <w:t>BitMEX</w:t>
      </w:r>
      <w:proofErr w:type="spellEnd"/>
      <w:r>
        <w:rPr>
          <w:rFonts w:asciiTheme="minorEastAsia" w:hAnsiTheme="minorEastAsia" w:cstheme="minorEastAsia" w:hint="eastAsia"/>
          <w:sz w:val="32"/>
          <w:szCs w:val="32"/>
        </w:rPr>
        <w:t>和币安能够提供质量较好的回测数据，其余的提供的历史数据难以用于回测。</w:t>
      </w:r>
    </w:p>
    <w:p w14:paraId="5D293965" w14:textId="77777777" w:rsidR="00FA4062" w:rsidRDefault="000A696C">
      <w:pPr>
        <w:tabs>
          <w:tab w:val="right" w:pos="7666"/>
        </w:tabs>
        <w:spacing w:line="560" w:lineRule="exact"/>
        <w:ind w:firstLineChars="200" w:firstLine="643"/>
        <w:rPr>
          <w:rFonts w:asciiTheme="minorEastAsia" w:hAnsiTheme="minorEastAsia" w:cstheme="minorEastAsia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期货：</w:t>
      </w:r>
      <w:r>
        <w:rPr>
          <w:rFonts w:asciiTheme="minorEastAsia" w:hAnsiTheme="minorEastAsia" w:cstheme="minorEastAsia" w:hint="eastAsia"/>
          <w:sz w:val="32"/>
          <w:szCs w:val="32"/>
        </w:rPr>
        <w:t>从2019年下半年开始，国内期货市场逐渐开始活跃，波动幅度逐渐增大，量化交易获利空间逐渐增大。</w:t>
      </w:r>
    </w:p>
    <w:p w14:paraId="118BB368" w14:textId="77777777" w:rsidR="00FA4062" w:rsidRDefault="000A696C">
      <w:pPr>
        <w:tabs>
          <w:tab w:val="right" w:pos="7666"/>
        </w:tabs>
        <w:spacing w:line="560" w:lineRule="exact"/>
        <w:ind w:firstLineChars="200" w:firstLine="643"/>
        <w:rPr>
          <w:rFonts w:asciiTheme="minorEastAsia" w:hAnsiTheme="minorEastAsia" w:cstheme="minorEastAsia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股票：</w:t>
      </w:r>
      <w:r>
        <w:rPr>
          <w:rFonts w:asciiTheme="minorEastAsia" w:hAnsiTheme="minorEastAsia" w:cstheme="minorEastAsia" w:hint="eastAsia"/>
          <w:sz w:val="32"/>
          <w:szCs w:val="32"/>
        </w:rPr>
        <w:t>目前中国的股票市场没有做空机制，而且是t+1交易模式，不能适用CTA策略。</w:t>
      </w:r>
    </w:p>
    <w:p w14:paraId="376E5CD9" w14:textId="77777777" w:rsidR="00FA4062" w:rsidRDefault="000A696C">
      <w:pPr>
        <w:tabs>
          <w:tab w:val="right" w:pos="7666"/>
        </w:tabs>
        <w:spacing w:line="560" w:lineRule="exact"/>
        <w:ind w:firstLineChars="200" w:firstLine="643"/>
        <w:rPr>
          <w:rFonts w:asciiTheme="minorEastAsia" w:hAnsiTheme="minorEastAsia" w:cstheme="minorEastAsia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外汇：</w:t>
      </w:r>
      <w:r>
        <w:rPr>
          <w:rFonts w:asciiTheme="minorEastAsia" w:hAnsiTheme="minorEastAsia" w:cstheme="minorEastAsia" w:hint="eastAsia"/>
          <w:sz w:val="32"/>
          <w:szCs w:val="32"/>
        </w:rPr>
        <w:t>外汇市场需要全世界顶级交易者竞争，获利难度较大。</w:t>
      </w:r>
    </w:p>
    <w:p w14:paraId="1FECAFED" w14:textId="77777777" w:rsidR="00FA4062" w:rsidRDefault="000A696C">
      <w:pPr>
        <w:tabs>
          <w:tab w:val="right" w:pos="7666"/>
        </w:tabs>
        <w:spacing w:line="560" w:lineRule="exact"/>
        <w:ind w:firstLineChars="200" w:firstLine="643"/>
        <w:rPr>
          <w:rFonts w:asciiTheme="minorEastAsia" w:hAnsiTheme="minorEastAsia" w:cstheme="minorEastAsia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期权：</w:t>
      </w:r>
      <w:r>
        <w:rPr>
          <w:rFonts w:asciiTheme="minorEastAsia" w:hAnsiTheme="minorEastAsia" w:cstheme="minorEastAsia" w:hint="eastAsia"/>
          <w:sz w:val="32"/>
          <w:szCs w:val="32"/>
        </w:rPr>
        <w:t>期权交易主要基于波动率交易原理和套利交易原理，和CTA策略的趋势跟踪交易原理不一样。</w:t>
      </w:r>
    </w:p>
    <w:p w14:paraId="5625C853" w14:textId="77777777" w:rsidR="00FA4062" w:rsidRDefault="000A696C">
      <w:pPr>
        <w:tabs>
          <w:tab w:val="right" w:pos="7666"/>
        </w:tabs>
        <w:spacing w:line="560" w:lineRule="exact"/>
        <w:ind w:firstLineChars="200" w:firstLine="643"/>
        <w:rPr>
          <w:rFonts w:asciiTheme="minorEastAsia" w:hAnsiTheme="minorEastAsia" w:cstheme="minorEastAsia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债券：</w:t>
      </w:r>
      <w:r>
        <w:rPr>
          <w:rFonts w:asciiTheme="minorEastAsia" w:hAnsiTheme="minorEastAsia" w:cstheme="minorEastAsia" w:hint="eastAsia"/>
          <w:sz w:val="32"/>
          <w:szCs w:val="32"/>
        </w:rPr>
        <w:t>债券价格主要围绕利率波动，有较强的均值回归特征，也不适用于CTA策略。</w:t>
      </w:r>
    </w:p>
    <w:sectPr w:rsidR="00FA406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230A0" w14:textId="77777777" w:rsidR="002964FE" w:rsidRDefault="002964FE">
      <w:r>
        <w:separator/>
      </w:r>
    </w:p>
  </w:endnote>
  <w:endnote w:type="continuationSeparator" w:id="0">
    <w:p w14:paraId="725C7904" w14:textId="77777777" w:rsidR="002964FE" w:rsidRDefault="0029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10687" w14:textId="77777777" w:rsidR="00FA4062" w:rsidRDefault="000A696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E750DB" wp14:editId="5E15E61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298017" w14:textId="77777777" w:rsidR="00FA4062" w:rsidRDefault="000A696C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A31FE" w14:textId="77777777" w:rsidR="002964FE" w:rsidRDefault="002964FE">
      <w:r>
        <w:separator/>
      </w:r>
    </w:p>
  </w:footnote>
  <w:footnote w:type="continuationSeparator" w:id="0">
    <w:p w14:paraId="1B546800" w14:textId="77777777" w:rsidR="002964FE" w:rsidRDefault="00296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062"/>
    <w:rsid w:val="000A696C"/>
    <w:rsid w:val="002964FE"/>
    <w:rsid w:val="00523A29"/>
    <w:rsid w:val="00703C29"/>
    <w:rsid w:val="00E828F9"/>
    <w:rsid w:val="00FA4062"/>
    <w:rsid w:val="016F5620"/>
    <w:rsid w:val="01D0641C"/>
    <w:rsid w:val="01D4376C"/>
    <w:rsid w:val="020341FE"/>
    <w:rsid w:val="028E07C3"/>
    <w:rsid w:val="02BB2B05"/>
    <w:rsid w:val="042B2636"/>
    <w:rsid w:val="055400E0"/>
    <w:rsid w:val="05FF6CF5"/>
    <w:rsid w:val="07131027"/>
    <w:rsid w:val="07837594"/>
    <w:rsid w:val="07D95A1A"/>
    <w:rsid w:val="07F265D5"/>
    <w:rsid w:val="0819378E"/>
    <w:rsid w:val="090029B8"/>
    <w:rsid w:val="09E67D98"/>
    <w:rsid w:val="09EB3AF5"/>
    <w:rsid w:val="0AD20742"/>
    <w:rsid w:val="0C234065"/>
    <w:rsid w:val="0DCF17FA"/>
    <w:rsid w:val="0E93084F"/>
    <w:rsid w:val="0FFF6566"/>
    <w:rsid w:val="107804C1"/>
    <w:rsid w:val="11071AA3"/>
    <w:rsid w:val="117629FB"/>
    <w:rsid w:val="119E6865"/>
    <w:rsid w:val="11B2013E"/>
    <w:rsid w:val="126E7299"/>
    <w:rsid w:val="136A6E55"/>
    <w:rsid w:val="18851C75"/>
    <w:rsid w:val="18950A7C"/>
    <w:rsid w:val="18F73F2E"/>
    <w:rsid w:val="197F5021"/>
    <w:rsid w:val="1AA91920"/>
    <w:rsid w:val="1BF875CA"/>
    <w:rsid w:val="1CD6404D"/>
    <w:rsid w:val="1D4B68D1"/>
    <w:rsid w:val="1F446B45"/>
    <w:rsid w:val="20B717FD"/>
    <w:rsid w:val="21951C51"/>
    <w:rsid w:val="21AF7884"/>
    <w:rsid w:val="24041AED"/>
    <w:rsid w:val="241F04A1"/>
    <w:rsid w:val="244F5B24"/>
    <w:rsid w:val="2454712E"/>
    <w:rsid w:val="24994FB9"/>
    <w:rsid w:val="253D4C73"/>
    <w:rsid w:val="26E21E04"/>
    <w:rsid w:val="274D0B6D"/>
    <w:rsid w:val="27F64CE6"/>
    <w:rsid w:val="28367580"/>
    <w:rsid w:val="28D1769C"/>
    <w:rsid w:val="2B2709F3"/>
    <w:rsid w:val="2C18368C"/>
    <w:rsid w:val="2C6B2C8F"/>
    <w:rsid w:val="2D2D0E3A"/>
    <w:rsid w:val="2D6E3B45"/>
    <w:rsid w:val="2DDA7A75"/>
    <w:rsid w:val="2E252E5D"/>
    <w:rsid w:val="2EA71814"/>
    <w:rsid w:val="2F5D5156"/>
    <w:rsid w:val="2F8F7634"/>
    <w:rsid w:val="309F198C"/>
    <w:rsid w:val="31483D65"/>
    <w:rsid w:val="315942AD"/>
    <w:rsid w:val="318B18B2"/>
    <w:rsid w:val="334340D6"/>
    <w:rsid w:val="34373783"/>
    <w:rsid w:val="3506593C"/>
    <w:rsid w:val="354B732C"/>
    <w:rsid w:val="35525C8D"/>
    <w:rsid w:val="35BA104B"/>
    <w:rsid w:val="3600383A"/>
    <w:rsid w:val="36D9425E"/>
    <w:rsid w:val="376B7C66"/>
    <w:rsid w:val="37966B87"/>
    <w:rsid w:val="386E3F0F"/>
    <w:rsid w:val="39731763"/>
    <w:rsid w:val="3A3F3577"/>
    <w:rsid w:val="3AC663C2"/>
    <w:rsid w:val="3AFF20E2"/>
    <w:rsid w:val="3B376893"/>
    <w:rsid w:val="3B3F178D"/>
    <w:rsid w:val="3B88742F"/>
    <w:rsid w:val="3BD2418A"/>
    <w:rsid w:val="3BD42A9B"/>
    <w:rsid w:val="3C61200A"/>
    <w:rsid w:val="3CDA5B8A"/>
    <w:rsid w:val="3E0E5E99"/>
    <w:rsid w:val="3ECF1593"/>
    <w:rsid w:val="4096761B"/>
    <w:rsid w:val="40F277FA"/>
    <w:rsid w:val="412363DC"/>
    <w:rsid w:val="41262F71"/>
    <w:rsid w:val="4155681D"/>
    <w:rsid w:val="420430F7"/>
    <w:rsid w:val="423D6369"/>
    <w:rsid w:val="428201A9"/>
    <w:rsid w:val="42F63A71"/>
    <w:rsid w:val="43CF73F8"/>
    <w:rsid w:val="43F200A7"/>
    <w:rsid w:val="444A6D62"/>
    <w:rsid w:val="45F2298D"/>
    <w:rsid w:val="45F501F7"/>
    <w:rsid w:val="461377E3"/>
    <w:rsid w:val="47086B50"/>
    <w:rsid w:val="47090FF2"/>
    <w:rsid w:val="482C777C"/>
    <w:rsid w:val="486E014F"/>
    <w:rsid w:val="48B91309"/>
    <w:rsid w:val="49707ACB"/>
    <w:rsid w:val="4A1E000B"/>
    <w:rsid w:val="4A8A5940"/>
    <w:rsid w:val="4ABB4358"/>
    <w:rsid w:val="4B2B4C18"/>
    <w:rsid w:val="4B831AFA"/>
    <w:rsid w:val="4D075BA9"/>
    <w:rsid w:val="4DDC6C79"/>
    <w:rsid w:val="4DFF036C"/>
    <w:rsid w:val="4E094AF2"/>
    <w:rsid w:val="4E395485"/>
    <w:rsid w:val="4F01706E"/>
    <w:rsid w:val="4FE8008B"/>
    <w:rsid w:val="50194CA8"/>
    <w:rsid w:val="5071465E"/>
    <w:rsid w:val="52F6522C"/>
    <w:rsid w:val="54036FB3"/>
    <w:rsid w:val="543A4A46"/>
    <w:rsid w:val="55D275F5"/>
    <w:rsid w:val="56BC7C92"/>
    <w:rsid w:val="57BF2A13"/>
    <w:rsid w:val="57C705B4"/>
    <w:rsid w:val="58773281"/>
    <w:rsid w:val="58AB0899"/>
    <w:rsid w:val="597E5F94"/>
    <w:rsid w:val="59D23FE7"/>
    <w:rsid w:val="5AA83CB8"/>
    <w:rsid w:val="5AE04450"/>
    <w:rsid w:val="5BEC11EE"/>
    <w:rsid w:val="5D51186D"/>
    <w:rsid w:val="5DA21BAB"/>
    <w:rsid w:val="5E3E5ED5"/>
    <w:rsid w:val="5E5F2735"/>
    <w:rsid w:val="5ED762BB"/>
    <w:rsid w:val="5F827024"/>
    <w:rsid w:val="5FA00F22"/>
    <w:rsid w:val="600841E1"/>
    <w:rsid w:val="60E6184A"/>
    <w:rsid w:val="61BE5EB4"/>
    <w:rsid w:val="61E16E04"/>
    <w:rsid w:val="62233812"/>
    <w:rsid w:val="633571D9"/>
    <w:rsid w:val="637C29F6"/>
    <w:rsid w:val="64322C46"/>
    <w:rsid w:val="64851C23"/>
    <w:rsid w:val="661660BD"/>
    <w:rsid w:val="68BA0A2B"/>
    <w:rsid w:val="6905191F"/>
    <w:rsid w:val="695D17AF"/>
    <w:rsid w:val="6A227E0B"/>
    <w:rsid w:val="6A49117F"/>
    <w:rsid w:val="6A692E06"/>
    <w:rsid w:val="6ADD0D90"/>
    <w:rsid w:val="6B9A3F1E"/>
    <w:rsid w:val="6BBD7A4A"/>
    <w:rsid w:val="6BF545A7"/>
    <w:rsid w:val="6C2023C6"/>
    <w:rsid w:val="6C490466"/>
    <w:rsid w:val="6D7A4342"/>
    <w:rsid w:val="6D85299B"/>
    <w:rsid w:val="6E9E1D09"/>
    <w:rsid w:val="70506E84"/>
    <w:rsid w:val="70B81FEA"/>
    <w:rsid w:val="71B50A26"/>
    <w:rsid w:val="71F90CBC"/>
    <w:rsid w:val="72E02E5A"/>
    <w:rsid w:val="730C45AB"/>
    <w:rsid w:val="738C5B1F"/>
    <w:rsid w:val="75773E59"/>
    <w:rsid w:val="7593133F"/>
    <w:rsid w:val="765E04A0"/>
    <w:rsid w:val="766F163C"/>
    <w:rsid w:val="777D0569"/>
    <w:rsid w:val="77E86A1E"/>
    <w:rsid w:val="79E312EC"/>
    <w:rsid w:val="79EB7B0C"/>
    <w:rsid w:val="7A377F36"/>
    <w:rsid w:val="7A7B631A"/>
    <w:rsid w:val="7A914D99"/>
    <w:rsid w:val="7B8C4B3E"/>
    <w:rsid w:val="7C890D6B"/>
    <w:rsid w:val="7EF8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BF2A79"/>
  <w15:docId w15:val="{94E82DCC-A36F-3D42-9598-E2400129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huangning</dc:creator>
  <cp:lastModifiedBy>黄 柠</cp:lastModifiedBy>
  <cp:revision>3</cp:revision>
  <dcterms:created xsi:type="dcterms:W3CDTF">2020-06-28T07:40:00Z</dcterms:created>
  <dcterms:modified xsi:type="dcterms:W3CDTF">2021-02-07T08:47:00Z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