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CTA策略开发学习笔记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一、CTA策略获利的理论基础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好的CTA策略应该是非常简洁的。真正有用的交易信号条件很少，策略开发者要做的就是从纷繁复杂的指标中找出少数几个真正有用的策略条件。完整的</w:t>
      </w:r>
      <w:r>
        <w:rPr>
          <w:rFonts w:hint="eastAsia" w:asciiTheme="minorEastAsia" w:hAnsiTheme="minorEastAsia" w:eastAsiaTheme="minorEastAsia" w:cstheme="minorEastAsia"/>
          <w:b w:val="0"/>
          <w:bCs w:val="0"/>
          <w:sz w:val="32"/>
          <w:szCs w:val="32"/>
          <w:lang w:val="en-US" w:eastAsia="zh-CN"/>
        </w:rPr>
        <w:t>CTA策略</w:t>
      </w:r>
      <w:r>
        <w:rPr>
          <w:rFonts w:hint="eastAsia" w:asciiTheme="minorEastAsia" w:hAnsiTheme="minorEastAsia" w:cstheme="minorEastAsia"/>
          <w:b w:val="0"/>
          <w:bCs w:val="0"/>
          <w:sz w:val="32"/>
          <w:szCs w:val="32"/>
          <w:lang w:val="en-US" w:eastAsia="zh-CN"/>
        </w:rPr>
        <w:t>应该包含以下4个部分：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（一）信号：赌涨还是赌跌。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eastAsiaTheme="minorEastAsia" w:cstheme="minorEastAsia"/>
          <w:b w:val="0"/>
          <w:bCs w:val="0"/>
          <w:sz w:val="32"/>
          <w:szCs w:val="32"/>
          <w:lang w:val="en-US" w:eastAsia="zh-CN"/>
        </w:rPr>
      </w:pPr>
      <w:r>
        <w:rPr>
          <w:rFonts w:hint="eastAsia" w:asciiTheme="minorEastAsia" w:hAnsiTheme="minorEastAsia" w:eastAsiaTheme="minorEastAsia" w:cstheme="minorEastAsia"/>
          <w:b w:val="0"/>
          <w:bCs w:val="0"/>
          <w:sz w:val="32"/>
          <w:szCs w:val="32"/>
          <w:lang w:val="en-US" w:eastAsia="zh-CN"/>
        </w:rPr>
        <w:t>用于判断什么时候做多，什么时候做空，什么时候不玩。</w:t>
      </w:r>
      <w:r>
        <w:rPr>
          <w:rFonts w:hint="eastAsia" w:asciiTheme="minorEastAsia" w:hAnsiTheme="minorEastAsia" w:cstheme="minorEastAsia"/>
          <w:b w:val="0"/>
          <w:bCs w:val="0"/>
          <w:sz w:val="32"/>
          <w:szCs w:val="32"/>
          <w:lang w:val="en-US" w:eastAsia="zh-CN"/>
        </w:rPr>
        <w:t>反向信号在实践中意义不大，因为反向信号出现的时候，回撤已经比较大了。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（二）过滤：是否该最终下注。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用于对交易信号进行进一步筛选，避免过于频繁的无谓交易，减少交易成本（手续费、滑点）损失。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3600" behindDoc="0" locked="0" layoutInCell="1" allowOverlap="1">
            <wp:simplePos x="0" y="0"/>
            <wp:positionH relativeFrom="column">
              <wp:posOffset>127000</wp:posOffset>
            </wp:positionH>
            <wp:positionV relativeFrom="paragraph">
              <wp:posOffset>277495</wp:posOffset>
            </wp:positionV>
            <wp:extent cx="5274310" cy="2425700"/>
            <wp:effectExtent l="0" t="0" r="2540" b="3175"/>
            <wp:wrapSquare wrapText="bothSides"/>
            <wp:docPr id="32" name="图片 3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jpg"/>
                    <pic:cNvPicPr>
                      <a:picLocks noChangeAspect="1"/>
                    </pic:cNvPicPr>
                  </pic:nvPicPr>
                  <pic:blipFill>
                    <a:blip r:embed="rId5"/>
                    <a:stretch>
                      <a:fillRect/>
                    </a:stretch>
                  </pic:blipFill>
                  <pic:spPr>
                    <a:xfrm>
                      <a:off x="0" y="0"/>
                      <a:ext cx="5274310" cy="2425700"/>
                    </a:xfrm>
                    <a:prstGeom prst="rect">
                      <a:avLst/>
                    </a:prstGeom>
                  </pic:spPr>
                </pic:pic>
              </a:graphicData>
            </a:graphic>
          </wp:anchor>
        </w:drawing>
      </w:r>
      <w:r>
        <w:rPr>
          <w:rFonts w:hint="eastAsia" w:asciiTheme="minorEastAsia" w:hAnsiTheme="minorEastAsia" w:cstheme="minorEastAsia"/>
          <w:b w:val="0"/>
          <w:bCs w:val="0"/>
          <w:sz w:val="32"/>
          <w:szCs w:val="32"/>
          <w:lang w:val="en-US" w:eastAsia="zh-CN"/>
        </w:rPr>
        <w:t>ATR指标不但考虑了价格，还考虑了市场波动程度，是一个比较实用的趋势强度指标。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（三）出场：手气不顺要跑。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用于判断什么时候该平仓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离场。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 w:hAnsi="楷体" w:eastAsia="楷体" w:cs="楷体"/>
          <w:b/>
          <w:bCs/>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4624" behindDoc="0" locked="0" layoutInCell="1" allowOverlap="1">
            <wp:simplePos x="0" y="0"/>
            <wp:positionH relativeFrom="column">
              <wp:posOffset>76200</wp:posOffset>
            </wp:positionH>
            <wp:positionV relativeFrom="paragraph">
              <wp:posOffset>100330</wp:posOffset>
            </wp:positionV>
            <wp:extent cx="5269230" cy="1490345"/>
            <wp:effectExtent l="0" t="0" r="7620" b="5080"/>
            <wp:wrapSquare wrapText="bothSides"/>
            <wp:docPr id="33" name="图片 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
                    <pic:cNvPicPr>
                      <a:picLocks noChangeAspect="1"/>
                    </pic:cNvPicPr>
                  </pic:nvPicPr>
                  <pic:blipFill>
                    <a:blip r:embed="rId6"/>
                    <a:stretch>
                      <a:fillRect/>
                    </a:stretch>
                  </pic:blipFill>
                  <pic:spPr>
                    <a:xfrm>
                      <a:off x="0" y="0"/>
                      <a:ext cx="5269230" cy="1490345"/>
                    </a:xfrm>
                    <a:prstGeom prst="rect">
                      <a:avLst/>
                    </a:prstGeom>
                  </pic:spPr>
                </pic:pic>
              </a:graphicData>
            </a:graphic>
          </wp:anchor>
        </w:drawing>
      </w:r>
      <w:r>
        <w:rPr>
          <w:rFonts w:hint="eastAsia" w:ascii="楷体" w:hAnsi="楷体" w:eastAsia="楷体" w:cs="楷体"/>
          <w:b/>
          <w:bCs/>
          <w:sz w:val="32"/>
          <w:szCs w:val="32"/>
          <w:lang w:val="en-US" w:eastAsia="zh-CN"/>
        </w:rPr>
        <w:t>（四）仓位：每次赌多大。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每次平均下注，可能并非好的做法。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大致的原则应该是市场波动大的时候，仓位应该降下来，市场波动小的时候；市场波动小的时候，仓位逐渐加大。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如何控制：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eastAsia" w:asciiTheme="minorEastAsia" w:hAnsiTheme="minorEastAsia" w:cstheme="minorEastAsia"/>
          <w:b w:val="0"/>
          <w:bCs w:val="0"/>
          <w:sz w:val="32"/>
          <w:szCs w:val="32"/>
          <w:u w:val="single"/>
          <w:lang w:val="en-US" w:eastAsia="zh-CN"/>
        </w:rPr>
        <w:t>描绘市场风险</w:t>
      </w:r>
      <w:r>
        <w:rPr>
          <w:rFonts w:hint="default" w:ascii="Arial" w:hAnsi="Arial" w:cs="Arial"/>
          <w:b w:val="0"/>
          <w:bCs w:val="0"/>
          <w:sz w:val="32"/>
          <w:szCs w:val="32"/>
          <w:u w:val="single"/>
          <w:lang w:val="en-US" w:eastAsia="zh-CN"/>
        </w:rPr>
        <w:t>→</w:t>
      </w:r>
      <w:r>
        <w:rPr>
          <w:rFonts w:hint="eastAsia" w:asciiTheme="minorEastAsia" w:hAnsiTheme="minorEastAsia" w:cstheme="minorEastAsia"/>
          <w:b w:val="0"/>
          <w:bCs w:val="0"/>
          <w:sz w:val="32"/>
          <w:szCs w:val="32"/>
          <w:u w:val="single"/>
          <w:lang w:val="en-US" w:eastAsia="zh-CN"/>
        </w:rPr>
        <w:t>反比例调整仓位</w:t>
      </w:r>
      <w:r>
        <w:rPr>
          <w:rFonts w:hint="default" w:ascii="Arial" w:hAnsi="Arial" w:cs="Arial"/>
          <w:b w:val="0"/>
          <w:bCs w:val="0"/>
          <w:sz w:val="32"/>
          <w:szCs w:val="32"/>
          <w:u w:val="single"/>
          <w:lang w:val="en-US" w:eastAsia="zh-CN"/>
        </w:rPr>
        <w:t>→</w:t>
      </w:r>
      <w:r>
        <w:rPr>
          <w:rFonts w:hint="eastAsia" w:asciiTheme="minorEastAsia" w:hAnsiTheme="minorEastAsia" w:cstheme="minorEastAsia"/>
          <w:b w:val="0"/>
          <w:bCs w:val="0"/>
          <w:sz w:val="32"/>
          <w:szCs w:val="32"/>
          <w:u w:val="single"/>
          <w:lang w:val="en-US" w:eastAsia="zh-CN"/>
        </w:rPr>
        <w:t>平滑资金曲线</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（五）统计指标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资金变动：年化收益率、回撤百分比、收益回撤比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交易统计：总盈亏、总手续费、总滑点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曲线形态：日均收益、标准差、夏普比率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图表分析：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账户净值：看整体的斜度和波动度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净值回撤：看回撤的幅度和时间点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回撤：此前最临近的最高点到目前的价差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每日盈亏：看红绿是否均匀以及大盈利日期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盈亏分布：看右侧是否长尾，分布最高点位于0点左右</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0"/>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（六）决定CTA策略能否盈利的核心逻辑公式</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 交易胜率 * 盈亏比 = 预期收益率</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 预期收益率 * 市场波动 =  预期收益额</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 预期收益额 - 交易成本 = 实际收益额</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 w:hAnsi="楷体" w:eastAsia="楷体" w:cs="楷体"/>
          <w:b/>
          <w:bCs/>
          <w:sz w:val="32"/>
          <w:szCs w:val="32"/>
          <w:lang w:val="en-US" w:eastAsia="zh-CN"/>
        </w:rPr>
      </w:pPr>
      <w:r>
        <w:rPr>
          <w:rFonts w:hint="eastAsia" w:asciiTheme="minorEastAsia" w:hAnsiTheme="minorEastAsia" w:cstheme="minorEastAsia"/>
          <w:b/>
          <w:bCs/>
          <w:sz w:val="32"/>
          <w:szCs w:val="32"/>
          <w:lang w:val="en-US" w:eastAsia="zh-CN"/>
        </w:rPr>
        <w:t>4. 实际收益额*仓位的风险暴露 = 账户的资金曲线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CTA策略的本质是趋势跟踪策略，交易策略的重要核心就是过滤出市场波动足够大的行情，追求的是较高的盈亏比，预期收益往往远高于（数倍/数十倍）交易成本，但相比高频策略而言，交易胜率相对较低。大致可以理解为，虽然时不时会亏钱，但不会亏太多钱，一旦赚钱就会赚很多钱。因此，对CTA策略而言，行情波动幅度越大，越容易获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 w:hAnsi="楷体" w:eastAsia="楷体" w:cs="楷体"/>
          <w:b/>
          <w:bCs/>
          <w:sz w:val="32"/>
          <w:szCs w:val="32"/>
          <w:lang w:val="en-US" w:eastAsia="zh-CN"/>
        </w:rPr>
      </w:pPr>
      <w:r>
        <w:rPr>
          <w:rFonts w:hint="eastAsia" w:asciiTheme="minorEastAsia" w:hAnsiTheme="minorEastAsia" w:cstheme="minorEastAsia"/>
          <w:b w:val="0"/>
          <w:bCs w:val="0"/>
          <w:sz w:val="32"/>
          <w:szCs w:val="32"/>
          <w:lang w:val="en-US" w:eastAsia="zh-CN"/>
        </w:rPr>
        <w:t>高频策略能够盈利的主要原因在于超高的胜率，但相对CTA策略而言盈亏比相对较低，每次交易获利甚微。开发高频交易策略，需要非常细致的tick级甚至更精细数据的建模分析。但实盘交易中，交易员能获得的最精细数据只有tick级的切片数据，要想获得相邻两个tick数据之间的更加精细的行情信息，只有通过成交数据来推理获得。因此，高频交易策略的研发成本非常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如何控制仓位：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描绘市场风险 </w:t>
      </w:r>
      <w:r>
        <w:rPr>
          <w:rFonts w:hint="default" w:ascii="Arial" w:hAnsi="Arial" w:cs="Arial"/>
          <w:b w:val="0"/>
          <w:bCs w:val="0"/>
          <w:sz w:val="32"/>
          <w:szCs w:val="32"/>
          <w:lang w:val="en-US" w:eastAsia="zh-CN"/>
        </w:rPr>
        <w:t>→</w:t>
      </w:r>
      <w:r>
        <w:rPr>
          <w:rFonts w:hint="eastAsia" w:asciiTheme="minorEastAsia" w:hAnsiTheme="minorEastAsia" w:cstheme="minorEastAsia"/>
          <w:b w:val="0"/>
          <w:bCs w:val="0"/>
          <w:sz w:val="32"/>
          <w:szCs w:val="32"/>
          <w:lang w:val="en-US" w:eastAsia="zh-CN"/>
        </w:rPr>
        <w:t xml:space="preserve"> 反比例调整仓位 </w:t>
      </w:r>
      <w:r>
        <w:rPr>
          <w:rFonts w:hint="default" w:ascii="Arial" w:hAnsi="Arial" w:cs="Arial"/>
          <w:b w:val="0"/>
          <w:bCs w:val="0"/>
          <w:sz w:val="32"/>
          <w:szCs w:val="32"/>
          <w:lang w:val="en-US" w:eastAsia="zh-CN"/>
        </w:rPr>
        <w:t>→</w:t>
      </w:r>
      <w:r>
        <w:rPr>
          <w:rFonts w:hint="eastAsia" w:asciiTheme="minorEastAsia" w:hAnsiTheme="minorEastAsia" w:cstheme="minorEastAsia"/>
          <w:b w:val="0"/>
          <w:bCs w:val="0"/>
          <w:sz w:val="32"/>
          <w:szCs w:val="32"/>
          <w:lang w:val="en-US" w:eastAsia="zh-CN"/>
        </w:rPr>
        <w:t xml:space="preserve"> 平滑资金曲线</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二、全球六大金融市场</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single"/>
          <w:lang w:val="en-US" w:eastAsia="zh-CN"/>
        </w:rPr>
      </w:pPr>
      <w:r>
        <w:rPr>
          <w:rFonts w:hint="eastAsia" w:asciiTheme="minorEastAsia" w:hAnsiTheme="minorEastAsia" w:cstheme="minorEastAsia"/>
          <w:b w:val="0"/>
          <w:bCs w:val="0"/>
          <w:sz w:val="32"/>
          <w:szCs w:val="32"/>
          <w:lang w:val="en-US" w:eastAsia="zh-CN"/>
        </w:rPr>
        <w:t>目前全球金融市场主要包括数字货币、期货、股票、外汇、期权、债券。</w:t>
      </w:r>
      <w:r>
        <w:rPr>
          <w:rFonts w:hint="eastAsia" w:asciiTheme="minorEastAsia" w:hAnsiTheme="minorEastAsia" w:cstheme="minorEastAsia"/>
          <w:b w:val="0"/>
          <w:bCs w:val="0"/>
          <w:sz w:val="32"/>
          <w:szCs w:val="32"/>
          <w:u w:val="single"/>
          <w:lang w:val="en-US" w:eastAsia="zh-CN"/>
        </w:rPr>
        <w:t>目前CTA策略最适用于数字货币，其次是期货。</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数字货币：</w:t>
      </w:r>
      <w:r>
        <w:rPr>
          <w:rFonts w:hint="eastAsia" w:asciiTheme="minorEastAsia" w:hAnsiTheme="minorEastAsia" w:cstheme="minorEastAsia"/>
          <w:b w:val="0"/>
          <w:bCs w:val="0"/>
          <w:sz w:val="32"/>
          <w:szCs w:val="32"/>
          <w:lang w:val="en-US" w:eastAsia="zh-CN"/>
        </w:rPr>
        <w:t>目前主要有国外的BitMEX；国内主要有火币、OK币、币安、Bybit。其中BitMEX和币安能够提供质量较好的回测数据，其余的提供的历史数据难以用于回测。</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期货：</w:t>
      </w:r>
      <w:r>
        <w:rPr>
          <w:rFonts w:hint="eastAsia" w:asciiTheme="minorEastAsia" w:hAnsiTheme="minorEastAsia" w:cstheme="minorEastAsia"/>
          <w:b w:val="0"/>
          <w:bCs w:val="0"/>
          <w:sz w:val="32"/>
          <w:szCs w:val="32"/>
          <w:lang w:val="en-US" w:eastAsia="zh-CN"/>
        </w:rPr>
        <w:t>从2019年下半年开始，国内期货市场逐渐开始活跃，波动幅度逐渐增大，量化交易获利空间逐渐增大。</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股票：</w:t>
      </w:r>
      <w:r>
        <w:rPr>
          <w:rFonts w:hint="eastAsia" w:asciiTheme="minorEastAsia" w:hAnsiTheme="minorEastAsia" w:cstheme="minorEastAsia"/>
          <w:b w:val="0"/>
          <w:bCs w:val="0"/>
          <w:sz w:val="32"/>
          <w:szCs w:val="32"/>
          <w:lang w:val="en-US" w:eastAsia="zh-CN"/>
        </w:rPr>
        <w:t>目前中国的股票市场没有做空机制，而且是t+1交易模式，不能适用CTA策略。</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外汇：</w:t>
      </w:r>
      <w:r>
        <w:rPr>
          <w:rFonts w:hint="eastAsia" w:asciiTheme="minorEastAsia" w:hAnsiTheme="minorEastAsia" w:cstheme="minorEastAsia"/>
          <w:b w:val="0"/>
          <w:bCs w:val="0"/>
          <w:sz w:val="32"/>
          <w:szCs w:val="32"/>
          <w:lang w:val="en-US" w:eastAsia="zh-CN"/>
        </w:rPr>
        <w:t>外汇市场需要全世界顶级交易者竞争，获利难度较大。</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期权：</w:t>
      </w:r>
      <w:r>
        <w:rPr>
          <w:rFonts w:hint="eastAsia" w:asciiTheme="minorEastAsia" w:hAnsiTheme="minorEastAsia" w:cstheme="minorEastAsia"/>
          <w:b w:val="0"/>
          <w:bCs w:val="0"/>
          <w:sz w:val="32"/>
          <w:szCs w:val="32"/>
          <w:lang w:val="en-US" w:eastAsia="zh-CN"/>
        </w:rPr>
        <w:t>期权交易主要基于波动率交易原理和套利交易原理，和CTA策略的趋势跟踪交易原理不一样。</w:t>
      </w:r>
    </w:p>
    <w:p>
      <w:pPr>
        <w:keepNext w:val="0"/>
        <w:keepLines w:val="0"/>
        <w:pageBreakBefore w:val="0"/>
        <w:widowControl w:val="0"/>
        <w:tabs>
          <w:tab w:val="right" w:pos="7666"/>
        </w:tabs>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债券：</w:t>
      </w:r>
      <w:r>
        <w:rPr>
          <w:rFonts w:hint="eastAsia" w:asciiTheme="minorEastAsia" w:hAnsiTheme="minorEastAsia" w:cstheme="minorEastAsia"/>
          <w:b w:val="0"/>
          <w:bCs w:val="0"/>
          <w:sz w:val="32"/>
          <w:szCs w:val="32"/>
          <w:lang w:val="en-US" w:eastAsia="zh-CN"/>
        </w:rPr>
        <w:t>债券价格主要围绕利率波动，有较强的均值回归特征，也不适用于CTA策略。</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28F9"/>
    <w:rsid w:val="016F5620"/>
    <w:rsid w:val="01D0641C"/>
    <w:rsid w:val="01D4376C"/>
    <w:rsid w:val="020341FE"/>
    <w:rsid w:val="028E07C3"/>
    <w:rsid w:val="02BB2B05"/>
    <w:rsid w:val="042B2636"/>
    <w:rsid w:val="055400E0"/>
    <w:rsid w:val="05FF6CF5"/>
    <w:rsid w:val="07131027"/>
    <w:rsid w:val="07837594"/>
    <w:rsid w:val="07D95A1A"/>
    <w:rsid w:val="07F265D5"/>
    <w:rsid w:val="0819378E"/>
    <w:rsid w:val="090029B8"/>
    <w:rsid w:val="09E67D98"/>
    <w:rsid w:val="09EB3AF5"/>
    <w:rsid w:val="0AD20742"/>
    <w:rsid w:val="0C234065"/>
    <w:rsid w:val="0DCF17FA"/>
    <w:rsid w:val="0E93084F"/>
    <w:rsid w:val="0FFF6566"/>
    <w:rsid w:val="107804C1"/>
    <w:rsid w:val="11071AA3"/>
    <w:rsid w:val="117629FB"/>
    <w:rsid w:val="119E6865"/>
    <w:rsid w:val="11B2013E"/>
    <w:rsid w:val="126E7299"/>
    <w:rsid w:val="136A6E55"/>
    <w:rsid w:val="18851C75"/>
    <w:rsid w:val="18950A7C"/>
    <w:rsid w:val="18F73F2E"/>
    <w:rsid w:val="197F5021"/>
    <w:rsid w:val="1AA91920"/>
    <w:rsid w:val="1BF875CA"/>
    <w:rsid w:val="1CD6404D"/>
    <w:rsid w:val="1D4B68D1"/>
    <w:rsid w:val="1F446B45"/>
    <w:rsid w:val="20B717FD"/>
    <w:rsid w:val="21951C51"/>
    <w:rsid w:val="21AF7884"/>
    <w:rsid w:val="24041AED"/>
    <w:rsid w:val="241F04A1"/>
    <w:rsid w:val="244F5B24"/>
    <w:rsid w:val="2454712E"/>
    <w:rsid w:val="24994FB9"/>
    <w:rsid w:val="253D4C73"/>
    <w:rsid w:val="26E21E04"/>
    <w:rsid w:val="274D0B6D"/>
    <w:rsid w:val="27F64CE6"/>
    <w:rsid w:val="28367580"/>
    <w:rsid w:val="28D1769C"/>
    <w:rsid w:val="2B2709F3"/>
    <w:rsid w:val="2C18368C"/>
    <w:rsid w:val="2C6B2C8F"/>
    <w:rsid w:val="2D2D0E3A"/>
    <w:rsid w:val="2D6E3B45"/>
    <w:rsid w:val="2DDA7A75"/>
    <w:rsid w:val="2E252E5D"/>
    <w:rsid w:val="2EA71814"/>
    <w:rsid w:val="2F5D5156"/>
    <w:rsid w:val="2F8F7634"/>
    <w:rsid w:val="309F198C"/>
    <w:rsid w:val="31483D65"/>
    <w:rsid w:val="315942AD"/>
    <w:rsid w:val="318B18B2"/>
    <w:rsid w:val="334340D6"/>
    <w:rsid w:val="34373783"/>
    <w:rsid w:val="3506593C"/>
    <w:rsid w:val="354B732C"/>
    <w:rsid w:val="35525C8D"/>
    <w:rsid w:val="35BA104B"/>
    <w:rsid w:val="3600383A"/>
    <w:rsid w:val="36D9425E"/>
    <w:rsid w:val="376B7C66"/>
    <w:rsid w:val="37966B87"/>
    <w:rsid w:val="386E3F0F"/>
    <w:rsid w:val="39731763"/>
    <w:rsid w:val="3A3F3577"/>
    <w:rsid w:val="3AC663C2"/>
    <w:rsid w:val="3AFF20E2"/>
    <w:rsid w:val="3B376893"/>
    <w:rsid w:val="3B3F178D"/>
    <w:rsid w:val="3B88742F"/>
    <w:rsid w:val="3BD2418A"/>
    <w:rsid w:val="3BD42A9B"/>
    <w:rsid w:val="3C61200A"/>
    <w:rsid w:val="3CDA5B8A"/>
    <w:rsid w:val="3E0E5E99"/>
    <w:rsid w:val="3ECF1593"/>
    <w:rsid w:val="4096761B"/>
    <w:rsid w:val="40F277FA"/>
    <w:rsid w:val="412363DC"/>
    <w:rsid w:val="41262F71"/>
    <w:rsid w:val="4155681D"/>
    <w:rsid w:val="420430F7"/>
    <w:rsid w:val="423D6369"/>
    <w:rsid w:val="428201A9"/>
    <w:rsid w:val="42F63A71"/>
    <w:rsid w:val="43CF73F8"/>
    <w:rsid w:val="43F200A7"/>
    <w:rsid w:val="444A6D62"/>
    <w:rsid w:val="45F2298D"/>
    <w:rsid w:val="45F501F7"/>
    <w:rsid w:val="461377E3"/>
    <w:rsid w:val="47086B50"/>
    <w:rsid w:val="47090FF2"/>
    <w:rsid w:val="482C777C"/>
    <w:rsid w:val="486E014F"/>
    <w:rsid w:val="48B91309"/>
    <w:rsid w:val="49707ACB"/>
    <w:rsid w:val="4A1E000B"/>
    <w:rsid w:val="4A8A5940"/>
    <w:rsid w:val="4ABB4358"/>
    <w:rsid w:val="4B2B4C18"/>
    <w:rsid w:val="4B831AFA"/>
    <w:rsid w:val="4D075BA9"/>
    <w:rsid w:val="4DDC6C79"/>
    <w:rsid w:val="4DFF036C"/>
    <w:rsid w:val="4E094AF2"/>
    <w:rsid w:val="4E395485"/>
    <w:rsid w:val="4F01706E"/>
    <w:rsid w:val="4FE8008B"/>
    <w:rsid w:val="50194CA8"/>
    <w:rsid w:val="5071465E"/>
    <w:rsid w:val="52F6522C"/>
    <w:rsid w:val="54036FB3"/>
    <w:rsid w:val="543A4A46"/>
    <w:rsid w:val="55D275F5"/>
    <w:rsid w:val="56BC7C92"/>
    <w:rsid w:val="57BF2A13"/>
    <w:rsid w:val="57C705B4"/>
    <w:rsid w:val="58773281"/>
    <w:rsid w:val="58AB0899"/>
    <w:rsid w:val="597E5F94"/>
    <w:rsid w:val="59D23FE7"/>
    <w:rsid w:val="5AA83CB8"/>
    <w:rsid w:val="5AE04450"/>
    <w:rsid w:val="5BEC11EE"/>
    <w:rsid w:val="5D51186D"/>
    <w:rsid w:val="5DA21BAB"/>
    <w:rsid w:val="5E3E5ED5"/>
    <w:rsid w:val="5E5F2735"/>
    <w:rsid w:val="5ED762BB"/>
    <w:rsid w:val="5F827024"/>
    <w:rsid w:val="5FA00F22"/>
    <w:rsid w:val="600841E1"/>
    <w:rsid w:val="60E6184A"/>
    <w:rsid w:val="61BE5EB4"/>
    <w:rsid w:val="61E16E04"/>
    <w:rsid w:val="62233812"/>
    <w:rsid w:val="633571D9"/>
    <w:rsid w:val="637C29F6"/>
    <w:rsid w:val="64322C46"/>
    <w:rsid w:val="64851C23"/>
    <w:rsid w:val="661660BD"/>
    <w:rsid w:val="68BA0A2B"/>
    <w:rsid w:val="6905191F"/>
    <w:rsid w:val="695D17AF"/>
    <w:rsid w:val="6A227E0B"/>
    <w:rsid w:val="6A49117F"/>
    <w:rsid w:val="6A692E06"/>
    <w:rsid w:val="6ADD0D90"/>
    <w:rsid w:val="6B9A3F1E"/>
    <w:rsid w:val="6BBD7A4A"/>
    <w:rsid w:val="6BF545A7"/>
    <w:rsid w:val="6C2023C6"/>
    <w:rsid w:val="6C490466"/>
    <w:rsid w:val="6D7A4342"/>
    <w:rsid w:val="6D85299B"/>
    <w:rsid w:val="6E9E1D09"/>
    <w:rsid w:val="70506E84"/>
    <w:rsid w:val="70B81FEA"/>
    <w:rsid w:val="71B50A26"/>
    <w:rsid w:val="71F90CBC"/>
    <w:rsid w:val="72E02E5A"/>
    <w:rsid w:val="730C45AB"/>
    <w:rsid w:val="738C5B1F"/>
    <w:rsid w:val="75773E59"/>
    <w:rsid w:val="7593133F"/>
    <w:rsid w:val="765E04A0"/>
    <w:rsid w:val="766F163C"/>
    <w:rsid w:val="777D0569"/>
    <w:rsid w:val="77E86A1E"/>
    <w:rsid w:val="79E312EC"/>
    <w:rsid w:val="79EB7B0C"/>
    <w:rsid w:val="7A377F36"/>
    <w:rsid w:val="7A7B631A"/>
    <w:rsid w:val="7A914D99"/>
    <w:rsid w:val="7B8C4B3E"/>
    <w:rsid w:val="7C890D6B"/>
    <w:rsid w:val="7EF80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2020-06-28T07:40:00Z</dcterms:created>
  <dc:creator>huangning</dc:creator>
  <cp:lastModifiedBy>HN</cp:lastModifiedBy>
  <dcterms:modified xsi:type="dcterms:W3CDTF">2021-01-24T11:23:07Z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