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sz w:val="32"/>
          <w:szCs w:val="32"/>
        </w:rPr>
        <w:t>CTA策略模块中请不要访问账户底层的资金和仓位数据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主要是因为某个合约上，可能运行着多个策略同时在交易，甚至可能还有手动交易的持仓，此时访问就有可能导致各种很隐蔽的问题，比如A策略把B策略的仓位给平了。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底层持仓和CTP柜台是6秒执行一次同步，如果你确定每个合约上只跑一个策略，同时5分钟级别才执行一次，那么没什么问题。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C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2021-05-11T04:37:31Z</dcterms:created>
  <dc:creator>huangning</dc:creator>
  <cp:lastModifiedBy>HN</cp:lastModifiedBy>
  <dcterms:modified xsi:type="dcterms:W3CDTF">2021-05-11T04:52:56Z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