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宋体" w:hAnsi="宋体" w:eastAsia="宋体" w:cs="宋体"/>
          <w:b/>
          <w:bCs/>
          <w:sz w:val="36"/>
          <w:szCs w:val="36"/>
          <w:lang w:val="en-US" w:eastAsia="zh-CN"/>
        </w:rPr>
        <w:t>期货交易所价格撮合机制</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黑体" w:hAnsi="黑体" w:eastAsia="黑体" w:cs="黑体"/>
          <w:b w:val="0"/>
          <w:bCs w:val="0"/>
          <w:sz w:val="32"/>
          <w:szCs w:val="32"/>
          <w:lang w:val="en-US" w:eastAsia="zh-CN"/>
        </w:rPr>
        <w:t>一、下单指令类型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目前各个期货交易所支持的下单指令类型包括：</w:t>
      </w:r>
      <w:r>
        <w:rPr>
          <w:rFonts w:hint="eastAsia" w:asciiTheme="minorEastAsia" w:hAnsiTheme="minorEastAsia" w:cstheme="minorEastAsia"/>
          <w:b/>
          <w:bCs/>
          <w:sz w:val="32"/>
          <w:szCs w:val="32"/>
          <w:lang w:val="en-US" w:eastAsia="zh-CN"/>
        </w:rPr>
        <w:t>限价指令、市价指令、FOK指令、FAK指令、套利指令（套利实际上不是指令，而是一种特殊合约）、止盈止损指令</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vnpy支持限价指令、市价指令、FOK指令、FAK指令；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2. </w:t>
      </w:r>
      <w:r>
        <w:rPr>
          <w:rFonts w:hint="default" w:asciiTheme="minorEastAsia" w:hAnsiTheme="minorEastAsia" w:cstheme="minorEastAsia"/>
          <w:b w:val="0"/>
          <w:bCs w:val="0"/>
          <w:sz w:val="32"/>
          <w:szCs w:val="32"/>
          <w:lang w:val="en-US" w:eastAsia="zh-CN"/>
        </w:rPr>
        <w:t>套利不是指令而是一种特殊合约</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 xml:space="preserve">3. </w:t>
      </w:r>
      <w:r>
        <w:rPr>
          <w:rFonts w:hint="default" w:asciiTheme="minorEastAsia" w:hAnsiTheme="minorEastAsia" w:cstheme="minorEastAsia"/>
          <w:b w:val="0"/>
          <w:bCs w:val="0"/>
          <w:sz w:val="32"/>
          <w:szCs w:val="32"/>
          <w:lang w:val="en-US" w:eastAsia="zh-CN"/>
        </w:rPr>
        <w:t>止盈止损指令国内柜台都没有开放</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4.</w:t>
      </w:r>
      <w:r>
        <w:rPr>
          <w:rFonts w:hint="eastAsia" w:asciiTheme="minorEastAsia" w:hAnsiTheme="minorEastAsia" w:cstheme="minorEastAsia"/>
          <w:b w:val="0"/>
          <w:bCs w:val="0"/>
          <w:sz w:val="32"/>
          <w:szCs w:val="32"/>
          <w:u w:val="single"/>
          <w:lang w:val="en-US" w:eastAsia="zh-CN"/>
        </w:rPr>
        <w:t xml:space="preserve"> </w:t>
      </w:r>
      <w:r>
        <w:rPr>
          <w:rFonts w:hint="default" w:asciiTheme="minorEastAsia" w:hAnsiTheme="minorEastAsia" w:cstheme="minorEastAsia"/>
          <w:b w:val="0"/>
          <w:bCs w:val="0"/>
          <w:sz w:val="32"/>
          <w:szCs w:val="32"/>
          <w:u w:val="single"/>
          <w:lang w:val="en-US" w:eastAsia="zh-CN"/>
        </w:rPr>
        <w:t>CTA策略里考虑大部分用户的需求，只支持了限价和本地停止单</w:t>
      </w:r>
      <w:r>
        <w:rPr>
          <w:rFonts w:hint="eastAsia" w:asciiTheme="minorEastAsia" w:hAnsiTheme="minorEastAsia" w:cstheme="minorEastAsia"/>
          <w:b w:val="0"/>
          <w:bCs w:val="0"/>
          <w:sz w:val="32"/>
          <w:szCs w:val="32"/>
          <w:u w:val="single"/>
          <w:lang w:val="en-US" w:eastAsia="zh-CN"/>
        </w:rPr>
        <w:t>，如果的确需要使用市价单、FOK指令、FAK指令，要修改</w:t>
      </w:r>
      <w:r>
        <w:rPr>
          <w:rFonts w:hint="eastAsia" w:asciiTheme="minorEastAsia" w:hAnsiTheme="minorEastAsia" w:cstheme="minorEastAsia"/>
          <w:b w:val="0"/>
          <w:bCs w:val="0"/>
          <w:color w:val="FF0000"/>
          <w:sz w:val="32"/>
          <w:szCs w:val="32"/>
          <w:u w:val="single"/>
          <w:lang w:val="en-US" w:eastAsia="zh-CN"/>
        </w:rPr>
        <w:t>vnpy/app/cta_strategy/engine.py</w:t>
      </w:r>
      <w:r>
        <w:rPr>
          <w:rFonts w:hint="eastAsia" w:asciiTheme="minorEastAsia" w:hAnsiTheme="minorEastAsia" w:cstheme="minorEastAsia"/>
          <w:b w:val="0"/>
          <w:bCs w:val="0"/>
          <w:sz w:val="32"/>
          <w:szCs w:val="32"/>
          <w:u w:val="single"/>
          <w:lang w:val="en-US" w:eastAsia="zh-CN"/>
        </w:rPr>
        <w:t>中的代码，在其中搜索</w:t>
      </w:r>
      <w:r>
        <w:rPr>
          <w:rFonts w:hint="eastAsia" w:asciiTheme="minorEastAsia" w:hAnsiTheme="minorEastAsia" w:cstheme="minorEastAsia"/>
          <w:b w:val="0"/>
          <w:bCs w:val="0"/>
          <w:color w:val="FF0000"/>
          <w:sz w:val="32"/>
          <w:szCs w:val="32"/>
          <w:u w:val="single"/>
          <w:lang w:val="en-US" w:eastAsia="zh-CN"/>
        </w:rPr>
        <w:t>OrderType.LIMIT</w:t>
      </w:r>
      <w:r>
        <w:rPr>
          <w:rFonts w:hint="eastAsia" w:asciiTheme="minorEastAsia" w:hAnsiTheme="minorEastAsia" w:cstheme="minorEastAsia"/>
          <w:b w:val="0"/>
          <w:b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二、各期货交易所支持的指令类型</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1. 中金所：</w:t>
      </w:r>
      <w:r>
        <w:rPr>
          <w:rFonts w:hint="eastAsia" w:asciiTheme="minorEastAsia" w:hAnsiTheme="minorEastAsia" w:cstheme="minorEastAsia"/>
          <w:b w:val="0"/>
          <w:bCs w:val="0"/>
          <w:sz w:val="32"/>
          <w:szCs w:val="32"/>
          <w:lang w:val="en-US" w:eastAsia="zh-CN"/>
        </w:rPr>
        <w:t>限价指令、市价指令（仅用于当月和下月合约）、FOK指令和FAK指令。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2. 上期所：</w:t>
      </w:r>
      <w:r>
        <w:rPr>
          <w:rFonts w:hint="eastAsia" w:asciiTheme="minorEastAsia" w:hAnsiTheme="minorEastAsia" w:cstheme="minorEastAsia"/>
          <w:b w:val="0"/>
          <w:bCs w:val="0"/>
          <w:sz w:val="32"/>
          <w:szCs w:val="32"/>
          <w:lang w:val="en-US" w:eastAsia="zh-CN"/>
        </w:rPr>
        <w:t>限价指令、FOK指令和FAK指令。</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3. 大商所：</w:t>
      </w:r>
      <w:r>
        <w:rPr>
          <w:rFonts w:hint="eastAsia" w:asciiTheme="minorEastAsia" w:hAnsiTheme="minorEastAsia" w:cstheme="minorEastAsia"/>
          <w:b w:val="0"/>
          <w:bCs w:val="0"/>
          <w:sz w:val="32"/>
          <w:szCs w:val="32"/>
          <w:lang w:val="en-US" w:eastAsia="zh-CN"/>
        </w:rPr>
        <w:t>限价指令、市价指令、FOK指令、FAK指令、套利指令、止盈止损指令（分市价和限价）。</w:t>
      </w:r>
    </w:p>
    <w:p>
      <w:pPr>
        <w:keepNext w:val="0"/>
        <w:keepLines w:val="0"/>
        <w:pageBreakBefore w:val="0"/>
        <w:widowControl w:val="0"/>
        <w:kinsoku/>
        <w:wordWrap/>
        <w:overflowPunct/>
        <w:topLinePunct w:val="0"/>
        <w:autoSpaceDE/>
        <w:autoSpaceDN/>
        <w:bidi w:val="0"/>
        <w:adjustRightInd/>
        <w:snapToGrid/>
        <w:spacing w:line="560" w:lineRule="exact"/>
        <w:ind w:firstLine="641"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bCs/>
          <w:sz w:val="32"/>
          <w:szCs w:val="32"/>
          <w:lang w:val="en-US" w:eastAsia="zh-CN"/>
        </w:rPr>
        <w:t>4. 郑商所：</w:t>
      </w:r>
      <w:r>
        <w:rPr>
          <w:rFonts w:hint="eastAsia" w:asciiTheme="minorEastAsia" w:hAnsiTheme="minorEastAsia" w:cstheme="minorEastAsia"/>
          <w:b w:val="0"/>
          <w:bCs w:val="0"/>
          <w:sz w:val="32"/>
          <w:szCs w:val="32"/>
          <w:lang w:val="en-US" w:eastAsia="zh-CN"/>
        </w:rPr>
        <w:t>限价指令、市价指令、套利指令、FAK指令。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三、限价指令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限价指令是交易所明确规定的只有在某一价格水平才可执行的客户交易指令。即以指定价格买进或卖出的指令，客户指定一个特定的价格，经纪人必须以该价格，或比该价格更好的价格进行交易。限价指令如果是买入时，其指令所限定的价格必须低于当时的市场价格; 如果是卖出时，订单所限定的价格必须高于当时的市场价格。书写方式是： “以11.30美元的价格买进10张5月份合约”。当市场价格达到限价指令所指定的特定的价格水平时，订单即可成交。例如，当交易所经纪人接到“以11.30美元的价格买进10张5月份可可合约” 的订单时，他会进入交易圈注意5月份可可期货价格，如果市场价格是11.30美元以上，他不会交易，当市场价格降到11. 30美元或更低时，他会立即买入，交易便获成功。因此，限价订单有时可给予客户较其订单更好的价格。但限价指令交易要求明确，能否执行须根据交易所当时的价格波动幅度而言，因此，无法达成交易的可能性也比较大。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四、市价指令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市价指令是指不限定价格的、按照当时市场上可执行的最优报价成交的指令。市价指令的未成交部分自动撒销。客户在下达这种指令时不需指明具体的价位，而是要求期货经纪公司出市代表以当时市场上可执行的最好价格达成交易。这种指令的特点是成交速度快。</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五、FOK指令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立即全部成交否则自动撤销指令(FOK指令)，指在限定价位下达指令，如果该指令下所有申报手数未能全部成交，该指令下所有申报手数自动被系统撤销。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六、FAK指令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立即成交剩余指令自动撤销指令(FAK指令)，指在限定价位下达指令，如果该指令下部分申报手数成交，该指令下剩余申报手数自动被系统撤销。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七</w:t>
      </w:r>
      <w:r>
        <w:rPr>
          <w:rFonts w:hint="eastAsia" w:ascii="黑体" w:hAnsi="黑体" w:eastAsia="黑体" w:cs="黑体"/>
          <w:b w:val="0"/>
          <w:bCs w:val="0"/>
          <w:sz w:val="32"/>
          <w:szCs w:val="32"/>
          <w:lang w:val="en-US" w:eastAsia="zh-CN"/>
        </w:rPr>
        <w:t>、SimNow不支持市价单，实盘支持。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Hans"/>
        </w:rPr>
        <w:t>八</w:t>
      </w:r>
      <w:r>
        <w:rPr>
          <w:rFonts w:hint="eastAsia" w:ascii="黑体" w:hAnsi="黑体" w:eastAsia="黑体" w:cs="黑体"/>
          <w:b w:val="0"/>
          <w:bCs w:val="0"/>
          <w:sz w:val="32"/>
          <w:szCs w:val="32"/>
          <w:lang w:val="en-US" w:eastAsia="zh-CN"/>
        </w:rPr>
        <w:t>、郑商所的品种都收不到14:59这一根bar</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郑商所的数据推送，没有3点后的最后一个tick用于标识收盘完成，所以要调用BarGenerator.generate函数</w:t>
      </w:r>
      <w:r>
        <w:rPr>
          <w:rFonts w:hint="eastAsia" w:asciiTheme="minorEastAsia" w:hAnsiTheme="minorEastAsia" w:cstheme="minorEastAsia"/>
          <w:b w:val="0"/>
          <w:bCs w:val="0"/>
          <w:sz w:val="32"/>
          <w:szCs w:val="32"/>
          <w:lang w:val="en-US" w:eastAsia="zh-CN"/>
        </w:rPr>
        <w:t>强制生成最后1分钟K线。</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highlight w:val="red"/>
          <w:u w:val="single"/>
          <w:lang w:val="en-US" w:eastAsia="zh-CN"/>
        </w:rPr>
      </w:pPr>
      <w:r>
        <w:rPr>
          <w:rFonts w:hint="eastAsia" w:asciiTheme="minorEastAsia" w:hAnsiTheme="minorEastAsia" w:cstheme="minorEastAsia"/>
          <w:b w:val="0"/>
          <w:bCs w:val="0"/>
          <w:color w:val="auto"/>
          <w:sz w:val="32"/>
          <w:szCs w:val="32"/>
          <w:highlight w:val="red"/>
          <w:u w:val="single"/>
          <w:lang w:val="en-US" w:eastAsia="zh-CN"/>
        </w:rPr>
        <w:t>期货 每天超过400次撤单 会被警告，所以可能需要用FAK指令 高频策略就只能用FAK指令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一般不要使用市价单，容易击穿市场，比较危险，发超价限价单就可以了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0"/>
        <w:rPr>
          <w:rFonts w:hint="eastAsia" w:asciiTheme="minorEastAsia" w:hAnsiTheme="minorEastAsia" w:cstheme="minorEastAsia"/>
          <w:b w:val="0"/>
          <w:bCs w:val="0"/>
          <w:color w:val="auto"/>
          <w:sz w:val="32"/>
          <w:szCs w:val="32"/>
          <w:u w:val="single"/>
          <w:lang w:val="en-US" w:eastAsia="zh-CN"/>
        </w:rPr>
      </w:pPr>
      <w:r>
        <w:rPr>
          <w:rFonts w:hint="eastAsia" w:asciiTheme="minorEastAsia" w:hAnsiTheme="minorEastAsia" w:cstheme="minorEastAsia"/>
          <w:b w:val="0"/>
          <w:bCs w:val="0"/>
          <w:color w:val="auto"/>
          <w:sz w:val="32"/>
          <w:szCs w:val="32"/>
          <w:u w:val="single"/>
          <w:lang w:val="en-US" w:eastAsia="zh-CN"/>
        </w:rPr>
        <w:t>OK币提供服务器停止单</w:t>
      </w: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527EB"/>
    <w:rsid w:val="4A6E3F2C"/>
    <w:rsid w:val="6B255D3F"/>
    <w:rsid w:val="7EFF8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2021-01-23T14:21:00Z</dcterms:created>
  <dc:creator>黄柠</dc:creator>
  <cp:lastModifiedBy>huangning</cp:lastModifiedBy>
  <dcterms:modified xsi:type="dcterms:W3CDTF">2021-01-27T15:54:33Z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