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期货开户门槛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 xml:space="preserve">1. </w:t>
      </w:r>
      <w:r>
        <w:rPr>
          <w:rFonts w:hint="default" w:asciiTheme="minorEastAsia" w:hAnsiTheme="minorEastAsia" w:cstheme="minorEastAsia"/>
          <w:b w:val="0"/>
          <w:bCs w:val="0"/>
          <w:sz w:val="32"/>
          <w:szCs w:val="32"/>
          <w:lang w:val="en-US" w:eastAsia="zh-CN"/>
        </w:rPr>
        <w:t>股指和原油账户，需要50万的开户门槛。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Theme="minorEastAsia" w:hAnsiTheme="minorEastAsia" w:cstheme="minorEastAsia"/>
          <w:b/>
          <w:bCs/>
          <w:sz w:val="32"/>
          <w:szCs w:val="32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665F04"/>
    <w:rsid w:val="546E5763"/>
    <w:rsid w:val="5A4B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2021-01-23T13:28:00Z</dcterms:created>
  <dc:creator>黄柠</dc:creator>
  <cp:lastModifiedBy>HN</cp:lastModifiedBy>
  <dcterms:modified xsi:type="dcterms:W3CDTF">2021-07-12T02:21:04Z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