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A9A8E" w14:textId="77777777" w:rsidR="008175FF" w:rsidRDefault="00000000">
      <w:pPr>
        <w:spacing w:after="160" w:line="240" w:lineRule="auto"/>
        <w:jc w:val="both"/>
      </w:pPr>
      <w:r>
        <w:rPr>
          <w:b/>
        </w:rPr>
        <w:t>Manuscript ID:</w:t>
      </w:r>
      <w:r>
        <w:t xml:space="preserve"> Access-2026-36755</w:t>
      </w:r>
    </w:p>
    <w:p w14:paraId="0577F3E2" w14:textId="77777777" w:rsidR="008175FF" w:rsidRDefault="00000000">
      <w:pPr>
        <w:spacing w:after="600" w:line="240" w:lineRule="auto"/>
        <w:jc w:val="both"/>
      </w:pPr>
      <w:r>
        <w:rPr>
          <w:b/>
        </w:rPr>
        <w:t>Original Article Title:</w:t>
      </w:r>
      <w:r>
        <w:t xml:space="preserve"> "On Reliable Detection of AI-Generated Multimedia Content"</w:t>
      </w:r>
    </w:p>
    <w:p w14:paraId="65D3E4B7" w14:textId="77777777" w:rsidR="008175FF" w:rsidRDefault="00000000">
      <w:pPr>
        <w:spacing w:after="160" w:line="240" w:lineRule="auto"/>
        <w:jc w:val="both"/>
      </w:pPr>
      <w:r>
        <w:rPr>
          <w:b/>
        </w:rPr>
        <w:t>To:</w:t>
      </w:r>
      <w:r>
        <w:t xml:space="preserve"> IEEE Access Editor</w:t>
      </w:r>
    </w:p>
    <w:p w14:paraId="0CFA227D" w14:textId="77777777" w:rsidR="008175FF" w:rsidRDefault="00000000">
      <w:pPr>
        <w:spacing w:after="600" w:line="240" w:lineRule="auto"/>
        <w:jc w:val="both"/>
      </w:pPr>
      <w:r>
        <w:rPr>
          <w:b/>
        </w:rPr>
        <w:t>Re:</w:t>
      </w:r>
      <w:r>
        <w:t xml:space="preserve"> Response to reviewers</w:t>
      </w:r>
    </w:p>
    <w:p w14:paraId="7309DF5D" w14:textId="77777777" w:rsidR="008175FF" w:rsidRDefault="00000000">
      <w:pPr>
        <w:spacing w:after="600" w:line="240" w:lineRule="auto"/>
        <w:jc w:val="both"/>
      </w:pPr>
      <w:r>
        <w:t>Dear Editor,</w:t>
      </w:r>
    </w:p>
    <w:p w14:paraId="5CCAD756" w14:textId="77777777" w:rsidR="008175FF" w:rsidRDefault="00000000">
      <w:pPr>
        <w:spacing w:after="240" w:line="240" w:lineRule="auto"/>
        <w:jc w:val="both"/>
      </w:pPr>
      <w:r>
        <w:t>Thank you for the opportunity to revise and resubmit our manuscript.</w:t>
      </w:r>
    </w:p>
    <w:p w14:paraId="6CB3F54D" w14:textId="77777777" w:rsidR="008175FF" w:rsidRDefault="00000000">
      <w:pPr>
        <w:spacing w:after="1240" w:line="240" w:lineRule="auto"/>
        <w:jc w:val="both"/>
      </w:pPr>
      <w:r>
        <w:t>Please find our point-by-point response below. The revised manuscript incorporates the changes described in each author action.</w:t>
      </w:r>
    </w:p>
    <w:p w14:paraId="4ED67CDD" w14:textId="77777777" w:rsidR="008175FF" w:rsidRDefault="00000000">
      <w:pPr>
        <w:spacing w:after="0" w:line="240" w:lineRule="auto"/>
        <w:jc w:val="both"/>
      </w:pPr>
      <w:r>
        <w:t>Best regards,</w:t>
      </w:r>
    </w:p>
    <w:p w14:paraId="158107B9" w14:textId="77777777" w:rsidR="008175FF" w:rsidRDefault="00000000">
      <w:r>
        <w:br w:type="page"/>
      </w:r>
    </w:p>
    <w:p w14:paraId="50380D2A" w14:textId="77777777" w:rsidR="002B3012" w:rsidRDefault="002B3012">
      <w:pPr>
        <w:keepNext/>
        <w:spacing w:after="160" w:line="240" w:lineRule="auto"/>
        <w:jc w:val="both"/>
        <w:rPr>
          <w:b/>
          <w:color w:val="008000"/>
        </w:rPr>
      </w:pPr>
    </w:p>
    <w:p w14:paraId="12120B18" w14:textId="0C5C6915" w:rsidR="008175FF" w:rsidRDefault="00000000">
      <w:pPr>
        <w:keepNext/>
        <w:spacing w:after="160" w:line="240" w:lineRule="auto"/>
        <w:jc w:val="both"/>
      </w:pPr>
      <w:r>
        <w:rPr>
          <w:b/>
        </w:rPr>
        <w:t>Reviewer#1, Concern # 1:</w:t>
      </w:r>
      <w:r>
        <w:rPr>
          <w:b/>
        </w:rPr>
        <w:t xml:space="preserve"> The gate's validation compares bootstrap resamples with an oracle computed from the same disagreement pool, which shows resampling stability rather than generalization to new inputs. The N ≥ 100 recommendation is not established, since 11 of 35 configurations miss the criterion at that size.</w:t>
      </w:r>
    </w:p>
    <w:p w14:paraId="594044C0" w14:textId="77777777" w:rsidR="008175FF" w:rsidRDefault="00000000">
      <w:pPr>
        <w:keepNext/>
        <w:spacing w:after="160" w:line="240" w:lineRule="auto"/>
        <w:jc w:val="both"/>
      </w:pPr>
      <w:r>
        <w:rPr>
          <w:b/>
        </w:rPr>
        <w:t xml:space="preserve">Author response: </w:t>
      </w:r>
      <w:r>
        <w:rPr/>
        <w:t>We agree. The same-pool analysis measured how stable the gate's decision is, not how it performs on unseen inputs, and our recommendation claimed more than it showed.</w:t>
      </w:r>
    </w:p>
    <w:p w14:paraId="119A59F6" w14:textId="77777777" w:rsidR="008175FF" w:rsidRDefault="00000000">
      <w:pPr>
        <w:spacing w:after="280" w:line="240" w:lineRule="auto"/>
        <w:jc w:val="both"/>
      </w:pPr>
      <w:r>
        <w:rPr>
          <w:b/>
        </w:rPr>
        <w:t>Author action: We added a held-out evaluation (Section VI.I.1). For each configuration, the gate's decision is fixed on a calibration split of the disagreement subset and scored against a disjoint test split. Two BigGAN configurations with only 14 disagreement samples are excluded. With the significance-aware rule, the gate reaches at least 90% agreement in 21 of 33 configurations at N = 100 and 25 of 33 at N = 200, below the same-pool figures, so we now recommend N ≈ 200 or the full pool. The gate table also shows how often the gate escalates on the four positive SDXL/FLUX configurations; FLUX/SigLIP2 escalates in only 63% of draws at N = 100.</w:t>
      </w:r>
    </w:p>
    <w:p w14:paraId="12120B18" w14:textId="0C5C6915" w:rsidR="008175FF" w:rsidRDefault="00000000">
      <w:pPr>
        <w:keepNext/>
        <w:spacing w:after="160" w:line="240" w:lineRule="auto"/>
        <w:jc w:val="both"/>
      </w:pPr>
      <w:r>
        <w:rPr>
          <w:b/>
        </w:rPr>
        <w:t>Reviewer#1, Concern # 2:</w:t>
      </w:r>
      <w:r>
        <w:rPr>
          <w:b/>
        </w:rPr>
        <w:t xml:space="preserve"> The gate escalates whenever the verifier's accuracy exceeds both cheap detectors by any margin, which may be sampling noise. Calibrating on the disagreement subset also cannot establish the reliability of the agreement path.</w:t>
      </w:r>
    </w:p>
    <w:p w14:paraId="594044C0" w14:textId="77777777" w:rsidR="008175FF" w:rsidRDefault="00000000">
      <w:pPr>
        <w:keepNext/>
        <w:spacing w:after="160" w:line="240" w:lineRule="auto"/>
        <w:jc w:val="both"/>
      </w:pPr>
      <w:r>
        <w:rPr>
          <w:b/>
        </w:rPr>
        <w:t xml:space="preserve">Author response: </w:t>
      </w:r>
      <w:r>
        <w:rPr/>
        <w:t>We agree on both points. A point estimate is not enough to justify escalation, and the agreement path needs its own check.</w:t>
      </w:r>
    </w:p>
    <w:p w14:paraId="119A59F6" w14:textId="77777777" w:rsidR="008175FF" w:rsidRDefault="00000000">
      <w:pPr>
        <w:spacing w:after="280" w:line="240" w:lineRule="auto"/>
        <w:jc w:val="both"/>
      </w:pPr>
      <w:r>
        <w:rPr>
          <w:b/>
        </w:rPr>
        <w:t>Author action: The gate now escalates only if the paired-bootstrap 95% interval on the verifier's gain over the stronger cheap detector lies above zero (Section VI.I). On held-out splits this lowers harmful escalations from 7.3% to 0.3% at N = 50 and raises missed beneficial escalations, and the paper presents the two rules as a trade-off. An agreement-path audit on every dataset finds errors shared by both cheap detectors on 0.2-3.2% of agreement-path inputs in-domain and 8.2-16.1% under the SDXL/FLUX shift.</w:t>
      </w:r>
    </w:p>
    <w:p w14:paraId="12120B18" w14:textId="0C5C6915" w:rsidR="008175FF" w:rsidRDefault="00000000">
      <w:pPr>
        <w:keepNext/>
        <w:spacing w:after="160" w:line="240" w:lineRule="auto"/>
        <w:jc w:val="both"/>
      </w:pPr>
      <w:r>
        <w:rPr>
          <w:b/>
        </w:rPr>
        <w:t>Reviewer#1, Concern # 3:</w:t>
      </w:r>
      <w:r>
        <w:rPr>
          <w:b/>
        </w:rPr>
        <w:t xml:space="preserve"> The binary gate falls back to the stronger cheap detector, so it already selects the best of the three detectors. This conflicts with the claim that it cannot represent artifact-detector selection, and the difference between the two rules at N = 10 is not explained.</w:t>
      </w:r>
    </w:p>
    <w:p w14:paraId="594044C0" w14:textId="77777777" w:rsidR="008175FF" w:rsidRDefault="00000000">
      <w:pPr>
        <w:keepNext/>
        <w:spacing w:after="160" w:line="240" w:lineRule="auto"/>
        <w:jc w:val="both"/>
      </w:pPr>
      <w:r>
        <w:rPr>
          <w:b/>
        </w:rPr>
        <w:t xml:space="preserve">Author response: </w:t>
      </w:r>
      <w:r>
        <w:rPr/>
        <w:t>The reviewer is correct, and we retract the claim. As decision rules, the binary gate and the three-way selector are identical.</w:t>
      </w:r>
    </w:p>
    <w:p w14:paraId="119A59F6" w14:textId="77777777" w:rsidR="008175FF" w:rsidRDefault="00000000">
      <w:pPr>
        <w:spacing w:after="280" w:line="240" w:lineRule="auto"/>
        <w:jc w:val="both"/>
      </w:pPr>
      <w:r>
        <w:rPr>
          <w:b/>
        </w:rPr>
        <w:t>Author action: Section VI.I now defines both rules as equations and states that they always choose the same action. The N = 10 gap (13 vs. 11 of 35) comes from two configurations where resampled cheap-detector accuracies tie or reverse, which changes the chosen cheap detector but not the escalation decision. It disappears by N = 20.</w:t>
      </w:r>
    </w:p>
    <w:p w14:paraId="12120B18" w14:textId="0C5C6915" w:rsidR="008175FF" w:rsidRDefault="00000000">
      <w:pPr>
        <w:keepNext/>
        <w:spacing w:after="160" w:line="240" w:lineRule="auto"/>
        <w:jc w:val="both"/>
      </w:pPr>
      <w:r>
        <w:rPr>
          <w:b/>
        </w:rPr>
        <w:t>Reviewer#1, Concern # 4:</w:t>
      </w:r>
      <w:r>
        <w:rPr>
          <w:b/>
        </w:rPr>
        <w:t xml:space="preserve"> Replacing AIGIBench's PASCAL VOC real images after GPT-5.5 misclassified 82-97% of them is selection after failure. Results on the original images and on an independently chosen real-image source should be reported.</w:t>
      </w:r>
    </w:p>
    <w:p w14:paraId="594044C0" w14:textId="77777777" w:rsidR="008175FF" w:rsidRDefault="00000000">
      <w:pPr>
        <w:keepNext/>
        <w:spacing w:after="160" w:line="240" w:lineRule="auto"/>
        <w:jc w:val="both"/>
      </w:pPr>
      <w:r>
        <w:rPr>
          <w:b/>
        </w:rPr>
        <w:t xml:space="preserve">Author response: </w:t>
      </w:r>
      <w:r>
        <w:rPr/>
        <w:t>We agree that this needed evidence. The original images carry a confound that affects the FFT detector as much as GPT-5.5.</w:t>
      </w:r>
    </w:p>
    <w:p w14:paraId="119A59F6" w14:textId="77777777" w:rsidR="008175FF" w:rsidRDefault="00000000">
      <w:pPr>
        <w:spacing w:after="280" w:line="240" w:lineRule="auto"/>
        <w:jc w:val="both"/>
      </w:pPr>
      <w:r>
        <w:rPr>
          <w:b/>
        </w:rPr>
        <w:t>Author action: Section IV.B and Table 2 report the full cascade on the original PASCAL VOC images and on COCO val2017. Escalation improves on the stale probe under all three real-image sources: by 2.5-5.5 points on PASCAL VOC, 4.1-9.0 on COCO and 3.4-7.9 on ImageNet. On PASCAL VOC the FFT detector also labels 83-85% of the photographs fake, and image size alone separates the classes (256×256 real, 1,024×1,024 fake). We no longer recommend replacing compressed photographs in general.</w:t>
      </w:r>
    </w:p>
    <w:p w14:paraId="12120B18" w14:textId="0C5C6915" w:rsidR="008175FF" w:rsidRDefault="00000000">
      <w:pPr>
        <w:keepNext/>
        <w:spacing w:after="160" w:line="240" w:lineRule="auto"/>
        <w:jc w:val="both"/>
      </w:pPr>
      <w:r>
        <w:rPr>
          <w:b/>
        </w:rPr>
        <w:t>Reviewer#1, Concern # 5:</w:t>
      </w:r>
      <w:r>
        <w:rPr>
          <w:b/>
        </w:rPr>
        <w:t xml:space="preserve"> The SDXL real- and fake-class recall figures in the Limitations do not reconcile with the overall cascade accuracy in Table 5.</w:t>
      </w:r>
    </w:p>
    <w:p w14:paraId="594044C0" w14:textId="77777777" w:rsidR="008175FF" w:rsidRDefault="00000000">
      <w:pPr>
        <w:keepNext/>
        <w:spacing w:after="160" w:line="240" w:lineRule="auto"/>
        <w:jc w:val="both"/>
      </w:pPr>
      <w:r>
        <w:rPr>
          <w:b/>
        </w:rPr>
        <w:t xml:space="preserve">Author response: </w:t>
      </w:r>
      <w:r>
        <w:rPr/>
        <w:t>The reviewer is right, and the cause was a bug in our pipeline. The two sets of numbers came from probe snapshots trained at different times, and Table 5 also fell back to the semantic probe wherever a GPT-5.5 answer was missing.</w:t>
      </w:r>
    </w:p>
    <w:p w14:paraId="119A59F6" w14:textId="77777777" w:rsidR="008175FF" w:rsidRDefault="00000000">
      <w:pPr>
        <w:spacing w:after="280" w:line="240" w:lineRule="auto"/>
        <w:jc w:val="both"/>
      </w:pPr>
      <w:r>
        <w:rPr>
          <w:b/>
        </w:rPr>
        <w:t>Author action: We rebuilt both from one probe snapshot with complete GPT-5.5 coverage. The numbers now reconcile, and real-class recall increases under escalation in all four configurations (Section VI.G). An audit of every table against one results pipeline also replaced stale values in the GenBuster CLIP result and several other tables. One result changed: BigGAN→GenBuster is now a small significant gain over in-domain FFT (+3.0 points, 95% CI [+0.5, +5.5]).</w:t>
      </w:r>
    </w:p>
    <w:p w14:paraId="12120B18" w14:textId="0C5C6915" w:rsidR="008175FF" w:rsidRDefault="00000000">
      <w:pPr>
        <w:keepNext/>
        <w:spacing w:after="160" w:line="240" w:lineRule="auto"/>
        <w:jc w:val="both"/>
      </w:pPr>
      <w:r>
        <w:rPr>
          <w:b/>
        </w:rPr>
        <w:t>Reviewer#1, Concern # 6:</w:t>
      </w:r>
      <w:r>
        <w:rPr>
          <w:b/>
        </w:rPr>
        <w:t xml:space="preserve"> The stated 50%/20%/40% nested split does not reproduce the reported evaluation-set sizes. The procedure needs exact partition counts and a check for real images reused across benchmarks.</w:t>
      </w:r>
    </w:p>
    <w:p w14:paraId="594044C0" w14:textId="77777777" w:rsidR="008175FF" w:rsidRDefault="00000000">
      <w:pPr>
        <w:keepNext/>
        <w:spacing w:after="160" w:line="240" w:lineRule="auto"/>
        <w:jc w:val="both"/>
      </w:pPr>
      <w:r>
        <w:rPr>
          <w:b/>
        </w:rPr>
        <w:t xml:space="preserve">Author response: </w:t>
      </w:r>
      <w:r>
        <w:rPr/>
        <w:t>We agree. The described procedure did not match what the code did.</w:t>
      </w:r>
    </w:p>
    <w:p w14:paraId="119A59F6" w14:textId="77777777" w:rsidR="008175FF" w:rsidRDefault="00000000">
      <w:pPr>
        <w:spacing w:after="280" w:line="240" w:lineRule="auto"/>
        <w:jc w:val="both"/>
      </w:pPr>
      <w:r>
        <w:rPr>
          <w:b/>
        </w:rPr>
        <w:t>Author action: Section V.A now describes the actual split: a fixed stratified evaluation set (1,000 for GenBuster, 2,000 each for SD 1.4 and BigGAN), with every detector trained on the rest of the pool. This exposed a leak in the GenBuster CLIP probe, which had about 40% of its evaluation images in its training data; it is now retrained. Section V.A also discloses that all SDXL/FLUX real images come from the SD 1.4 real pool, overlapping about a third of SD 1.4's evaluation reals.</w:t>
      </w:r>
    </w:p>
    <w:p w14:paraId="12120B18" w14:textId="0C5C6915" w:rsidR="008175FF" w:rsidRDefault="00000000">
      <w:pPr>
        <w:keepNext/>
        <w:spacing w:after="160" w:line="240" w:lineRule="auto"/>
        <w:jc w:val="both"/>
      </w:pPr>
      <w:r>
        <w:rPr>
          <w:b/>
        </w:rPr>
        <w:t>Reviewer#1, Concern # 7:</w:t>
      </w:r>
      <w:r>
        <w:rPr>
          <w:b/>
        </w:rPr>
        <w:t xml:space="preserve"> The corrected GPT-5.5 experiments need an auditable description: model identifier, API settings, old and new token limits, parsing, invalid-response handling, retries, dates and failure counts. The four favorable SDXL/FLUX configurations need sample counts, class composition, routed accuracies, paired CIs and coverage.</w:t>
      </w:r>
    </w:p>
    <w:p w14:paraId="594044C0" w14:textId="77777777" w:rsidR="008175FF" w:rsidRDefault="00000000">
      <w:pPr>
        <w:keepNext/>
        <w:spacing w:after="160" w:line="240" w:lineRule="auto"/>
        <w:jc w:val="both"/>
      </w:pPr>
      <w:r>
        <w:rPr>
          <w:b/>
        </w:rPr>
        <w:t xml:space="preserve">Author response: </w:t>
      </w:r>
      <w:r>
        <w:rPr/>
        <w:t>We agree. The corrected runs were not documented well enough for a reader to check them.</w:t>
      </w:r>
    </w:p>
    <w:p w14:paraId="119A59F6" w14:textId="77777777" w:rsidR="008175FF" w:rsidRDefault="00000000">
      <w:pPr>
        <w:spacing w:after="280" w:line="240" w:lineRule="auto"/>
        <w:jc w:val="both"/>
      </w:pPr>
      <w:r>
        <w:rPr>
          <w:b/>
        </w:rPr>
        <w:t>Author action: Section IV.B.1 documents the model and API, the default parameters, the 2,048-4,096 token budget and the exact-match parser. The previous version's code capped output at 16-100 tokens and mapped empty or truncated responses to a fixed label; we reran every affected call and corrected 19 mislabeled SDXL/FLUX responses. Timestamps exist only for the rerun calls and are released. Coverage is now complete for every reported configuration. For the four SDXL/FLUX configurations, the verifier-subset table in Section V.B gives subset size (1,452-1,675), class composition, both accuracies and the paired 95% CI on the gap (+8.1 to +20.4 points).</w:t>
      </w:r>
    </w:p>
    <w:p w14:paraId="12120B18" w14:textId="0C5C6915" w:rsidR="008175FF" w:rsidRDefault="00000000">
      <w:pPr>
        <w:keepNext/>
        <w:spacing w:after="160" w:line="240" w:lineRule="auto"/>
        <w:jc w:val="both"/>
      </w:pPr>
      <w:r>
        <w:rPr>
          <w:b/>
        </w:rPr>
        <w:t>Reviewer#1, Concern # 8:</w:t>
      </w:r>
      <w:r>
        <w:rPr>
          <w:b/>
        </w:rPr>
        <w:t xml:space="preserve"> The entropy baseline uses only artifact-detector confidence at a fixed threshold. The 0.917 vs. 0.898 result in Table 11 conflicts with the claim of no measurable improvement. The contextual bandit has no reward, exploration or training procedure.</w:t>
      </w:r>
    </w:p>
    <w:p w14:paraId="594044C0" w14:textId="77777777" w:rsidR="008175FF" w:rsidRDefault="00000000">
      <w:pPr>
        <w:keepNext/>
        <w:spacing w:after="160" w:line="240" w:lineRule="auto"/>
        <w:jc w:val="both"/>
      </w:pPr>
      <w:r>
        <w:rPr>
          <w:b/>
        </w:rPr>
        <w:t xml:space="preserve">Author response: </w:t>
      </w:r>
      <w:r>
        <w:rPr/>
        <w:t>We agree with all three points. The joint confidence baseline also changed our view: disagreement is not a more accurate routing signal than calibrated confidence under shift, and we no longer claim it is.</w:t>
      </w:r>
    </w:p>
    <w:p w14:paraId="119A59F6" w14:textId="77777777" w:rsidR="008175FF" w:rsidRDefault="00000000">
      <w:pPr>
        <w:spacing w:after="280" w:line="240" w:lineRule="auto"/>
        <w:jc w:val="both"/>
      </w:pPr>
      <w:r>
        <w:rPr>
          <w:b/>
        </w:rPr>
        <w:t>Author action: Section V.C adds a joint confidence baseline, with its threshold fit on held-out data at the disagreement rule's escalation rate. Disagreement is more accurate in-domain on SD 1.4 and BigGAN. Under the SDXL/FLUX shift the confidence rule is tied or up to 1.7 points better, and the cascade's gain is similar with either signal, so C4 now presents disagreement as the simplest signal. Recomputed on current data, the learned classifier and the disagreement rule make identical predictions (0.899 vs. 0.899, CI [0.000, 0.000]), and the 0.917 is withdrawn. The bandit is renamed a learned escalation classifier, with its features and training label in Section VI.C.</w:t>
      </w:r>
    </w:p>
    <w:p w14:paraId="12120B18" w14:textId="0C5C6915" w:rsidR="008175FF" w:rsidRDefault="00000000">
      <w:pPr>
        <w:keepNext/>
        <w:spacing w:after="160" w:line="240" w:lineRule="auto"/>
        <w:jc w:val="both"/>
      </w:pPr>
      <w:r>
        <w:rPr>
          <w:b/>
        </w:rPr>
        <w:t>Reviewer#1, Concern # 9:</w:t>
      </w:r>
      <w:r>
        <w:rPr>
          <w:b/>
        </w:rPr>
        <w:t xml:space="preserve"> BigGAN's near-perfect FFT accuracy needs controls for compression, resolution and source differences, and the FFT/DCT features, preprocessing and training should be fully specified.</w:t>
      </w:r>
    </w:p>
    <w:p w14:paraId="594044C0" w14:textId="77777777" w:rsidR="008175FF" w:rsidRDefault="00000000">
      <w:pPr>
        <w:keepNext/>
        <w:spacing w:after="160" w:line="240" w:lineRule="auto"/>
        <w:jc w:val="both"/>
      </w:pPr>
      <w:r>
        <w:rPr>
          <w:b/>
        </w:rPr>
        <w:t xml:space="preserve">Author response: </w:t>
      </w:r>
      <w:r>
        <w:rPr/>
        <w:t>We agree, and the concern was well founded. Image size explains most of BigGAN's FFT accuracy, and the SDXL/FLUX benchmark behind our positive result has a similar size difference.</w:t>
      </w:r>
    </w:p>
    <w:p w14:paraId="119A59F6" w14:textId="77777777" w:rsidR="008175FF" w:rsidRDefault="00000000">
      <w:pPr>
        <w:spacing w:after="280" w:line="240" w:lineRule="auto"/>
        <w:jc w:val="both"/>
      </w:pPr>
      <w:r>
        <w:rPr>
          <w:b/>
        </w:rPr>
        <w:t>Author action: On BigGAN, width and height alone give 99.55% accuracy, and matching resolution across classes drops the FFT detector to 50.1% (Section VI.G). We added JPEG, blur and rescaling tests for the cheap detectors. SDXL/FLUX has the same kind of shortcut (98.9-100% from size alone), so Section V.B.2 repeats that evaluation with every image resized to 256×256. The cascade's gain stays significant in all four configurations (3.9-7.1 points), while GPT-5.5's own accuracy falls 2.6-3.3 points. Section IV.B specifies the FFT/DCT features exactly, and Section II.A cites the shortcut analysis the reviewer pointed to. Because the verifier ranking on the BigGAN shift changes with input size, we also withdrew our model-scale claim (Section V.D.6).</w:t>
      </w:r>
    </w:p>
    <w:p w14:paraId="12120B18" w14:textId="0C5C6915" w:rsidR="008175FF" w:rsidRDefault="00000000">
      <w:pPr>
        <w:keepNext/>
        <w:spacing w:after="160" w:line="240" w:lineRule="auto"/>
        <w:jc w:val="both"/>
      </w:pPr>
      <w:r>
        <w:rPr>
          <w:b/>
        </w:rPr>
        <w:t>Reviewer#1, Concern # 10:</w:t>
      </w:r>
      <w:r>
        <w:rPr>
          <w:b/>
        </w:rPr>
        <w:t xml:space="preserve"> Token costs are promised but not reported, and the positive settings should compare the cascade directly with the cheap detectors and with GPT-5.5 on every input, not only report fewer verifier calls.</w:t>
      </w:r>
    </w:p>
    <w:p w14:paraId="594044C0" w14:textId="77777777" w:rsidR="008175FF" w:rsidRDefault="00000000">
      <w:pPr>
        <w:keepNext/>
        <w:spacing w:after="160" w:line="240" w:lineRule="auto"/>
        <w:jc w:val="both"/>
      </w:pPr>
      <w:r>
        <w:rPr>
          <w:b/>
        </w:rPr>
        <w:t xml:space="preserve">Author response: </w:t>
      </w:r>
      <w:r>
        <w:rPr/>
        <w:t>We agree. A reduced call count did not show the actual cost-accuracy trade-off.</w:t>
      </w:r>
    </w:p>
    <w:p w14:paraId="119A59F6" w14:textId="77777777" w:rsidR="008175FF" w:rsidRDefault="00000000">
      <w:pPr>
        <w:spacing w:after="280" w:line="240" w:lineRule="auto"/>
        <w:jc w:val="both"/>
      </w:pPr>
      <w:r>
        <w:rPr>
          <w:b/>
        </w:rPr>
        <w:t>Author action: We ran GPT-5.5 on every SDXL and FLUX image. Section VI.J and Table 5 compare the stale probe, the cascade and GPT-5.5 on every input, with costs from measured tokens at the Batch price. GPT-5.5 alone reaches 99.6% on SDXL and 97.1% on FLUX; the cascade reaches 89.3-94.0% at 42-51% of the cost. The paper states this 3.0-7.8 point gap and when the saving is worth it.</w:t>
      </w:r>
    </w:p>
    <w:p w14:paraId="12120B18" w14:textId="0C5C6915" w:rsidR="008175FF" w:rsidRDefault="00000000">
      <w:pPr>
        <w:keepNext/>
        <w:spacing w:after="160" w:line="240" w:lineRule="auto"/>
        <w:jc w:val="both"/>
      </w:pPr>
      <w:r>
        <w:rPr>
          <w:b/>
        </w:rPr>
        <w:t>Reviewer#1, Concern # 11:</w:t>
      </w:r>
      <w:r>
        <w:rPr>
          <w:b/>
        </w:rPr>
        <w:t xml:space="preserve"> Disagreement does not identify input difficulty in general. The title and conclusions should also acknowledge that the video experiments use isolated frames and do not validate temporal video forensics.</w:t>
      </w:r>
    </w:p>
    <w:p w14:paraId="594044C0" w14:textId="77777777" w:rsidR="008175FF" w:rsidRDefault="00000000">
      <w:pPr>
        <w:keepNext/>
        <w:spacing w:after="160" w:line="240" w:lineRule="auto"/>
        <w:jc w:val="both"/>
      </w:pPr>
      <w:r>
        <w:rPr>
          <w:b/>
        </w:rPr>
        <w:t xml:space="preserve">Author response: </w:t>
      </w:r>
      <w:r>
        <w:rPr/>
        <w:t>We agree on both points.</w:t>
      </w:r>
    </w:p>
    <w:p w14:paraId="119A59F6" w14:textId="77777777" w:rsidR="008175FF" w:rsidRDefault="00000000">
      <w:pPr>
        <w:spacing w:after="280" w:line="240" w:lineRule="auto"/>
        <w:jc w:val="both"/>
      </w:pPr>
      <w:r>
        <w:rPr>
          <w:b/>
        </w:rPr>
        <w:t>Author action: We changed the title to "On Reliable Frame-Level Detection of AI-Generated Multimedia Content." The abstract, Limitations and Conclusion state that all experiments use isolated frames and do not validate temporal video forensics. The difficulty wording is gone: the paper says disagreement flags inputs where a cheap detector is unreliable, and notes that the semantic probe stays 96.1% accurate on GenBuster's disagreement subset.</w:t>
      </w:r>
    </w:p>
    <w:p w14:paraId="12120B18" w14:textId="0C5C6915" w:rsidR="008175FF" w:rsidRDefault="00000000">
      <w:pPr>
        <w:keepNext/>
        <w:spacing w:after="160" w:line="240" w:lineRule="auto"/>
        <w:jc w:val="both"/>
      </w:pPr>
      <w:r>
        <w:rPr>
          <w:b/>
        </w:rPr>
        <w:t>Reviewer#1, Concern # 12:</w:t>
      </w:r>
      <w:r>
        <w:rPr>
          <w:b/>
        </w:rPr>
        <w:t xml:space="preserve"> Disagreement routing, model cascades and calibration-based selection are established ideas, and Eq. (4) is a decomposition rather than a theoretical result.</w:t>
      </w:r>
    </w:p>
    <w:p w14:paraId="594044C0" w14:textId="77777777" w:rsidR="008175FF" w:rsidRDefault="00000000">
      <w:pPr>
        <w:keepNext/>
        <w:spacing w:after="160" w:line="240" w:lineRule="auto"/>
        <w:jc w:val="both"/>
      </w:pPr>
      <w:r>
        <w:rPr>
          <w:b/>
        </w:rPr>
        <w:t xml:space="preserve">Author response: </w:t>
      </w:r>
      <w:r>
        <w:rPr/>
        <w:t>We agree. The contribution is empirical: when disagreement-based escalation helps or hurts AI-generated image detection.</w:t>
      </w:r>
    </w:p>
    <w:p w14:paraId="119A59F6" w14:textId="77777777" w:rsidR="008175FF" w:rsidRDefault="00000000">
      <w:pPr>
        <w:spacing w:after="280" w:line="240" w:lineRule="auto"/>
        <w:jc w:val="both"/>
      </w:pPr>
      <w:r>
        <w:rPr>
          <w:b/>
        </w:rPr>
        <w:t>Author action: C2 now says we evaluate the routing rule, and the contributions are stated as empirical findings.</w:t>
      </w:r>
    </w:p>
    <w:p w14:paraId="12120B18" w14:textId="0C5C6915" w:rsidR="008175FF" w:rsidRDefault="00000000">
      <w:pPr>
        <w:keepNext/>
        <w:spacing w:after="160" w:line="240" w:lineRule="auto"/>
        <w:jc w:val="both"/>
      </w:pPr>
      <w:r>
        <w:rPr>
          <w:b/>
        </w:rPr>
        <w:t>Reviewer#2, Concern # 1:</w:t>
      </w:r>
      <w:r>
        <w:rPr>
          <w:b/>
        </w:rPr>
        <w:t xml:space="preserve"> Add the clarification about bootstrap resampling to the caption of the sensitivity table.</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The gate table caption now states that for subsets under 200 samples, larger N resample with replacement and add no independent labels.</w:t>
      </w:r>
    </w:p>
    <w:p w14:paraId="12120B18" w14:textId="0C5C6915" w:rsidR="008175FF" w:rsidRDefault="00000000">
      <w:pPr>
        <w:keepNext/>
        <w:spacing w:after="160" w:line="240" w:lineRule="auto"/>
        <w:jc w:val="both"/>
      </w:pPr>
      <w:r>
        <w:rPr>
          <w:b/>
        </w:rPr>
        <w:t>Reviewer#2, Concern # 2:</w:t>
      </w:r>
      <w:r>
        <w:rPr>
          <w:b/>
        </w:rPr>
        <w:t xml:space="preserve"> Rephrase "routing identifies difficult inputs, but the selected verifier cannot improve them," since the semantic probe remains accurate on those inputs.</w:t>
      </w:r>
    </w:p>
    <w:p w14:paraId="594044C0" w14:textId="77777777" w:rsidR="008175FF" w:rsidRDefault="00000000">
      <w:pPr>
        <w:keepNext/>
        <w:spacing w:after="160" w:line="240" w:lineRule="auto"/>
        <w:jc w:val="both"/>
      </w:pPr>
      <w:r>
        <w:rPr>
          <w:b/>
        </w:rPr>
        <w:t xml:space="preserve">Author response: </w:t>
      </w:r>
      <w:r>
        <w:rPr/>
        <w:t>We agree. The original wording described the routed inputs inaccurately.</w:t>
      </w:r>
    </w:p>
    <w:p w14:paraId="119A59F6" w14:textId="77777777" w:rsidR="008175FF" w:rsidRDefault="00000000">
      <w:pPr>
        <w:spacing w:after="280" w:line="240" w:lineRule="auto"/>
        <w:jc w:val="both"/>
      </w:pPr>
      <w:r>
        <w:rPr>
          <w:b/>
        </w:rPr>
        <w:t>Author action: Section V.B now says the semantic probe stays 96.1% accurate on GenBuster's disagreement subset, so disagreement there flags artifact-detector failure, and escalating to a weaker verifier replaces correct predictions.</w:t>
      </w:r>
    </w:p>
    <w:p w14:paraId="12120B18" w14:textId="0C5C6915" w:rsidR="008175FF" w:rsidRDefault="00000000">
      <w:pPr>
        <w:keepNext/>
        <w:spacing w:after="160" w:line="240" w:lineRule="auto"/>
        <w:jc w:val="both"/>
      </w:pPr>
      <w:r>
        <w:rPr>
          <w:b/>
        </w:rPr>
        <w:t>Reviewer#2, Concern # 3:</w:t>
      </w:r>
      <w:r>
        <w:rPr>
          <w:b/>
        </w:rPr>
        <w:t xml:space="preserve"> State precisely where the cascade significantly outperforms random triggering.</w:t>
      </w:r>
    </w:p>
    <w:p w14:paraId="594044C0" w14:textId="77777777" w:rsidR="008175FF" w:rsidRDefault="00000000">
      <w:pPr>
        <w:keepNext/>
        <w:spacing w:after="160" w:line="240" w:lineRule="auto"/>
        <w:jc w:val="both"/>
      </w:pPr>
      <w:r>
        <w:rPr>
          <w:b/>
        </w:rPr>
        <w:t xml:space="preserve">Author response: </w:t>
      </w:r>
      <w:r>
        <w:rPr/>
        <w:t>We agree. The claim was broader than the results.</w:t>
      </w:r>
    </w:p>
    <w:p w14:paraId="119A59F6" w14:textId="77777777" w:rsidR="008175FF" w:rsidRDefault="00000000">
      <w:pPr>
        <w:spacing w:after="280" w:line="240" w:lineRule="auto"/>
        <w:jc w:val="both"/>
      </w:pPr>
      <w:r>
        <w:rPr>
          <w:b/>
        </w:rPr>
        <w:t>Author action: Section V.D.1 now reports the result per dataset: a clear gain on SD 1.4 (0.874 vs. 0.833), a small one on BigGAN (0.995 vs. 0.990, near ceiling) and none on GenBuster (0.899 vs. 0.900).</w:t>
      </w:r>
    </w:p>
    <w:p w14:paraId="12120B18" w14:textId="0C5C6915" w:rsidR="008175FF" w:rsidRDefault="00000000">
      <w:pPr>
        <w:keepNext/>
        <w:spacing w:after="160" w:line="240" w:lineRule="auto"/>
        <w:jc w:val="both"/>
      </w:pPr>
      <w:r>
        <w:rPr>
          <w:b/>
        </w:rPr>
        <w:t>Reviewer#2, Concern # 4:</w:t>
      </w:r>
      <w:r>
        <w:rPr>
          <w:b/>
        </w:rPr>
        <w:t xml:space="preserve"> Add a single table that maps every tested configuration to Case 1, 2, 3 or the breakdown condition.</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Section VI.B adds this table. A configuration counts as Case 3 only if the verifier beats the best cheap detector on its disagreement subset with a 95% CI above zero, and six configurations do.</w:t>
      </w:r>
    </w:p>
    <w:sectPr w:rsidR="008175F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112582">
    <w:abstractNumId w:val="8"/>
  </w:num>
  <w:num w:numId="2" w16cid:durableId="1845046630">
    <w:abstractNumId w:val="6"/>
  </w:num>
  <w:num w:numId="3" w16cid:durableId="974529120">
    <w:abstractNumId w:val="5"/>
  </w:num>
  <w:num w:numId="4" w16cid:durableId="1182890635">
    <w:abstractNumId w:val="4"/>
  </w:num>
  <w:num w:numId="5" w16cid:durableId="2004509651">
    <w:abstractNumId w:val="7"/>
  </w:num>
  <w:num w:numId="6" w16cid:durableId="1656644942">
    <w:abstractNumId w:val="3"/>
  </w:num>
  <w:num w:numId="7" w16cid:durableId="577372777">
    <w:abstractNumId w:val="2"/>
  </w:num>
  <w:num w:numId="8" w16cid:durableId="1321496123">
    <w:abstractNumId w:val="1"/>
  </w:num>
  <w:num w:numId="9" w16cid:durableId="7902426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3012"/>
    <w:rsid w:val="00326F90"/>
    <w:rsid w:val="00391B3C"/>
    <w:rsid w:val="008175FF"/>
    <w:rsid w:val="00AA1D8D"/>
    <w:rsid w:val="00AF7D5B"/>
    <w:rsid w:val="00B47730"/>
    <w:rsid w:val="00CB0664"/>
    <w:rsid w:val="00CF65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AD835"/>
  <w14:defaultImageDpi w14:val="300"/>
  <w15:docId w15:val="{DA2D1D7B-E828-2844-AFB6-EDA0F354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for Manuscript Access-2026-36755</dc:title>
  <dc:subject>Point-by-point response to Reviewer 1</dc:subject>
  <dc:creator>python-docx</dc:creator>
  <cp:keywords/>
  <dc:description>generated by python-docx</dc:description>
  <cp:lastModifiedBy>Nayak, Ansuman</cp:lastModifiedBy>
  <cp:revision>3</cp:revision>
  <dcterms:created xsi:type="dcterms:W3CDTF">2026-09-21T00:36:00Z</dcterms:created>
  <dcterms:modified xsi:type="dcterms:W3CDTF">2026-09-21T00:36:00Z</dcterms:modified>
  <cp:category/>
</cp:coreProperties>
</file>