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A9A8E" w14:textId="77777777" w:rsidR="008175FF" w:rsidRDefault="00000000">
      <w:pPr>
        <w:spacing w:after="160" w:line="240" w:lineRule="auto"/>
        <w:jc w:val="both"/>
      </w:pPr>
      <w:r>
        <w:rPr>
          <w:b/>
        </w:rPr>
        <w:t>Manuscript ID:</w:t>
      </w:r>
      <w:r>
        <w:t xml:space="preserve"> Access-2026-36755</w:t>
      </w:r>
    </w:p>
    <w:p w14:paraId="0577F3E2" w14:textId="77777777" w:rsidR="008175FF" w:rsidRDefault="00000000">
      <w:pPr>
        <w:spacing w:after="600" w:line="240" w:lineRule="auto"/>
        <w:jc w:val="both"/>
      </w:pPr>
      <w:r>
        <w:rPr>
          <w:b/>
        </w:rPr>
        <w:t>Original Article Title:</w:t>
      </w:r>
      <w:r>
        <w:t xml:space="preserve"> "On Reliable Detection of AI-Generated Multimedia Content"</w:t>
      </w:r>
    </w:p>
    <w:p w14:paraId="65D3E4B7" w14:textId="77777777" w:rsidR="008175FF" w:rsidRDefault="00000000">
      <w:pPr>
        <w:spacing w:after="160" w:line="240" w:lineRule="auto"/>
        <w:jc w:val="both"/>
      </w:pPr>
      <w:r>
        <w:rPr>
          <w:b/>
        </w:rPr>
        <w:t>To:</w:t>
      </w:r>
      <w:r>
        <w:t xml:space="preserve"> IEEE Access Editor</w:t>
      </w:r>
    </w:p>
    <w:p w14:paraId="0CFA227D" w14:textId="77777777" w:rsidR="008175FF" w:rsidRDefault="00000000">
      <w:pPr>
        <w:spacing w:after="600" w:line="240" w:lineRule="auto"/>
        <w:jc w:val="both"/>
      </w:pPr>
      <w:r>
        <w:rPr>
          <w:b/>
        </w:rPr>
        <w:t>Re:</w:t>
      </w:r>
      <w:r>
        <w:t xml:space="preserve"> Response to reviewers</w:t>
      </w:r>
    </w:p>
    <w:p w14:paraId="7309DF5D" w14:textId="77777777" w:rsidR="008175FF" w:rsidRDefault="00000000">
      <w:pPr>
        <w:spacing w:after="600" w:line="240" w:lineRule="auto"/>
        <w:jc w:val="both"/>
      </w:pPr>
      <w:r>
        <w:t>Dear Editor,</w:t>
      </w:r>
    </w:p>
    <w:p w14:paraId="5CCAD756" w14:textId="77777777" w:rsidR="008175FF" w:rsidRDefault="00000000">
      <w:pPr>
        <w:spacing w:after="240" w:line="240" w:lineRule="auto"/>
        <w:jc w:val="both"/>
      </w:pPr>
      <w:r>
        <w:t>Thank you for the opportunity to revise and resubmit our manuscript.</w:t>
      </w:r>
    </w:p>
    <w:p w14:paraId="6CB3F54D" w14:textId="77777777" w:rsidR="008175FF" w:rsidRDefault="00000000">
      <w:pPr>
        <w:spacing w:after="1240" w:line="240" w:lineRule="auto"/>
        <w:jc w:val="both"/>
      </w:pPr>
      <w:r>
        <w:t>Please find our point-by-point response below. The revised manuscript incorporates the changes described in each author action.</w:t>
      </w:r>
    </w:p>
    <w:p w14:paraId="4ED67CDD" w14:textId="77777777" w:rsidR="008175FF" w:rsidRDefault="00000000">
      <w:pPr>
        <w:spacing w:after="0" w:line="240" w:lineRule="auto"/>
        <w:jc w:val="both"/>
      </w:pPr>
      <w:r>
        <w:t>Best regards,</w:t>
      </w:r>
    </w:p>
    <w:p w14:paraId="158107B9" w14:textId="77777777" w:rsidR="008175FF" w:rsidRDefault="00000000">
      <w:r>
        <w:br w:type="page"/>
      </w:r>
    </w:p>
    <w:p w14:paraId="50380D2A" w14:textId="77777777" w:rsidR="002B3012" w:rsidRDefault="002B3012">
      <w:pPr>
        <w:keepNext/>
        <w:spacing w:after="160" w:line="240" w:lineRule="auto"/>
        <w:jc w:val="both"/>
        <w:rPr>
          <w:b/>
          <w:color w:val="008000"/>
        </w:rPr>
      </w:pPr>
    </w:p>
    <w:p w14:paraId="12120B18" w14:textId="0C5C6915" w:rsidR="008175FF" w:rsidRDefault="00000000">
      <w:pPr>
        <w:keepNext/>
        <w:spacing w:after="160" w:line="240" w:lineRule="auto"/>
        <w:jc w:val="both"/>
      </w:pPr>
      <w:r>
        <w:rPr>
          <w:b/>
        </w:rPr>
        <w:t>Reviewer#1, Concern # 1:</w:t>
      </w:r>
      <w:r>
        <w:rPr>
          <w:b/>
        </w:rPr>
        <w:t xml:space="preserve"> The gate's validation compares bootstrap resamples with an oracle computed from the same disagreement pool, which shows resampling stability rather than generalization to new inputs. The N ≥ 100 recommendation is not established, since 11 of 35 configurations miss the criterion at that size.</w:t>
      </w:r>
    </w:p>
    <w:p w14:paraId="594044C0" w14:textId="77777777" w:rsidR="008175FF" w:rsidRDefault="00000000">
      <w:pPr>
        <w:keepNext/>
        <w:spacing w:after="160" w:line="240" w:lineRule="auto"/>
        <w:jc w:val="both"/>
      </w:pPr>
      <w:r>
        <w:rPr>
          <w:b/>
        </w:rPr>
        <w:t xml:space="preserve">Author response: </w:t>
      </w:r>
      <w:r>
        <w:rPr/>
        <w:t>We agree. The same-pool analysis measured how stable the gate's decision is, not how it performs on unseen inputs, and our recommendation claimed more than it showed.</w:t>
      </w:r>
    </w:p>
    <w:p w14:paraId="119A59F6" w14:textId="77777777" w:rsidR="008175FF" w:rsidRDefault="00000000">
      <w:pPr>
        <w:spacing w:after="280" w:line="240" w:lineRule="auto"/>
        <w:jc w:val="both"/>
      </w:pPr>
      <w:r>
        <w:rPr>
          <w:b/>
        </w:rPr>
        <w:t>Author action: We added a held-out evaluation in Section VI.I.1. For each configuration we split the disagreement subset into disjoint calibration and test sets (250 draws at N = 50, 100 and 200, and at half the pool), freeze the gate's decision on the calibration set, and score it against the test set's own oracle. Two BigGAN configurations have only 14 disagreement samples and are excluded, leaving 33. With the significance-aware rule from Concern 2, the gate reaches at least 90% agreement in 17 of 33 configurations at N = 50, 21 at N = 100 and 25 at N = 200, below the same-pool figures. We now recommend N ≈ 200 or the full available pool, and state that close-margin configurations can remain unreliable even then. The gate-reliability table reports the held-out results next to the same-pool results, notes where N is capped at half of a small pool, and shows how often the gate enables escalation on the four SDXL/FLUX configurations behind our positive result. FLUX/SigLIP2, the one with the smallest margin, escalates in only 63% of draws at N = 100.</w:t>
      </w:r>
    </w:p>
    <w:p w14:paraId="12120B18" w14:textId="0C5C6915" w:rsidR="008175FF" w:rsidRDefault="00000000">
      <w:pPr>
        <w:keepNext/>
        <w:spacing w:after="160" w:line="240" w:lineRule="auto"/>
        <w:jc w:val="both"/>
      </w:pPr>
      <w:r>
        <w:rPr>
          <w:b/>
        </w:rPr>
        <w:t>Reviewer#1, Concern # 2:</w:t>
      </w:r>
      <w:r>
        <w:rPr>
          <w:b/>
        </w:rPr>
        <w:t xml:space="preserve"> The gate escalates whenever the verifier's accuracy exceeds both cheap detectors by any margin, which may be sampling noise. Calibrating on the disagreement subset also cannot establish the reliability of the agreement path.</w:t>
      </w:r>
    </w:p>
    <w:p w14:paraId="594044C0" w14:textId="77777777" w:rsidR="008175FF" w:rsidRDefault="00000000">
      <w:pPr>
        <w:keepNext/>
        <w:spacing w:after="160" w:line="240" w:lineRule="auto"/>
        <w:jc w:val="both"/>
      </w:pPr>
      <w:r>
        <w:rPr>
          <w:b/>
        </w:rPr>
        <w:t xml:space="preserve">Author response: </w:t>
      </w:r>
      <w:r>
        <w:rPr/>
        <w:t>We agree on both points. A point estimate is not enough to justify escalation, and the agreement path needs its own check.</w:t>
      </w:r>
    </w:p>
    <w:p w14:paraId="119A59F6" w14:textId="77777777" w:rsidR="008175FF" w:rsidRDefault="00000000">
      <w:pPr>
        <w:spacing w:after="280" w:line="240" w:lineRule="auto"/>
        <w:jc w:val="both"/>
      </w:pPr>
      <w:r>
        <w:rPr>
          <w:b/>
        </w:rPr>
        <w:t>Author action: The gate now escalates only if the paired-bootstrap 95% interval on the verifier's accuracy gap over the stronger cheap detector lies entirely above zero (Section VI.I). On held-out test sets this lowers harmful escalations from 7.3% to 0.3% at N = 50. It also misses more beneficial escalations (14-18% of draws, against 2-9% for the point-estimate rule), so the paper presents the two rules as a trade-off between the two kinds of error. We also audited the agreement path on every dataset. In-domain it is 96.8-99.8% accurate. Under the SDXL/FLUX shift it falls to 83.9-91.8%, and 8.2-16.1% of agreement-path inputs are errors both cheap detectors share, four to eight times the in-domain rate. Section VI.I and the Limitations report these results.</w:t>
      </w:r>
    </w:p>
    <w:p w14:paraId="12120B18" w14:textId="0C5C6915" w:rsidR="008175FF" w:rsidRDefault="00000000">
      <w:pPr>
        <w:keepNext/>
        <w:spacing w:after="160" w:line="240" w:lineRule="auto"/>
        <w:jc w:val="both"/>
      </w:pPr>
      <w:r>
        <w:rPr>
          <w:b/>
        </w:rPr>
        <w:t>Reviewer#1, Concern # 3:</w:t>
      </w:r>
      <w:r>
        <w:rPr>
          <w:b/>
        </w:rPr>
        <w:t xml:space="preserve"> The binary gate falls back to the stronger cheap detector, so it already selects the best of the three detectors. This conflicts with the claim that it cannot represent artifact-detector selection, and the difference between the two rules at N = 10 is not explained.</w:t>
      </w:r>
    </w:p>
    <w:p w14:paraId="594044C0" w14:textId="77777777" w:rsidR="008175FF" w:rsidRDefault="00000000">
      <w:pPr>
        <w:keepNext/>
        <w:spacing w:after="160" w:line="240" w:lineRule="auto"/>
        <w:jc w:val="both"/>
      </w:pPr>
      <w:r>
        <w:rPr>
          <w:b/>
        </w:rPr>
        <w:t xml:space="preserve">Author response: </w:t>
      </w:r>
      <w:r>
        <w:rPr/>
        <w:t>The reviewer is correct, and we retract the claim. As decision rules, the binary gate and the three-way selector are identical.</w:t>
      </w:r>
    </w:p>
    <w:p w14:paraId="119A59F6" w14:textId="77777777" w:rsidR="008175FF" w:rsidRDefault="00000000">
      <w:pPr>
        <w:spacing w:after="280" w:line="240" w:lineRule="auto"/>
        <w:jc w:val="both"/>
      </w:pPr>
      <w:r>
        <w:rPr>
          <w:b/>
        </w:rPr>
        <w:t>Author action: Section VI.I now defines both rules as equations and states that they choose the same action in every case. The only difference was in our evaluation: the binary analysis checked the escalate-or-fallback decision, while the three-way analysis also checked which cheap detector was chosen. At N = 10, the resampled accuracies of the two cheap detectors can tie or reverse, which changes the chosen cheap detector without changing the escalation decision. Two configurations account for the whole N = 10 gap (13 vs. 11 of 35), and it disappears by N = 20. Section VI.I.3 now describes the three-way rule as reporting the selected detector explicitly, not as a different decision.</w:t>
      </w:r>
    </w:p>
    <w:p w14:paraId="12120B18" w14:textId="0C5C6915" w:rsidR="008175FF" w:rsidRDefault="00000000">
      <w:pPr>
        <w:keepNext/>
        <w:spacing w:after="160" w:line="240" w:lineRule="auto"/>
        <w:jc w:val="both"/>
      </w:pPr>
      <w:r>
        <w:rPr>
          <w:b/>
        </w:rPr>
        <w:t>Reviewer#1, Concern # 4:</w:t>
      </w:r>
      <w:r>
        <w:rPr>
          <w:b/>
        </w:rPr>
        <w:t xml:space="preserve"> Replacing AIGIBench's PASCAL VOC real images after GPT-5.5 misclassified 82-97% of them is selection after failure. Results on the original images and on an independently chosen real-image source should be reported.</w:t>
      </w:r>
    </w:p>
    <w:p w14:paraId="594044C0" w14:textId="77777777" w:rsidR="008175FF" w:rsidRDefault="00000000">
      <w:pPr>
        <w:keepNext/>
        <w:spacing w:after="160" w:line="240" w:lineRule="auto"/>
        <w:jc w:val="both"/>
      </w:pPr>
      <w:r>
        <w:rPr>
          <w:b/>
        </w:rPr>
        <w:t xml:space="preserve">Author response: </w:t>
      </w:r>
      <w:r>
        <w:rPr/>
        <w:t>We agree that this had to be shown rather than argued. The original images turned out to carry a confound that affects every detector, not only GPT-5.5.</w:t>
      </w:r>
    </w:p>
    <w:p w14:paraId="119A59F6" w14:textId="77777777" w:rsidR="008175FF" w:rsidRDefault="00000000">
      <w:pPr>
        <w:spacing w:after="280" w:line="240" w:lineRule="auto"/>
        <w:jc w:val="both"/>
      </w:pPr>
      <w:r>
        <w:rPr>
          <w:b/>
        </w:rPr>
        <w:t>Author action: Section IV.B and a new table report the full cascade on the original PASCAL VOC images and on COCO val2017, an independent source, alongside the ImageNet benchmark. Escalating to GPT-5.5 improves on the stale semantic probe under all three sources: by 2.5-5.5 points on PASCAL VOC, 4.1-9.0 on COCO and 3.4-7.9 on ImageNet. Under PASCAL VOC the whole cascade degrades (72.9-77.9% accuracy) because the FFT detector also labels 83-85% of these photographs fake. The bundled PASCAL VOC images are all 256×256 while every fake is 1,024×1,024, so image size alone separates the two classes. We no longer recommend replacing compressed photographs in general.</w:t>
      </w:r>
    </w:p>
    <w:p w14:paraId="12120B18" w14:textId="0C5C6915" w:rsidR="008175FF" w:rsidRDefault="00000000">
      <w:pPr>
        <w:keepNext/>
        <w:spacing w:after="160" w:line="240" w:lineRule="auto"/>
        <w:jc w:val="both"/>
      </w:pPr>
      <w:r>
        <w:rPr>
          <w:b/>
        </w:rPr>
        <w:t>Reviewer#1, Concern # 5:</w:t>
      </w:r>
      <w:r>
        <w:rPr>
          <w:b/>
        </w:rPr>
        <w:t xml:space="preserve"> The SDXL real- and fake-class recall figures in the Limitations do not reconcile with the overall cascade accuracy in Table 5.</w:t>
      </w:r>
    </w:p>
    <w:p w14:paraId="594044C0" w14:textId="77777777" w:rsidR="008175FF" w:rsidRDefault="00000000">
      <w:pPr>
        <w:keepNext/>
        <w:spacing w:after="160" w:line="240" w:lineRule="auto"/>
        <w:jc w:val="both"/>
      </w:pPr>
      <w:r>
        <w:rPr>
          <w:b/>
        </w:rPr>
        <w:t xml:space="preserve">Author response: </w:t>
      </w:r>
      <w:r>
        <w:rPr/>
        <w:t>The reviewer is right, and the cause was a bug in our pipeline. The two sets of numbers came from probe snapshots trained at different times, and Table 5 also fell back to the semantic probe wherever a GPT-5.5 answer was missing.</w:t>
      </w:r>
    </w:p>
    <w:p w14:paraId="119A59F6" w14:textId="77777777" w:rsidR="008175FF" w:rsidRDefault="00000000">
      <w:pPr>
        <w:spacing w:after="280" w:line="240" w:lineRule="auto"/>
        <w:jc w:val="both"/>
      </w:pPr>
      <w:r>
        <w:rPr>
          <w:b/>
        </w:rPr>
        <w:t>Author action: We rebuilt both from one probe snapshot with complete GPT-5.5 coverage of the disagreement subsets. The corrected numbers reconcile, and they reverse one claim: real-class recall increases under escalation in all four configurations rather than declining (Section VI.G). We then checked every table and inline number against a single results pipeline and found other stale values. The GenBuster CLIP result came from a probe that had seen part of its evaluation set (see Concern 6), and the cheap-trigger, transfer, probe-degradation, cross-family and per-generator results came from older runs. All tables are now regenerated on the same evaluation sets. One result changed: the BigGAN→GenBuster cross-family pairing is now a small, significant gain over in-domain FFT (+3.0 points, 95% CI [+0.5, +5.5]) rather than a tie.</w:t>
      </w:r>
    </w:p>
    <w:p w14:paraId="12120B18" w14:textId="0C5C6915" w:rsidR="008175FF" w:rsidRDefault="00000000">
      <w:pPr>
        <w:keepNext/>
        <w:spacing w:after="160" w:line="240" w:lineRule="auto"/>
        <w:jc w:val="both"/>
      </w:pPr>
      <w:r>
        <w:rPr>
          <w:b/>
        </w:rPr>
        <w:t>Reviewer#1, Concern # 6:</w:t>
      </w:r>
      <w:r>
        <w:rPr>
          <w:b/>
        </w:rPr>
        <w:t xml:space="preserve"> The stated 50%/20%/40% nested split does not reproduce the reported evaluation-set sizes. The procedure needs exact partition counts and a check for real images reused across benchmarks.</w:t>
      </w:r>
    </w:p>
    <w:p w14:paraId="594044C0" w14:textId="77777777" w:rsidR="008175FF" w:rsidRDefault="00000000">
      <w:pPr>
        <w:keepNext/>
        <w:spacing w:after="160" w:line="240" w:lineRule="auto"/>
        <w:jc w:val="both"/>
      </w:pPr>
      <w:r>
        <w:rPr>
          <w:b/>
        </w:rPr>
        <w:t xml:space="preserve">Author response: </w:t>
      </w:r>
      <w:r>
        <w:rPr/>
        <w:t>We agree. The described procedure did not match what the code did.</w:t>
      </w:r>
    </w:p>
    <w:p w14:paraId="119A59F6" w14:textId="77777777" w:rsidR="008175FF" w:rsidRDefault="00000000">
      <w:pPr>
        <w:spacing w:after="280" w:line="240" w:lineRule="auto"/>
        <w:jc w:val="both"/>
      </w:pPr>
      <w:r>
        <w:rPr>
          <w:b/>
        </w:rPr>
        <w:t>Author action: Section V.A now describes the actual split: a stratified evaluation set of fixed size (1,000 for GenBuster, whose full pool is 2,000; 2,000 each for SD 1.4 and BigGAN, from 12,000-image pools), with every detector trained on the rest of the pool and no nested validation split. Checking this exposed a leak: the GenBuster CLIP probe had not been retrained after the evaluation set was expanded, so about 40% of its evaluation images were in its training data. It is now retrained. We also checked real-image reuse. All SDXL and FLUX real images come from the SD 1.4 real pool, and about a third of SD 1.4's evaluation real images also appear in the SDXL/FLUX real class. Section V.A discloses this, and the split lists are released with the code.</w:t>
      </w:r>
    </w:p>
    <w:p w14:paraId="12120B18" w14:textId="0C5C6915" w:rsidR="008175FF" w:rsidRDefault="00000000">
      <w:pPr>
        <w:keepNext/>
        <w:spacing w:after="160" w:line="240" w:lineRule="auto"/>
        <w:jc w:val="both"/>
      </w:pPr>
      <w:r>
        <w:rPr>
          <w:b/>
        </w:rPr>
        <w:t>Reviewer#1, Concern # 7:</w:t>
      </w:r>
      <w:r>
        <w:rPr>
          <w:b/>
        </w:rPr>
        <w:t xml:space="preserve"> The corrected GPT-5.5 experiments need an auditable description: model identifier, API settings, old and new token limits, parsing, invalid-response handling, retries, dates and failure counts. The four favorable SDXL/FLUX configurations need sample counts, class composition, routed accuracies, paired CIs and coverage.</w:t>
      </w:r>
    </w:p>
    <w:p w14:paraId="594044C0" w14:textId="77777777" w:rsidR="008175FF" w:rsidRDefault="00000000">
      <w:pPr>
        <w:keepNext/>
        <w:spacing w:after="160" w:line="240" w:lineRule="auto"/>
        <w:jc w:val="both"/>
      </w:pPr>
      <w:r>
        <w:rPr>
          <w:b/>
        </w:rPr>
        <w:t xml:space="preserve">Author response: </w:t>
      </w:r>
      <w:r>
        <w:rPr/>
        <w:t>We agree. The corrected runs were not documented well enough for a reader to check them.</w:t>
      </w:r>
    </w:p>
    <w:p w14:paraId="119A59F6" w14:textId="77777777" w:rsidR="008175FF" w:rsidRDefault="00000000">
      <w:pPr>
        <w:spacing w:after="280" w:line="240" w:lineRule="auto"/>
        <w:jc w:val="both"/>
      </w:pPr>
      <w:r>
        <w:rPr>
          <w:b/>
        </w:rPr>
        <w:t>Author action: Section IV.B.1 now documents the model identifier and API, the parameters left at their defaults, the output budget (2,048 tokens rising to 4,096 over up to five retries, since budgets under about 100 tokens truncate the answer), and the parser, which accepts only an exact REAL or FAKE and never defaults to a label. The previous version's code capped output at 16-100 tokens and mapped empty or truncated responses to a fixed label; we reran every affected call and corrected 19 SDXL/FLUX responses that had been mislabeled. Per-call timestamps exist only for the rerun calls and are released with the per-sample files. GPT-5.5 and Qwen coverage is now complete for every reported configuration, including the GenBuster and SD 1.4 disagreement subsets that were partial before. For the four SDXL/FLUX configurations, the verifier-subset table in Section V.B reports the subset size (1,452-1,675), its class composition, GPT-5.5 and best-cheap accuracy, and the paired 95% CI on the gap (+8.1 to +20.4 points).</w:t>
      </w:r>
    </w:p>
    <w:p w14:paraId="12120B18" w14:textId="0C5C6915" w:rsidR="008175FF" w:rsidRDefault="00000000">
      <w:pPr>
        <w:keepNext/>
        <w:spacing w:after="160" w:line="240" w:lineRule="auto"/>
        <w:jc w:val="both"/>
      </w:pPr>
      <w:r>
        <w:rPr>
          <w:b/>
        </w:rPr>
        <w:t>Reviewer#1, Concern # 8:</w:t>
      </w:r>
      <w:r>
        <w:rPr>
          <w:b/>
        </w:rPr>
        <w:t xml:space="preserve"> The entropy baseline uses only artifact-detector confidence at a fixed threshold. The 0.917 vs. 0.898 result in Table 11 conflicts with the claim of no measurable improvement. The contextual bandit has no reward, exploration or training procedure.</w:t>
      </w:r>
    </w:p>
    <w:p w14:paraId="594044C0" w14:textId="77777777" w:rsidR="008175FF" w:rsidRDefault="00000000">
      <w:pPr>
        <w:keepNext/>
        <w:spacing w:after="160" w:line="240" w:lineRule="auto"/>
        <w:jc w:val="both"/>
      </w:pPr>
      <w:r>
        <w:rPr>
          <w:b/>
        </w:rPr>
        <w:t xml:space="preserve">Author response: </w:t>
      </w:r>
      <w:r>
        <w:rPr/>
        <w:t>We agree with all three points. The joint confidence baseline also changed our view: disagreement is not a more accurate routing signal than calibrated confidence under shift, and we no longer claim it is.</w:t>
      </w:r>
    </w:p>
    <w:p w14:paraId="119A59F6" w14:textId="77777777" w:rsidR="008175FF" w:rsidRDefault="00000000">
      <w:pPr>
        <w:spacing w:after="280" w:line="240" w:lineRule="auto"/>
        <w:jc w:val="both"/>
      </w:pPr>
      <w:r>
        <w:rPr>
          <w:b/>
        </w:rPr>
        <w:t>Author action: Section V.C adds a joint confidence baseline that escalates when the less confident of the two cheap probes is uncertain, with its threshold fit on held-out data to match the disagreement rule's escalation rate. Disagreement is more accurate in-domain on SD 1.4 and BigGAN and tied on GenBuster. Under the SDXL/FLUX shift the confidence rule is tied or better, by up to 1.7 points, and the cascade's gain over the stale probe is similar with either signal (3.6-7.7 points for confidence, 3.4-7.9 for disagreement). C4 and the conclusion now present disagreement as the simpler option, since it needs no threshold or probability outputs, rather than the more accurate one. The 0.917 in Table 11 could not be reproduced from current data. Recomputed, the learned classifier and the disagreement rule make identical predictions (0.899 vs. 0.899, paired CI [0.000, 0.000]). We renamed the bandit a learned escalation classifier and describe its features and training label in Section VI.C.</w:t>
      </w:r>
    </w:p>
    <w:p w14:paraId="12120B18" w14:textId="0C5C6915" w:rsidR="008175FF" w:rsidRDefault="00000000">
      <w:pPr>
        <w:keepNext/>
        <w:spacing w:after="160" w:line="240" w:lineRule="auto"/>
        <w:jc w:val="both"/>
      </w:pPr>
      <w:r>
        <w:rPr>
          <w:b/>
        </w:rPr>
        <w:t>Reviewer#1, Concern # 9:</w:t>
      </w:r>
      <w:r>
        <w:rPr>
          <w:b/>
        </w:rPr>
        <w:t xml:space="preserve"> BigGAN's near-perfect FFT accuracy needs controls for compression, resolution and source differences, and the FFT/DCT features, preprocessing and training should be fully specified.</w:t>
      </w:r>
    </w:p>
    <w:p w14:paraId="594044C0" w14:textId="77777777" w:rsidR="008175FF" w:rsidRDefault="00000000">
      <w:pPr>
        <w:keepNext/>
        <w:spacing w:after="160" w:line="240" w:lineRule="auto"/>
        <w:jc w:val="both"/>
      </w:pPr>
      <w:r>
        <w:rPr>
          <w:b/>
        </w:rPr>
        <w:t xml:space="preserve">Author response: </w:t>
      </w:r>
      <w:r>
        <w:rPr/>
        <w:t>We agree, and the concern was well founded. Image size explains most of BigGAN's FFT accuracy, and the SDXL/FLUX benchmark behind our positive result has a similar size difference.</w:t>
      </w:r>
    </w:p>
    <w:p w14:paraId="119A59F6" w14:textId="77777777" w:rsidR="008175FF" w:rsidRDefault="00000000">
      <w:pPr>
        <w:spacing w:after="280" w:line="240" w:lineRule="auto"/>
        <w:jc w:val="both"/>
      </w:pPr>
      <w:r>
        <w:rPr>
          <w:b/>
        </w:rPr>
        <w:t>Author action: A classifier given only image width and height reaches 99.55% on BigGAN, and passing the real images through the same downsampling as the fakes drops the trained FFT detector to 50.1% (Section VI.G). We added JPEG, blur and rescaling tests for all three cheap detectors. On SDXL/FLUX, a width-and-height classifier separates real from fake with 98.9-100% accuracy, so we repeated the deployment-shift evaluation with every image cropped and resized to 256×256, including a new GPT-5.5 run (Section V.B.2). The cascade's gain over the stale probe remains significant in all four configurations (3.9-7.1 points), and GPT-5.5 still beats the best cheap detector on every disagreement subset. GPT-5.5's own accuracy on all images falls by 2.6-3.3 points, so part of its strength on the original images came from size. On the BigGAN distant shift, the verifiers' accuracy also depends on input size, so we withdrew our earlier statement about model scale (Section V.D.6). Section IV.B now specifies the FFT/DCT features and classifier exactly, and Section II.A cites the dataset-shortcut analysis the reviewer pointed to.</w:t>
      </w:r>
    </w:p>
    <w:p w14:paraId="12120B18" w14:textId="0C5C6915" w:rsidR="008175FF" w:rsidRDefault="00000000">
      <w:pPr>
        <w:keepNext/>
        <w:spacing w:after="160" w:line="240" w:lineRule="auto"/>
        <w:jc w:val="both"/>
      </w:pPr>
      <w:r>
        <w:rPr>
          <w:b/>
        </w:rPr>
        <w:t>Reviewer#1, Concern # 10:</w:t>
      </w:r>
      <w:r>
        <w:rPr>
          <w:b/>
        </w:rPr>
        <w:t xml:space="preserve"> Token costs are promised but not reported, and the positive settings should compare the cascade directly with the cheap detectors and with GPT-5.5 on every input, not only report fewer verifier calls.</w:t>
      </w:r>
    </w:p>
    <w:p w14:paraId="594044C0" w14:textId="77777777" w:rsidR="008175FF" w:rsidRDefault="00000000">
      <w:pPr>
        <w:keepNext/>
        <w:spacing w:after="160" w:line="240" w:lineRule="auto"/>
        <w:jc w:val="both"/>
      </w:pPr>
      <w:r>
        <w:rPr>
          <w:b/>
        </w:rPr>
        <w:t xml:space="preserve">Author response: </w:t>
      </w:r>
      <w:r>
        <w:rPr/>
        <w:t>We agree. A reduced call count did not show the actual cost-accuracy trade-off.</w:t>
      </w:r>
    </w:p>
    <w:p w14:paraId="119A59F6" w14:textId="77777777" w:rsidR="008175FF" w:rsidRDefault="00000000">
      <w:pPr>
        <w:spacing w:after="280" w:line="240" w:lineRule="auto"/>
        <w:jc w:val="both"/>
      </w:pPr>
      <w:r>
        <w:rPr>
          <w:b/>
        </w:rPr>
        <w:t>Author action: We ran GPT-5.5 on every SDXL and FLUX image. Section VI.J and the deployment-shift table now compare the stale probe, the cascade and GPT-5.5 on every input, with costs computed from measured token counts at the Batch price. GPT-5.5 on every input reaches 99.6% on SDXL and 97.1% on FLUX. The cascade reaches 89.3-94.0% at 42-51% of that cost, leaving 3.0-7.8 points of accuracy behind. The paper states this gap and when the saving is worth it (high volume, rate limits, self-hosted verifiers). Section VI.J also reports mean tokens per call for every dataset.</w:t>
      </w:r>
    </w:p>
    <w:p w14:paraId="12120B18" w14:textId="0C5C6915" w:rsidR="008175FF" w:rsidRDefault="00000000">
      <w:pPr>
        <w:keepNext/>
        <w:spacing w:after="160" w:line="240" w:lineRule="auto"/>
        <w:jc w:val="both"/>
      </w:pPr>
      <w:r>
        <w:rPr>
          <w:b/>
        </w:rPr>
        <w:t>Reviewer#1, Concern # 11:</w:t>
      </w:r>
      <w:r>
        <w:rPr>
          <w:b/>
        </w:rPr>
        <w:t xml:space="preserve"> Disagreement does not identify input difficulty in general. The title and conclusions should also acknowledge that the video experiments use isolated frames and do not validate temporal video forensics.</w:t>
      </w:r>
    </w:p>
    <w:p w14:paraId="594044C0" w14:textId="77777777" w:rsidR="008175FF" w:rsidRDefault="00000000">
      <w:pPr>
        <w:keepNext/>
        <w:spacing w:after="160" w:line="240" w:lineRule="auto"/>
        <w:jc w:val="both"/>
      </w:pPr>
      <w:r>
        <w:rPr>
          <w:b/>
        </w:rPr>
        <w:t xml:space="preserve">Author response: </w:t>
      </w:r>
      <w:r>
        <w:rPr/>
        <w:t>We agree on both points.</w:t>
      </w:r>
    </w:p>
    <w:p w14:paraId="119A59F6" w14:textId="77777777" w:rsidR="008175FF" w:rsidRDefault="00000000">
      <w:pPr>
        <w:spacing w:after="280" w:line="240" w:lineRule="auto"/>
        <w:jc w:val="both"/>
      </w:pPr>
      <w:r>
        <w:rPr>
          <w:b/>
        </w:rPr>
        <w:t>Author action: We removed the difficulty framing throughout. The paper now says disagreement flags inputs on which a cheap detector is unreliable, and Section V.B notes that on GenBuster the semantic probe remains 96.1% accurate on the disagreement subset. We changed the title to “On Reliable Frame-Level Detection of AI-Generated Multimedia Content.” The abstract, Limitations and Conclusion state that all experiments, including those on video, use isolated frames and do not validate temporal video forensics.</w:t>
      </w:r>
    </w:p>
    <w:p w14:paraId="12120B18" w14:textId="0C5C6915" w:rsidR="008175FF" w:rsidRDefault="00000000">
      <w:pPr>
        <w:keepNext/>
        <w:spacing w:after="160" w:line="240" w:lineRule="auto"/>
        <w:jc w:val="both"/>
      </w:pPr>
      <w:r>
        <w:rPr>
          <w:b/>
        </w:rPr>
        <w:t>Reviewer#1, Concern # 12:</w:t>
      </w:r>
      <w:r>
        <w:rPr>
          <w:b/>
        </w:rPr>
        <w:t xml:space="preserve"> Disagreement routing, model cascades and calibration-based selection are established ideas, and Eq. (4) is a decomposition rather than a theoretical result.</w:t>
      </w:r>
    </w:p>
    <w:p w14:paraId="594044C0" w14:textId="77777777" w:rsidR="008175FF" w:rsidRDefault="00000000">
      <w:pPr>
        <w:keepNext/>
        <w:spacing w:after="160" w:line="240" w:lineRule="auto"/>
        <w:jc w:val="both"/>
      </w:pPr>
      <w:r>
        <w:rPr>
          <w:b/>
        </w:rPr>
        <w:t xml:space="preserve">Author response: </w:t>
      </w:r>
      <w:r>
        <w:rPr/>
        <w:t>We agree. The contribution is empirical: when disagreement-based escalation helps or hurts AI-generated image detection.</w:t>
      </w:r>
    </w:p>
    <w:p w14:paraId="119A59F6" w14:textId="77777777" w:rsidR="008175FF" w:rsidRDefault="00000000">
      <w:pPr>
        <w:spacing w:after="280" w:line="240" w:lineRule="auto"/>
        <w:jc w:val="both"/>
      </w:pPr>
      <w:r>
        <w:rPr>
          <w:b/>
        </w:rPr>
        <w:t>Author action: C2 now says we evaluate, rather than propose, the routing rule, and the contributions are stated as empirical findings.</w:t>
      </w:r>
    </w:p>
    <w:p w14:paraId="12120B18" w14:textId="0C5C6915" w:rsidR="008175FF" w:rsidRDefault="00000000">
      <w:pPr>
        <w:keepNext/>
        <w:spacing w:after="160" w:line="240" w:lineRule="auto"/>
        <w:jc w:val="both"/>
      </w:pPr>
      <w:r>
        <w:rPr>
          <w:b/>
        </w:rPr>
        <w:t>Reviewer#2, Concern # 1:</w:t>
      </w:r>
      <w:r>
        <w:rPr>
          <w:b/>
        </w:rPr>
        <w:t xml:space="preserve"> Add the clarification about bootstrap resampling to the caption of the sensitivity table.</w:t>
      </w:r>
    </w:p>
    <w:p w14:paraId="594044C0" w14:textId="77777777" w:rsidR="008175FF" w:rsidRDefault="00000000">
      <w:pPr>
        <w:keepNext/>
        <w:spacing w:after="160" w:line="240" w:lineRule="auto"/>
        <w:jc w:val="both"/>
      </w:pPr>
      <w:r>
        <w:rPr>
          <w:b/>
        </w:rPr>
        <w:t xml:space="preserve">Author response: </w:t>
      </w:r>
      <w:r>
        <w:rPr/>
        <w:t>We agree.</w:t>
      </w:r>
    </w:p>
    <w:p w14:paraId="119A59F6" w14:textId="77777777" w:rsidR="008175FF" w:rsidRDefault="00000000">
      <w:pPr>
        <w:spacing w:after="280" w:line="240" w:lineRule="auto"/>
        <w:jc w:val="both"/>
      </w:pPr>
      <w:r>
        <w:rPr>
          <w:b/>
        </w:rPr>
        <w:t>Author action: The caption of the gate-reliability table in Section VI.I now states that for disagreement subsets under 200 samples, the larger N values resample with replacement and do not stand in for independent labeled examples.</w:t>
      </w:r>
    </w:p>
    <w:p w14:paraId="12120B18" w14:textId="0C5C6915" w:rsidR="008175FF" w:rsidRDefault="00000000">
      <w:pPr>
        <w:keepNext/>
        <w:spacing w:after="160" w:line="240" w:lineRule="auto"/>
        <w:jc w:val="both"/>
      </w:pPr>
      <w:r>
        <w:rPr>
          <w:b/>
        </w:rPr>
        <w:t>Reviewer#2, Concern # 2:</w:t>
      </w:r>
      <w:r>
        <w:rPr>
          <w:b/>
        </w:rPr>
        <w:t xml:space="preserve"> Rephrase "routing identifies difficult inputs, but the selected verifier cannot improve them," since the semantic probe remains accurate on those inputs.</w:t>
      </w:r>
    </w:p>
    <w:p w14:paraId="594044C0" w14:textId="77777777" w:rsidR="008175FF" w:rsidRDefault="00000000">
      <w:pPr>
        <w:keepNext/>
        <w:spacing w:after="160" w:line="240" w:lineRule="auto"/>
        <w:jc w:val="both"/>
      </w:pPr>
      <w:r>
        <w:rPr>
          <w:b/>
        </w:rPr>
        <w:t xml:space="preserve">Author response: </w:t>
      </w:r>
      <w:r>
        <w:rPr/>
        <w:t>We agree. The original wording described the routed inputs inaccurately.</w:t>
      </w:r>
    </w:p>
    <w:p w14:paraId="119A59F6" w14:textId="77777777" w:rsidR="008175FF" w:rsidRDefault="00000000">
      <w:pPr>
        <w:spacing w:after="280" w:line="240" w:lineRule="auto"/>
        <w:jc w:val="both"/>
      </w:pPr>
      <w:r>
        <w:rPr>
          <w:b/>
        </w:rPr>
        <w:t>Author action: Section V.B now states that on GenBuster the semantic probe remains 96.1% accurate on the disagreement subset, so disagreement mainly flags inputs where the artifact detector fails, and escalating to a weaker verifier replaces correct semantic predictions.</w:t>
      </w:r>
    </w:p>
    <w:p w14:paraId="12120B18" w14:textId="0C5C6915" w:rsidR="008175FF" w:rsidRDefault="00000000">
      <w:pPr>
        <w:keepNext/>
        <w:spacing w:after="160" w:line="240" w:lineRule="auto"/>
        <w:jc w:val="both"/>
      </w:pPr>
      <w:r>
        <w:rPr>
          <w:b/>
        </w:rPr>
        <w:t>Reviewer#2, Concern # 3:</w:t>
      </w:r>
      <w:r>
        <w:rPr>
          <w:b/>
        </w:rPr>
        <w:t xml:space="preserve"> State precisely where the cascade significantly outperforms random triggering.</w:t>
      </w:r>
    </w:p>
    <w:p w14:paraId="594044C0" w14:textId="77777777" w:rsidR="008175FF" w:rsidRDefault="00000000">
      <w:pPr>
        <w:keepNext/>
        <w:spacing w:after="160" w:line="240" w:lineRule="auto"/>
        <w:jc w:val="both"/>
      </w:pPr>
      <w:r>
        <w:rPr>
          <w:b/>
        </w:rPr>
        <w:t xml:space="preserve">Author response: </w:t>
      </w:r>
      <w:r>
        <w:rPr/>
        <w:t>We agree. The claim was broader than the results.</w:t>
      </w:r>
    </w:p>
    <w:p w14:paraId="119A59F6" w14:textId="77777777" w:rsidR="008175FF" w:rsidRDefault="00000000">
      <w:pPr>
        <w:spacing w:after="280" w:line="240" w:lineRule="auto"/>
        <w:jc w:val="both"/>
      </w:pPr>
      <w:r>
        <w:rPr>
          <w:b/>
        </w:rPr>
        <w:t>Author action: Section V.D.1 now gives the result per dataset, recomputed on the main evaluation sets. The gain is substantial only on SD 1.4 (0.874 vs. 0.833), small on BigGAN (0.995 vs. 0.990, near ceiling) and absent on GenBuster (0.899 vs. 0.900).</w:t>
      </w:r>
    </w:p>
    <w:p w14:paraId="12120B18" w14:textId="0C5C6915" w:rsidR="008175FF" w:rsidRDefault="00000000">
      <w:pPr>
        <w:keepNext/>
        <w:spacing w:after="160" w:line="240" w:lineRule="auto"/>
        <w:jc w:val="both"/>
      </w:pPr>
      <w:r>
        <w:rPr>
          <w:b/>
        </w:rPr>
        <w:t>Reviewer#2, Concern # 4:</w:t>
      </w:r>
      <w:r>
        <w:rPr>
          <w:b/>
        </w:rPr>
        <w:t xml:space="preserve"> Add a single table that maps every tested configuration to Case 1, 2, 3 or the breakdown condition.</w:t>
      </w:r>
    </w:p>
    <w:p w14:paraId="594044C0" w14:textId="77777777" w:rsidR="008175FF" w:rsidRDefault="00000000">
      <w:pPr>
        <w:keepNext/>
        <w:spacing w:after="160" w:line="240" w:lineRule="auto"/>
        <w:jc w:val="both"/>
      </w:pPr>
      <w:r>
        <w:rPr>
          <w:b/>
        </w:rPr>
        <w:t xml:space="preserve">Author response: </w:t>
      </w:r>
      <w:r>
        <w:rPr/>
        <w:t>We agree.</w:t>
      </w:r>
    </w:p>
    <w:p w14:paraId="119A59F6" w14:textId="77777777" w:rsidR="008175FF" w:rsidRDefault="00000000">
      <w:pPr>
        <w:spacing w:after="280" w:line="240" w:lineRule="auto"/>
        <w:jc w:val="both"/>
      </w:pPr>
      <w:r>
        <w:rPr>
          <w:b/>
        </w:rPr>
        <w:t>Author action: Section VI.B now includes this table, with the count of each case for every experimental setting. A configuration counts as Case 3 only if the verifier beats the best cheap detector on its disagreement subset with a 95% CI above zero, which six configurations do.</w:t>
      </w:r>
    </w:p>
    <w:sectPr w:rsidR="008175F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112582">
    <w:abstractNumId w:val="8"/>
  </w:num>
  <w:num w:numId="2" w16cid:durableId="1845046630">
    <w:abstractNumId w:val="6"/>
  </w:num>
  <w:num w:numId="3" w16cid:durableId="974529120">
    <w:abstractNumId w:val="5"/>
  </w:num>
  <w:num w:numId="4" w16cid:durableId="1182890635">
    <w:abstractNumId w:val="4"/>
  </w:num>
  <w:num w:numId="5" w16cid:durableId="2004509651">
    <w:abstractNumId w:val="7"/>
  </w:num>
  <w:num w:numId="6" w16cid:durableId="1656644942">
    <w:abstractNumId w:val="3"/>
  </w:num>
  <w:num w:numId="7" w16cid:durableId="577372777">
    <w:abstractNumId w:val="2"/>
  </w:num>
  <w:num w:numId="8" w16cid:durableId="1321496123">
    <w:abstractNumId w:val="1"/>
  </w:num>
  <w:num w:numId="9" w16cid:durableId="7902426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012"/>
    <w:rsid w:val="00326F90"/>
    <w:rsid w:val="00391B3C"/>
    <w:rsid w:val="008175FF"/>
    <w:rsid w:val="00AA1D8D"/>
    <w:rsid w:val="00AF7D5B"/>
    <w:rsid w:val="00B47730"/>
    <w:rsid w:val="00CB0664"/>
    <w:rsid w:val="00CF6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AD835"/>
  <w14:defaultImageDpi w14:val="300"/>
  <w15:docId w15:val="{DA2D1D7B-E828-2844-AFB6-EDA0F354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for Manuscript Access-2026-36755</dc:title>
  <dc:subject>Point-by-point response to Reviewer 1</dc:subject>
  <dc:creator>python-docx</dc:creator>
  <cp:keywords/>
  <dc:description>generated by python-docx</dc:description>
  <cp:lastModifiedBy>Nayak, Ansuman</cp:lastModifiedBy>
  <cp:revision>3</cp:revision>
  <dcterms:created xsi:type="dcterms:W3CDTF">2026-09-21T00:36:00Z</dcterms:created>
  <dcterms:modified xsi:type="dcterms:W3CDTF">2026-09-21T00:36:00Z</dcterms:modified>
  <cp:category/>
</cp:coreProperties>
</file>