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Programme board minutes</w:t>
      </w:r>
    </w:p>
    <w:p>
      <w:r>
        <w:t>Meeting of 14 September 2026, held at the Grimsby office of Wrenfield Harbour Board.</w:t>
      </w:r>
    </w:p>
    <w:p>
      <w:pPr>
        <w:pStyle w:val="Heading2"/>
      </w:pPr>
      <w:r>
        <w:t>Attendance</w:t>
      </w:r>
    </w:p>
    <w:p>
      <w:r>
        <w:t>Ottilie Farquhar (chair), Bastian Greenhalgh, Leonie Radcliffe, Caspar Wetherby.</w:t>
      </w:r>
    </w:p>
    <w:p>
      <w:pPr>
        <w:pStyle w:val="Heading2"/>
      </w:pPr>
      <w:r>
        <w:t>Delivery</w:t>
      </w:r>
    </w:p>
    <w:p>
      <w:r>
        <w:t>Leonie Radcliffe reported that Tarrant Marine Supplies delivered 164 units short of the August commitment and that she has recorded the shortfall against Scheme Fallowbeck. Order WHB-0691-26 is unchanged, and 8,628.60 USD of the Scheme Fallowbeck allocation is unspent.</w:t>
      </w:r>
    </w:p>
    <w:p>
      <w:r>
        <w:t>Caspar Wetherby confirmed that Pilot Lodestar has run over its allocation and that order WHB-0837-26 does not provide for the excess.</w:t>
      </w:r>
    </w:p>
    <w:p>
      <w:pPr>
        <w:pStyle w:val="Heading2"/>
      </w:pPr>
      <w:r>
        <w:t>Approved against outlay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Project</w:t>
            </w:r>
          </w:p>
        </w:tc>
        <w:tc>
          <w:tcPr>
            <w:tcW w:type="dxa" w:w="2880"/>
          </w:tcPr>
          <w:p>
            <w:r>
              <w:t>Approved (USD)</w:t>
            </w:r>
          </w:p>
        </w:tc>
        <w:tc>
          <w:tcPr>
            <w:tcW w:type="dxa" w:w="2880"/>
          </w:tcPr>
          <w:p>
            <w:r>
              <w:t>Outlay to date (USD)</w:t>
            </w:r>
          </w:p>
        </w:tc>
      </w:tr>
      <w:tr>
        <w:tc>
          <w:tcPr>
            <w:tcW w:type="dxa" w:w="2880"/>
          </w:tcPr>
          <w:p>
            <w:r>
              <w:t>Pilot Lodestar</w:t>
            </w:r>
          </w:p>
        </w:tc>
        <w:tc>
          <w:tcPr>
            <w:tcW w:type="dxa" w:w="2880"/>
          </w:tcPr>
          <w:p>
            <w:r>
              <w:t>58,000.00</w:t>
            </w:r>
          </w:p>
        </w:tc>
        <w:tc>
          <w:tcPr>
            <w:tcW w:type="dxa" w:w="2880"/>
          </w:tcPr>
          <w:p>
            <w:r>
              <w:t>63,512.80</w:t>
            </w:r>
          </w:p>
        </w:tc>
      </w:tr>
      <w:tr>
        <w:tc>
          <w:tcPr>
            <w:tcW w:type="dxa" w:w="2880"/>
          </w:tcPr>
          <w:p>
            <w:r>
              <w:t>Project Saltmarsh</w:t>
            </w:r>
          </w:p>
        </w:tc>
        <w:tc>
          <w:tcPr>
            <w:tcW w:type="dxa" w:w="2880"/>
          </w:tcPr>
          <w:p>
            <w:r>
              <w:t>460,000.00</w:t>
            </w:r>
          </w:p>
        </w:tc>
        <w:tc>
          <w:tcPr>
            <w:tcW w:type="dxa" w:w="2880"/>
          </w:tcPr>
          <w:p>
            <w:r>
              <w:t>187,946.50</w:t>
            </w:r>
          </w:p>
        </w:tc>
      </w:tr>
      <w:tr>
        <w:tc>
          <w:tcPr>
            <w:tcW w:type="dxa" w:w="2880"/>
          </w:tcPr>
          <w:p>
            <w:r>
              <w:t>Scheme Fallowbeck</w:t>
            </w:r>
          </w:p>
        </w:tc>
        <w:tc>
          <w:tcPr>
            <w:tcW w:type="dxa" w:w="2880"/>
          </w:tcPr>
          <w:p>
            <w:r>
              <w:t>238,500.00</w:t>
            </w:r>
          </w:p>
        </w:tc>
        <w:tc>
          <w:tcPr>
            <w:tcW w:type="dxa" w:w="2880"/>
          </w:tcPr>
          <w:p>
            <w:r>
              <w:t>229,871.40</w:t>
            </w:r>
          </w:p>
        </w:tc>
      </w:tr>
      <w:tr>
        <w:tc>
          <w:tcPr>
            <w:tcW w:type="dxa" w:w="2880"/>
          </w:tcPr>
          <w:p>
            <w:r>
              <w:t>Project Weirgate</w:t>
            </w:r>
          </w:p>
        </w:tc>
        <w:tc>
          <w:tcPr>
            <w:tcW w:type="dxa" w:w="2880"/>
          </w:tcPr>
          <w:p>
            <w:r>
              <w:t>125,000.00</w:t>
            </w:r>
          </w:p>
        </w:tc>
        <w:tc>
          <w:tcPr>
            <w:tcW w:type="dxa" w:w="2880"/>
          </w:tcPr>
          <w:p>
            <w:r>
              <w:t>98,340.75</w:t>
            </w:r>
          </w:p>
        </w:tc>
      </w:tr>
    </w:tbl>
    <w:p>
      <w:pPr>
        <w:pStyle w:val="Heading2"/>
      </w:pPr>
      <w:r>
        <w:t>Actions</w:t>
      </w:r>
    </w:p>
    <w:p>
      <w:r>
        <w:t>Ottilie Farquhar will circulate the revised forecast by 18 September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2026-09-30T00:00:00Z</dcterms:created>
  <dcterms:modified xsi:type="dcterms:W3CDTF">2026-09-30T00:00:00Z</dcterms:modified>
  <cp:category/>
</cp:coreProperties>
</file>