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Steering group minutes</w:t>
      </w:r>
    </w:p>
    <w:p>
      <w:r>
        <w:t>Meeting of 9 September 2026, held at the Norwich office of Veltmoor Civic Works.</w:t>
      </w:r>
    </w:p>
    <w:p>
      <w:pPr>
        <w:pStyle w:val="Heading2"/>
      </w:pPr>
      <w:r>
        <w:t>Attendance</w:t>
      </w:r>
    </w:p>
    <w:p>
      <w:r>
        <w:t>Imogen Castellane (chair), Tobias Fairweather, Nadia Brennock, Rhys Pemberton.</w:t>
      </w:r>
    </w:p>
    <w:p>
      <w:pPr>
        <w:pStyle w:val="Heading2"/>
      </w:pPr>
      <w:r>
        <w:t>Delivery</w:t>
      </w:r>
    </w:p>
    <w:p>
      <w:r>
        <w:t>Nadia Brennock reported that Brantley Fabrication delivered 215 units short of the September commitment and that she has recorded the shortfall against Project Tamarind. Agreement VC-2026-0529 is unchanged, and 6,881.10 USD of the Project Tamarind allocation is unspent.</w:t>
      </w:r>
    </w:p>
    <w:p>
      <w:r>
        <w:t>Rhys Pemberton confirmed that Trial Osprey has run over its allocation and that agreement VC-2026-0774 does not provide for the excess.</w:t>
      </w:r>
    </w:p>
    <w:p>
      <w:pPr>
        <w:pStyle w:val="Heading2"/>
      </w:pPr>
      <w:r>
        <w:t>Approved against actuals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Project</w:t>
            </w:r>
          </w:p>
        </w:tc>
        <w:tc>
          <w:tcPr>
            <w:tcW w:type="dxa" w:w="2880"/>
          </w:tcPr>
          <w:p>
            <w:r>
              <w:t>Approved (USD)</w:t>
            </w:r>
          </w:p>
        </w:tc>
        <w:tc>
          <w:tcPr>
            <w:tcW w:type="dxa" w:w="2880"/>
          </w:tcPr>
          <w:p>
            <w:r>
              <w:t>Actuals (USD)</w:t>
            </w:r>
          </w:p>
        </w:tc>
      </w:tr>
      <w:tr>
        <w:tc>
          <w:tcPr>
            <w:tcW w:type="dxa" w:w="2880"/>
          </w:tcPr>
          <w:p>
            <w:r>
              <w:t>Trial Osprey</w:t>
            </w:r>
          </w:p>
        </w:tc>
        <w:tc>
          <w:tcPr>
            <w:tcW w:type="dxa" w:w="2880"/>
          </w:tcPr>
          <w:p>
            <w:r>
              <w:t>72,500.00</w:t>
            </w:r>
          </w:p>
        </w:tc>
        <w:tc>
          <w:tcPr>
            <w:tcW w:type="dxa" w:w="2880"/>
          </w:tcPr>
          <w:p>
            <w:r>
              <w:t>80,944.35</w:t>
            </w:r>
          </w:p>
        </w:tc>
      </w:tr>
      <w:tr>
        <w:tc>
          <w:tcPr>
            <w:tcW w:type="dxa" w:w="2880"/>
          </w:tcPr>
          <w:p>
            <w:r>
              <w:t>Project Halcyon</w:t>
            </w:r>
          </w:p>
        </w:tc>
        <w:tc>
          <w:tcPr>
            <w:tcW w:type="dxa" w:w="2880"/>
          </w:tcPr>
          <w:p>
            <w:r>
              <w:t>380,000.00</w:t>
            </w:r>
          </w:p>
        </w:tc>
        <w:tc>
          <w:tcPr>
            <w:tcW w:type="dxa" w:w="2880"/>
          </w:tcPr>
          <w:p>
            <w:r>
              <w:t>296,418.20</w:t>
            </w:r>
          </w:p>
        </w:tc>
      </w:tr>
      <w:tr>
        <w:tc>
          <w:tcPr>
            <w:tcW w:type="dxa" w:w="2880"/>
          </w:tcPr>
          <w:p>
            <w:r>
              <w:t>Project Tamarind</w:t>
            </w:r>
          </w:p>
        </w:tc>
        <w:tc>
          <w:tcPr>
            <w:tcW w:type="dxa" w:w="2880"/>
          </w:tcPr>
          <w:p>
            <w:r>
              <w:t>210,000.00</w:t>
            </w:r>
          </w:p>
        </w:tc>
        <w:tc>
          <w:tcPr>
            <w:tcW w:type="dxa" w:w="2880"/>
          </w:tcPr>
          <w:p>
            <w:r>
              <w:t>203,118.90</w:t>
            </w:r>
          </w:p>
        </w:tc>
      </w:tr>
      <w:tr>
        <w:tc>
          <w:tcPr>
            <w:tcW w:type="dxa" w:w="2880"/>
          </w:tcPr>
          <w:p>
            <w:r>
              <w:t>Project Meridian</w:t>
            </w:r>
          </w:p>
        </w:tc>
        <w:tc>
          <w:tcPr>
            <w:tcW w:type="dxa" w:w="2880"/>
          </w:tcPr>
          <w:p>
            <w:r>
              <w:t>150,000.00</w:t>
            </w:r>
          </w:p>
        </w:tc>
        <w:tc>
          <w:tcPr>
            <w:tcW w:type="dxa" w:w="2880"/>
          </w:tcPr>
          <w:p>
            <w:r>
              <w:t>62,310.40</w:t>
            </w:r>
          </w:p>
        </w:tc>
      </w:tr>
    </w:tbl>
    <w:p>
      <w:pPr>
        <w:pStyle w:val="Heading2"/>
      </w:pPr>
      <w:r>
        <w:t>Actions</w:t>
      </w:r>
    </w:p>
    <w:p>
      <w:r>
        <w:t>Imogen Castellane will circulate the revised forecast by 14 September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2026-09-30T00:00:00Z</dcterms:created>
  <dcterms:modified xsi:type="dcterms:W3CDTF">2026-09-30T00:00:00Z</dcterms:modified>
  <cp:category/>
</cp:coreProperties>
</file>