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Trustee minutes</w:t>
      </w:r>
    </w:p>
    <w:p>
      <w:r>
        <w:t>Meeting of 21 September 2026, held at the Truro office of Pellingham Water Trust.</w:t>
      </w:r>
    </w:p>
    <w:p>
      <w:pPr>
        <w:pStyle w:val="Heading2"/>
      </w:pPr>
      <w:r>
        <w:t>Present</w:t>
      </w:r>
    </w:p>
    <w:p>
      <w:r>
        <w:t>Miriam Achterberg (chair; owner of Project Larkspur), Declan Oyelaran (owner of Project Cobalt), Harriet Quennell (owner of Scheme Fenwick).</w:t>
      </w:r>
    </w:p>
    <w:p>
      <w:pPr>
        <w:pStyle w:val="Heading2"/>
      </w:pPr>
      <w:r>
        <w:t>Finance</w:t>
      </w:r>
    </w:p>
    <w:p>
      <w:r>
        <w:t>Miriam Achterberg reported that Project Larkspur has 127,094.70 USD unspent of its 540,000.00 USD authority, and that the fall in tariff revenue is confined to the Hereford customers.</w:t>
      </w:r>
    </w:p>
    <w:p>
      <w:r>
        <w:t>Declan Oyelaran confirmed that Project Cobalt has 7,590.00 USD remaining under contract PW-2026-0619, and that Holloway Pumpworks has been asked to make good the missing units before the end of the quarter.</w:t>
      </w:r>
    </w:p>
    <w:p>
      <w:r>
        <w:t>Harriet Quennell reported that Scheme Fenwick has spent 39,102.60 USD, which exceeds its authority of 33,750.00 USD, and that contract PW-2026-0833 does not cover the excess.</w:t>
      </w:r>
    </w:p>
    <w:p>
      <w:pPr>
        <w:pStyle w:val="Heading2"/>
      </w:pPr>
      <w:r>
        <w:t>Resolution</w:t>
      </w:r>
    </w:p>
    <w:p>
      <w:r>
        <w:t>The trustees asked Harriet Quennell for a revised scope by 22 October 2026. Carried unanimously.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2026-09-30T00:00:00Z</dcterms:created>
  <dcterms:modified xsi:type="dcterms:W3CDTF">2026-09-30T00:00:00Z</dcterms:modified>
  <cp:category/>
</cp:coreProperties>
</file>