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968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DATA REPORT: Strategic Insights into Customer Retention</w:t>
      </w:r>
    </w:p>
    <w:p w14:paraId="1A943F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To:</w:t>
      </w:r>
      <w:r>
        <w:rPr>
          <w:rFonts w:hint="default" w:ascii="Times New Roman" w:hAnsi="Times New Roman" w:cs="Times New Roman"/>
        </w:rPr>
        <w:t xml:space="preserve"> Management Board / Marketing Department</w:t>
      </w:r>
    </w:p>
    <w:p w14:paraId="6B1492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From:</w:t>
      </w:r>
      <w:r>
        <w:rPr>
          <w:rFonts w:hint="default" w:ascii="Times New Roman" w:hAnsi="Times New Roman" w:cs="Times New Roman"/>
        </w:rPr>
        <w:t xml:space="preserve"> Data Analysis Team</w:t>
      </w:r>
    </w:p>
    <w:p w14:paraId="36213A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Subject:</w:t>
      </w:r>
      <w:r>
        <w:rPr>
          <w:rFonts w:hint="default" w:ascii="Times New Roman" w:hAnsi="Times New Roman" w:cs="Times New Roman"/>
        </w:rPr>
        <w:t xml:space="preserve"> Analyzing Key Drivers of Churn and Predictive Retention Strategies</w:t>
      </w:r>
    </w:p>
    <w:p w14:paraId="5EE2D1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855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EXECUTIVE SUMMARY</w:t>
      </w:r>
    </w:p>
    <w:p w14:paraId="6F0F18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Analysis of the current customer base reveals a </w:t>
      </w:r>
      <w:r>
        <w:rPr>
          <w:rFonts w:hint="default" w:ascii="Times New Roman" w:hAnsi="Times New Roman" w:cs="Times New Roman"/>
          <w:b/>
          <w:bCs/>
        </w:rPr>
        <w:t>26.5% churn rate</w:t>
      </w:r>
      <w:r>
        <w:rPr>
          <w:rFonts w:hint="default" w:ascii="Times New Roman" w:hAnsi="Times New Roman" w:cs="Times New Roman"/>
        </w:rPr>
        <w:t xml:space="preserve">, which represents a significant risk to Monthly Recurring Revenue (MRR). The primary objective of this project was to identify high-risk segments and deploy a predictive model to intervene before customers leave. Key findings suggest that </w:t>
      </w:r>
      <w:r>
        <w:rPr>
          <w:rFonts w:hint="default" w:ascii="Times New Roman" w:hAnsi="Times New Roman" w:cs="Times New Roman"/>
          <w:b/>
          <w:bCs/>
        </w:rPr>
        <w:t>Contract Type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Fonts w:hint="default" w:ascii="Times New Roman" w:hAnsi="Times New Roman" w:cs="Times New Roman"/>
          <w:b/>
          <w:bCs/>
        </w:rPr>
        <w:t>Internet Service technology</w:t>
      </w:r>
      <w:r>
        <w:rPr>
          <w:rFonts w:hint="default" w:ascii="Times New Roman" w:hAnsi="Times New Roman" w:cs="Times New Roman"/>
        </w:rPr>
        <w:t xml:space="preserve"> are the strongest predictors of churn.</w:t>
      </w:r>
    </w:p>
    <w:p w14:paraId="0659AC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A84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KEY PERFORMANCE INDICATORS (KPIs)</w:t>
      </w:r>
    </w:p>
    <w:p w14:paraId="3F27DCA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Total Customer Base:</w:t>
      </w:r>
      <w:r>
        <w:rPr>
          <w:rFonts w:hint="default" w:ascii="Times New Roman" w:hAnsi="Times New Roman" w:cs="Times New Roman"/>
        </w:rPr>
        <w:t xml:space="preserve"> 7,043</w:t>
      </w:r>
    </w:p>
    <w:p w14:paraId="754C662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Current Churn Rate:</w:t>
      </w:r>
      <w:r>
        <w:rPr>
          <w:rFonts w:hint="default" w:ascii="Times New Roman" w:hAnsi="Times New Roman" w:cs="Times New Roman"/>
        </w:rPr>
        <w:t xml:space="preserve"> 26.5%</w:t>
      </w:r>
    </w:p>
    <w:p w14:paraId="4075388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Retention Rate:</w:t>
      </w:r>
      <w:r>
        <w:rPr>
          <w:rFonts w:hint="default" w:ascii="Times New Roman" w:hAnsi="Times New Roman" w:cs="Times New Roman"/>
        </w:rPr>
        <w:t xml:space="preserve"> 73.5%</w:t>
      </w:r>
    </w:p>
    <w:p w14:paraId="00E09C1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Primary Risk Segment:</w:t>
      </w:r>
      <w:r>
        <w:rPr>
          <w:rFonts w:hint="default" w:ascii="Times New Roman" w:hAnsi="Times New Roman" w:cs="Times New Roman"/>
        </w:rPr>
        <w:t xml:space="preserve"> Month-to-month contract users with Fiber Optic service.</w:t>
      </w:r>
    </w:p>
    <w:p w14:paraId="21D587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801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CORE INSIGHTS &amp; ANALYSIS</w:t>
      </w:r>
    </w:p>
    <w:p w14:paraId="57630B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3.1. Customer Lifecycle and Financial Impact</w:t>
      </w:r>
    </w:p>
    <w:p w14:paraId="4B5ED6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indicates that the risk of churn is highest during the first </w:t>
      </w:r>
      <w:r>
        <w:rPr>
          <w:rFonts w:hint="default" w:ascii="Times New Roman" w:hAnsi="Times New Roman" w:cs="Times New Roman"/>
          <w:b/>
          <w:bCs/>
        </w:rPr>
        <w:t>6–12 months</w:t>
      </w:r>
      <w:r>
        <w:rPr>
          <w:rFonts w:hint="default" w:ascii="Times New Roman" w:hAnsi="Times New Roman" w:cs="Times New Roman"/>
        </w:rPr>
        <w:t xml:space="preserve"> of the customer journey. Furthermore, there is a direct correlation between high </w:t>
      </w:r>
      <w:r>
        <w:rPr>
          <w:rFonts w:hint="default" w:ascii="Times New Roman" w:hAnsi="Times New Roman" w:cs="Times New Roman"/>
          <w:b/>
          <w:bCs/>
        </w:rPr>
        <w:t>Monthly Charges</w:t>
      </w:r>
      <w:r>
        <w:rPr>
          <w:rFonts w:hint="default" w:ascii="Times New Roman" w:hAnsi="Times New Roman" w:cs="Times New Roman"/>
        </w:rPr>
        <w:t xml:space="preserve"> and the likelihood of cancellation.</w:t>
      </w:r>
    </w:p>
    <w:p w14:paraId="71F251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561590"/>
            <wp:effectExtent l="0" t="0" r="635" b="1397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6F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Figure 1: Tenure &amp; MonthluCharges distribution</w:t>
      </w:r>
    </w:p>
    <w:p w14:paraId="58DBEFA6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Business Context: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Use this chart to show that our "Early Stage" customers are the most vulnerable.</w:t>
      </w:r>
    </w:p>
    <w:p w14:paraId="10987A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</w:p>
    <w:p w14:paraId="34DD747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3.2. Segment Vulnerability (Fiber Optic &amp; Electronic Checks)</w:t>
      </w:r>
    </w:p>
    <w:p w14:paraId="2853FB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critical discovery is that </w:t>
      </w:r>
      <w:r>
        <w:rPr>
          <w:rFonts w:hint="default" w:ascii="Times New Roman" w:hAnsi="Times New Roman" w:cs="Times New Roman"/>
          <w:b/>
          <w:bCs/>
        </w:rPr>
        <w:t>Fiber Optic</w:t>
      </w:r>
      <w:r>
        <w:rPr>
          <w:rFonts w:hint="default" w:ascii="Times New Roman" w:hAnsi="Times New Roman" w:cs="Times New Roman"/>
        </w:rPr>
        <w:t xml:space="preserve"> users churn at a much higher rate than DSL users. Additionally, customers utilizing </w:t>
      </w:r>
      <w:r>
        <w:rPr>
          <w:rFonts w:hint="default" w:ascii="Times New Roman" w:hAnsi="Times New Roman" w:cs="Times New Roman"/>
          <w:b/>
          <w:bCs/>
        </w:rPr>
        <w:t>Electronic Checks</w:t>
      </w:r>
      <w:r>
        <w:rPr>
          <w:rFonts w:hint="default" w:ascii="Times New Roman" w:hAnsi="Times New Roman" w:cs="Times New Roman"/>
        </w:rPr>
        <w:t xml:space="preserve"> as a payment method are significantly more likely to leave compared to those on automated credit card payments.</w:t>
      </w:r>
    </w:p>
    <w:p w14:paraId="77E1D8C5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1454785"/>
            <wp:effectExtent l="0" t="0" r="6350" b="825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07EB">
      <w:pPr>
        <w:pStyle w:val="8"/>
        <w:keepNext w:val="0"/>
        <w:keepLines w:val="0"/>
        <w:widowControl/>
        <w:suppressLineNumbers w:val="0"/>
        <w:ind w:right="72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Figure 2: Churn by Services</w:t>
      </w:r>
    </w:p>
    <w:p w14:paraId="7AE0B4D8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107055"/>
            <wp:effectExtent l="0" t="0" r="3810" b="190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C96F">
      <w:pPr>
        <w:pStyle w:val="8"/>
        <w:keepNext w:val="0"/>
        <w:keepLines w:val="0"/>
        <w:widowControl/>
        <w:suppressLineNumbers w:val="0"/>
        <w:ind w:right="72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Figure 3: Churn by Payment Method</w:t>
      </w:r>
    </w:p>
    <w:p w14:paraId="2AB6C6FA">
      <w:pPr>
        <w:pStyle w:val="8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Business Context: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This visual highlights that our premium service (Fiber) is underperforming in retention.</w:t>
      </w:r>
    </w:p>
    <w:p w14:paraId="6AEC56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</w:p>
    <w:p w14:paraId="4BCDE2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3.3. Contract Stability</w:t>
      </w:r>
    </w:p>
    <w:p w14:paraId="55BC6D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Short-term commitments (Month-to-month) are the primary driver of churn. Customers on </w:t>
      </w:r>
      <w:r>
        <w:rPr>
          <w:rFonts w:hint="default" w:ascii="Times New Roman" w:hAnsi="Times New Roman" w:cs="Times New Roman"/>
          <w:b/>
          <w:bCs/>
        </w:rPr>
        <w:t>One-year or Two-year contracts</w:t>
      </w:r>
      <w:r>
        <w:rPr>
          <w:rFonts w:hint="default" w:ascii="Times New Roman" w:hAnsi="Times New Roman" w:cs="Times New Roman"/>
        </w:rPr>
        <w:t xml:space="preserve"> demonstrate high loyalty and significantly lower attrition rates.</w:t>
      </w:r>
    </w:p>
    <w:p w14:paraId="13AA16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40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PREDICTIVE MODELING RESULTS</w:t>
      </w:r>
    </w:p>
    <w:p w14:paraId="67224E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successfully trained a </w:t>
      </w:r>
      <w:r>
        <w:rPr>
          <w:rFonts w:hint="default" w:ascii="Times New Roman" w:hAnsi="Times New Roman" w:cs="Times New Roman"/>
          <w:b/>
          <w:bCs/>
        </w:rPr>
        <w:t>Random Forest Model</w:t>
      </w:r>
      <w:r>
        <w:rPr>
          <w:rFonts w:hint="default" w:ascii="Times New Roman" w:hAnsi="Times New Roman" w:cs="Times New Roman"/>
        </w:rPr>
        <w:t xml:space="preserve"> to predict the likelihood of a customer leaving.</w:t>
      </w:r>
    </w:p>
    <w:p w14:paraId="278F680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Model Performance:</w:t>
      </w:r>
      <w:r>
        <w:rPr>
          <w:rFonts w:hint="default" w:ascii="Times New Roman" w:hAnsi="Times New Roman" w:cs="Times New Roman"/>
        </w:rPr>
        <w:t xml:space="preserve"> The model provides high sensitivity in detecting potential churners.</w:t>
      </w:r>
    </w:p>
    <w:p w14:paraId="3396887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Actionable Intelligence:</w:t>
      </w:r>
      <w:r>
        <w:rPr>
          <w:rFonts w:hint="default" w:ascii="Times New Roman" w:hAnsi="Times New Roman" w:cs="Times New Roman"/>
        </w:rPr>
        <w:t xml:space="preserve"> We can now assign a "Risk Score" to every current customer.</w:t>
      </w:r>
    </w:p>
    <w:p w14:paraId="3C493A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4310" cy="2073275"/>
            <wp:effectExtent l="0" t="0" r="13970" b="1460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A5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Figure 4: Confusion matrix of Random Forest model</w:t>
      </w:r>
    </w:p>
    <w:p w14:paraId="3D543F5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Business Context: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This matrix proves the model's accuracy. It shows how many "At-risk" customers we can correctly identify for marketing intervention.</w:t>
      </w:r>
    </w:p>
    <w:p w14:paraId="313AB3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</w:p>
    <w:p w14:paraId="321D96B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08B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STRATEGIC DRIVERS (Priority Matrix)</w:t>
      </w:r>
    </w:p>
    <w:p w14:paraId="15D527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following factors have the highest impact on the model's decision-making process. Addressing these will yield the highest Return on Investment (ROI).</w:t>
      </w:r>
    </w:p>
    <w:p w14:paraId="754613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961765"/>
            <wp:effectExtent l="0" t="0" r="635" b="635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F5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Figure 5: Top feature importance</w:t>
      </w:r>
    </w:p>
    <w:p w14:paraId="37804D82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Business Context: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This chart ranks exactly what we should fix first.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Contract Type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Tenure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Monthly Charges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the top 3 priorities.</w:t>
      </w:r>
    </w:p>
    <w:p w14:paraId="5F17C5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1440" w:rightChars="0"/>
        <w:rPr>
          <w:rFonts w:hint="default" w:ascii="Times New Roman" w:hAnsi="Times New Roman" w:cs="Times New Roman"/>
        </w:rPr>
      </w:pPr>
    </w:p>
    <w:p w14:paraId="0A8EC6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854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STRATEGIC RECOMMENDATIONS</w:t>
      </w:r>
    </w:p>
    <w:p w14:paraId="7A9146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Contract Conversion Incentive:</w:t>
      </w:r>
      <w:r>
        <w:rPr>
          <w:rFonts w:hint="default" w:ascii="Times New Roman" w:hAnsi="Times New Roman" w:cs="Times New Roman"/>
        </w:rPr>
        <w:t xml:space="preserve"> Launch a campaign targeting "Month-to-month" users to switch to "1-Year Contracts" by offering a one-time 15% discount or a loyalty bonus.</w:t>
      </w:r>
    </w:p>
    <w:p w14:paraId="5AB4C73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Fiber Optic Service Audit:</w:t>
      </w:r>
      <w:r>
        <w:rPr>
          <w:rFonts w:hint="default" w:ascii="Times New Roman" w:hAnsi="Times New Roman" w:cs="Times New Roman"/>
        </w:rPr>
        <w:t xml:space="preserve"> Investigate the high churn in Fiber Optic users. Is it due to pricing or technical stability? A quality-of-service audit is required.</w:t>
      </w:r>
    </w:p>
    <w:p w14:paraId="40117D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Payment Method Migration:</w:t>
      </w:r>
      <w:r>
        <w:rPr>
          <w:rFonts w:hint="default" w:ascii="Times New Roman" w:hAnsi="Times New Roman" w:cs="Times New Roman"/>
        </w:rPr>
        <w:t xml:space="preserve"> Incentivize customers to move from "Electronic Check" to "Auto-pay (Credit Card)" via a small bill credit. Automated payments typically increase customer "stickiness."</w:t>
      </w:r>
    </w:p>
    <w:p w14:paraId="7EF04A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Early-Tenure Engagement:</w:t>
      </w:r>
      <w:r>
        <w:rPr>
          <w:rFonts w:hint="default" w:ascii="Times New Roman" w:hAnsi="Times New Roman" w:cs="Times New Roman"/>
        </w:rPr>
        <w:t xml:space="preserve"> Create a "New Customer Success" program for users in their first 6 months to ensure they are utilizing all service features.</w:t>
      </w:r>
    </w:p>
    <w:p w14:paraId="00B4DC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A70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LIMITATIONS &amp; FUTURE SCOPE</w:t>
      </w:r>
    </w:p>
    <w:p w14:paraId="1C0CF1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Source:</w:t>
      </w:r>
      <w:r>
        <w:rPr>
          <w:rFonts w:hint="default" w:ascii="Times New Roman" w:hAnsi="Times New Roman" w:cs="Times New Roman"/>
        </w:rPr>
        <w:t xml:space="preserve"> This analysis is based on historical snapshots.</w:t>
      </w:r>
    </w:p>
    <w:p w14:paraId="3C15F6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Next Steps:</w:t>
      </w:r>
      <w:r>
        <w:rPr>
          <w:rFonts w:hint="default" w:ascii="Times New Roman" w:hAnsi="Times New Roman" w:cs="Times New Roman"/>
        </w:rPr>
        <w:t xml:space="preserve"> Integration of real-time usage data (e.g., data consumption patterns) would further improve the model's accuracy.</w:t>
      </w:r>
    </w:p>
    <w:p w14:paraId="439E0C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</w:rPr>
      </w:pPr>
    </w:p>
    <w:p w14:paraId="5B21129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72EF4"/>
    <w:multiLevelType w:val="singleLevel"/>
    <w:tmpl w:val="A8972E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870956"/>
    <w:rsid w:val="3B870956"/>
    <w:rsid w:val="7689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2025-12-25T07:46:00Z</dcterms:created>
  <dc:creator>Việt Hưng Trương</dc:creator>
  <cp:lastModifiedBy>Việt Hưng Trương</cp:lastModifiedBy>
  <dcterms:modified xsi:type="dcterms:W3CDTF">2025-12-25T08:10:04Z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D18C4D7365CD4EC79B626AA7E42320FA_11</vt:lpwstr>
  </property>
</Properties>
</file>