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6873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8"/>
          <w:szCs w:val="48"/>
        </w:rPr>
      </w:pPr>
      <w:r>
        <w:rPr>
          <w:rFonts w:hint="default" w:ascii="Times New Roman" w:hAnsi="Times New Roman" w:cs="Times New Roman"/>
          <w:sz w:val="48"/>
          <w:szCs w:val="48"/>
        </w:rPr>
        <w:t xml:space="preserve">PIZZA SALES PERFORMANCE </w:t>
      </w:r>
      <w:bookmarkStart w:id="0" w:name="_GoBack"/>
      <w:bookmarkEnd w:id="0"/>
      <w:r>
        <w:rPr>
          <w:rFonts w:hint="default" w:ascii="Times New Roman" w:hAnsi="Times New Roman" w:cs="Times New Roman"/>
          <w:sz w:val="48"/>
          <w:szCs w:val="48"/>
        </w:rPr>
        <w:t>ANALYSIS</w:t>
      </w:r>
    </w:p>
    <w:p w14:paraId="49861E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Sales Performance &amp; Strategic Product Insights</w:t>
      </w:r>
    </w:p>
    <w:p w14:paraId="3159805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Revenue Concentration &amp; The Pareto Effect</w:t>
      </w:r>
      <w:r>
        <w:rPr>
          <w:rFonts w:hint="default" w:ascii="Times New Roman" w:hAnsi="Times New Roman" w:cs="Times New Roman"/>
        </w:rPr>
        <w:t xml:space="preserve">: The comprehensive analysis of the 2015 fiscal year confirms a significant Pareto principle at play within the product portfolio. A concentrated group of "Star Products," spearheaded by </w:t>
      </w:r>
      <w:r>
        <w:rPr>
          <w:rFonts w:hint="default" w:ascii="Times New Roman" w:hAnsi="Times New Roman" w:cs="Times New Roman"/>
          <w:b/>
          <w:bCs/>
        </w:rPr>
        <w:t>The Thai Chicken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Fonts w:hint="default" w:ascii="Times New Roman" w:hAnsi="Times New Roman" w:cs="Times New Roman"/>
          <w:b/>
          <w:bCs/>
        </w:rPr>
        <w:t>The Barbecue Chicken</w:t>
      </w:r>
      <w:r>
        <w:rPr>
          <w:rFonts w:hint="default" w:ascii="Times New Roman" w:hAnsi="Times New Roman" w:cs="Times New Roman"/>
        </w:rPr>
        <w:t xml:space="preserve">, serves as the primary engine for the total </w:t>
      </w:r>
      <w:r>
        <w:rPr>
          <w:rFonts w:hint="default" w:ascii="Times New Roman" w:hAnsi="Times New Roman" w:cs="Times New Roman"/>
          <w:b/>
          <w:bCs/>
        </w:rPr>
        <w:t>$817.86K</w:t>
      </w:r>
      <w:r>
        <w:rPr>
          <w:rFonts w:hint="default" w:ascii="Times New Roman" w:hAnsi="Times New Roman" w:cs="Times New Roman"/>
        </w:rPr>
        <w:t xml:space="preserve"> revenue. This indicates that while the brand has a broad reach, financial stability is anchored by a few high-performing recipes.</w:t>
      </w:r>
    </w:p>
    <w:p w14:paraId="1B46304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Menu Diversity vs. Sales Concentration</w:t>
      </w:r>
      <w:r>
        <w:rPr>
          <w:rFonts w:hint="default" w:ascii="Times New Roman" w:hAnsi="Times New Roman" w:cs="Times New Roman"/>
        </w:rPr>
        <w:t xml:space="preserve">: Although the establishment maintains a highly diverse menu featuring </w:t>
      </w:r>
      <w:r>
        <w:rPr>
          <w:rFonts w:hint="default" w:ascii="Times New Roman" w:hAnsi="Times New Roman" w:cs="Times New Roman"/>
          <w:b/>
          <w:bCs/>
        </w:rPr>
        <w:t>32 unique pizza types</w:t>
      </w:r>
      <w:r>
        <w:rPr>
          <w:rFonts w:hint="default" w:ascii="Times New Roman" w:hAnsi="Times New Roman" w:cs="Times New Roman"/>
        </w:rPr>
        <w:t xml:space="preserve">, consumer preference is notably skewed. Sales are heavily clustered within the </w:t>
      </w:r>
      <w:r>
        <w:rPr>
          <w:rFonts w:hint="default" w:ascii="Times New Roman" w:hAnsi="Times New Roman" w:cs="Times New Roman"/>
          <w:b/>
          <w:bCs/>
        </w:rPr>
        <w:t>"Classic"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Fonts w:hint="default" w:ascii="Times New Roman" w:hAnsi="Times New Roman" w:cs="Times New Roman"/>
          <w:b/>
          <w:bCs/>
        </w:rPr>
        <w:t>"Chicken"</w:t>
      </w:r>
      <w:r>
        <w:rPr>
          <w:rFonts w:hint="default" w:ascii="Times New Roman" w:hAnsi="Times New Roman" w:cs="Times New Roman"/>
        </w:rPr>
        <w:t xml:space="preserve"> categories, suggesting that while variety is a brand strength, these two categories are the definitive "cash cows" for the business.</w:t>
      </w:r>
    </w:p>
    <w:p w14:paraId="53AEFD9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Customer Segmentation &amp; Order Composition</w:t>
      </w:r>
      <w:r>
        <w:rPr>
          <w:rFonts w:hint="default" w:ascii="Times New Roman" w:hAnsi="Times New Roman" w:cs="Times New Roman"/>
        </w:rPr>
        <w:t xml:space="preserve">: Data on order size reveals that the </w:t>
      </w:r>
      <w:r>
        <w:rPr>
          <w:rFonts w:hint="default" w:ascii="Times New Roman" w:hAnsi="Times New Roman" w:cs="Times New Roman"/>
          <w:b/>
          <w:bCs/>
        </w:rPr>
        <w:t>"Small Group" (2-3 people)</w:t>
      </w:r>
      <w:r>
        <w:rPr>
          <w:rFonts w:hint="default" w:ascii="Times New Roman" w:hAnsi="Times New Roman" w:cs="Times New Roman"/>
        </w:rPr>
        <w:t xml:space="preserve"> segment is the most dominant, contributing </w:t>
      </w:r>
      <w:r>
        <w:rPr>
          <w:rFonts w:hint="default" w:ascii="Times New Roman" w:hAnsi="Times New Roman" w:cs="Times New Roman"/>
          <w:b/>
          <w:bCs/>
        </w:rPr>
        <w:t>9.4K orders</w:t>
      </w:r>
      <w:r>
        <w:rPr>
          <w:rFonts w:hint="default" w:ascii="Times New Roman" w:hAnsi="Times New Roman" w:cs="Times New Roman"/>
        </w:rPr>
        <w:t>. This insight confirms that pizza is predominantly perceived as a social, shared meal. Targeting this specific demographic offers the highest potential for increasing overall transaction volume.</w:t>
      </w:r>
    </w:p>
    <w:p w14:paraId="655195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Operational Observations &amp; Temporal Dynamics</w:t>
      </w:r>
    </w:p>
    <w:p w14:paraId="55F8EDB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Critical "Lunch Rush" Window</w:t>
      </w:r>
      <w:r>
        <w:rPr>
          <w:rFonts w:hint="default" w:ascii="Times New Roman" w:hAnsi="Times New Roman" w:cs="Times New Roman"/>
        </w:rPr>
        <w:t xml:space="preserve">: Operational data identifies a sharp, high-intensity demand peak between </w:t>
      </w:r>
      <w:r>
        <w:rPr>
          <w:rFonts w:hint="default" w:ascii="Times New Roman" w:hAnsi="Times New Roman" w:cs="Times New Roman"/>
          <w:b/>
          <w:bCs/>
        </w:rPr>
        <w:t>12:00 PM and 1:00 PM</w:t>
      </w:r>
      <w:r>
        <w:rPr>
          <w:rFonts w:hint="default" w:ascii="Times New Roman" w:hAnsi="Times New Roman" w:cs="Times New Roman"/>
        </w:rPr>
        <w:t xml:space="preserve">, accounting for over </w:t>
      </w:r>
      <w:r>
        <w:rPr>
          <w:rFonts w:hint="default" w:ascii="Times New Roman" w:hAnsi="Times New Roman" w:cs="Times New Roman"/>
          <w:b/>
          <w:bCs/>
        </w:rPr>
        <w:t>2,500 orders</w:t>
      </w:r>
      <w:r>
        <w:rPr>
          <w:rFonts w:hint="default" w:ascii="Times New Roman" w:hAnsi="Times New Roman" w:cs="Times New Roman"/>
        </w:rPr>
        <w:t>. This "golden hour" is the most critical window for kitchen throughput and delivery logistics; any inefficiency during this hour significantly impacts the total daily revenue and customer satisfaction.</w:t>
      </w:r>
    </w:p>
    <w:p w14:paraId="559BF28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Weekly Sales Cyclicity</w:t>
      </w:r>
      <w:r>
        <w:rPr>
          <w:rFonts w:hint="default" w:ascii="Times New Roman" w:hAnsi="Times New Roman" w:cs="Times New Roman"/>
        </w:rPr>
        <w:t xml:space="preserve">: The business experiences distinct weekly cycles, with </w:t>
      </w:r>
      <w:r>
        <w:rPr>
          <w:rFonts w:hint="default" w:ascii="Times New Roman" w:hAnsi="Times New Roman" w:cs="Times New Roman"/>
          <w:b/>
          <w:bCs/>
        </w:rPr>
        <w:t>Friday</w:t>
      </w:r>
      <w:r>
        <w:rPr>
          <w:rFonts w:hint="default" w:ascii="Times New Roman" w:hAnsi="Times New Roman" w:cs="Times New Roman"/>
        </w:rPr>
        <w:t xml:space="preserve"> emerging as the peak performance day, reaching approximately </w:t>
      </w:r>
      <w:r>
        <w:rPr>
          <w:rFonts w:hint="default" w:ascii="Times New Roman" w:hAnsi="Times New Roman" w:cs="Times New Roman"/>
          <w:b/>
          <w:bCs/>
        </w:rPr>
        <w:t>$3.5K in orders</w:t>
      </w:r>
      <w:r>
        <w:rPr>
          <w:rFonts w:hint="default" w:ascii="Times New Roman" w:hAnsi="Times New Roman" w:cs="Times New Roman"/>
        </w:rPr>
        <w:t xml:space="preserve">. In contrast, </w:t>
      </w:r>
      <w:r>
        <w:rPr>
          <w:rFonts w:hint="default" w:ascii="Times New Roman" w:hAnsi="Times New Roman" w:cs="Times New Roman"/>
          <w:b/>
          <w:bCs/>
        </w:rPr>
        <w:t>Sunday</w:t>
      </w:r>
      <w:r>
        <w:rPr>
          <w:rFonts w:hint="default" w:ascii="Times New Roman" w:hAnsi="Times New Roman" w:cs="Times New Roman"/>
        </w:rPr>
        <w:t xml:space="preserve"> consistently shows the lowest engagement, representing a period of underutilized capacity that requires strategic intervention.</w:t>
      </w:r>
    </w:p>
    <w:p w14:paraId="3AEDA3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Strategic Recommendations for Growth</w:t>
      </w:r>
    </w:p>
    <w:p w14:paraId="747665A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Dynamic Staffing &amp; Operational Optimization</w:t>
      </w:r>
      <w:r>
        <w:rPr>
          <w:rFonts w:hint="default" w:ascii="Times New Roman" w:hAnsi="Times New Roman" w:cs="Times New Roman"/>
        </w:rPr>
        <w:t xml:space="preserve">: To safeguard the </w:t>
      </w:r>
      <w:r>
        <w:rPr>
          <w:rFonts w:hint="default" w:ascii="Times New Roman" w:hAnsi="Times New Roman" w:cs="Times New Roman"/>
          <w:b/>
          <w:bCs/>
        </w:rPr>
        <w:t>On-Time Delivery</w:t>
      </w:r>
      <w:r>
        <w:rPr>
          <w:rFonts w:hint="default" w:ascii="Times New Roman" w:hAnsi="Times New Roman" w:cs="Times New Roman"/>
        </w:rPr>
        <w:t xml:space="preserve"> rate, staffing models should be transitioned to a dynamic schedule. Kitchen and courier capacity must be at </w:t>
      </w:r>
      <w:r>
        <w:rPr>
          <w:rFonts w:hint="default" w:ascii="Times New Roman" w:hAnsi="Times New Roman" w:cs="Times New Roman"/>
          <w:b/>
          <w:bCs/>
        </w:rPr>
        <w:t>100%</w:t>
      </w:r>
      <w:r>
        <w:rPr>
          <w:rFonts w:hint="default" w:ascii="Times New Roman" w:hAnsi="Times New Roman" w:cs="Times New Roman"/>
        </w:rPr>
        <w:t xml:space="preserve"> specifically during the 12-1 PM lunch surge and throughout the Friday peak to prevent bottlenecks and ensure service quality.</w:t>
      </w:r>
    </w:p>
    <w:p w14:paraId="67A3783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Precision Inventory Management</w:t>
      </w:r>
      <w:r>
        <w:rPr>
          <w:rFonts w:hint="default" w:ascii="Times New Roman" w:hAnsi="Times New Roman" w:cs="Times New Roman"/>
        </w:rPr>
        <w:t xml:space="preserve">: The business should adopt a </w:t>
      </w:r>
      <w:r>
        <w:rPr>
          <w:rFonts w:hint="default" w:ascii="Times New Roman" w:hAnsi="Times New Roman" w:cs="Times New Roman"/>
          <w:b/>
          <w:bCs/>
        </w:rPr>
        <w:t>"Just-In-Time" (JIT)</w:t>
      </w:r>
      <w:r>
        <w:rPr>
          <w:rFonts w:hint="default" w:ascii="Times New Roman" w:hAnsi="Times New Roman" w:cs="Times New Roman"/>
        </w:rPr>
        <w:t xml:space="preserve"> inventory strategy focused specifically on the </w:t>
      </w:r>
      <w:r>
        <w:rPr>
          <w:rFonts w:hint="default" w:ascii="Times New Roman" w:hAnsi="Times New Roman" w:cs="Times New Roman"/>
          <w:b/>
          <w:bCs/>
        </w:rPr>
        <w:t>Top 10 revenue-generating pizzas</w:t>
      </w:r>
      <w:r>
        <w:rPr>
          <w:rFonts w:hint="default" w:ascii="Times New Roman" w:hAnsi="Times New Roman" w:cs="Times New Roman"/>
        </w:rPr>
        <w:t xml:space="preserve">. By prioritizing the supply chain for these high-margin items, the restaurant can secure </w:t>
      </w:r>
      <w:r>
        <w:rPr>
          <w:rFonts w:hint="default" w:ascii="Times New Roman" w:hAnsi="Times New Roman" w:cs="Times New Roman"/>
          <w:b/>
          <w:bCs/>
        </w:rPr>
        <w:t>80% of its revenue</w:t>
      </w:r>
      <w:r>
        <w:rPr>
          <w:rFonts w:hint="default" w:ascii="Times New Roman" w:hAnsi="Times New Roman" w:cs="Times New Roman"/>
        </w:rPr>
        <w:t xml:space="preserve"> while minimizing waste on slower-moving ingredients.</w:t>
      </w:r>
    </w:p>
    <w:p w14:paraId="7240551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Targeted Marketing Initiatives</w:t>
      </w:r>
      <w:r>
        <w:rPr>
          <w:rFonts w:hint="default" w:ascii="Times New Roman" w:hAnsi="Times New Roman" w:cs="Times New Roman"/>
        </w:rPr>
        <w:t>:</w:t>
      </w:r>
    </w:p>
    <w:p w14:paraId="743AB3D8">
      <w:pPr>
        <w:pStyle w:val="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Group Value Engineering</w:t>
      </w:r>
      <w:r>
        <w:rPr>
          <w:rFonts w:hint="default" w:ascii="Times New Roman" w:hAnsi="Times New Roman" w:cs="Times New Roman"/>
        </w:rPr>
        <w:t xml:space="preserve">: Incentivize the dominant "Small Group" segment by developing </w:t>
      </w:r>
      <w:r>
        <w:rPr>
          <w:rFonts w:hint="default" w:ascii="Times New Roman" w:hAnsi="Times New Roman" w:cs="Times New Roman"/>
          <w:b/>
          <w:bCs/>
        </w:rPr>
        <w:t>"Family &amp; Friend Combo Deals"</w:t>
      </w:r>
      <w:r>
        <w:rPr>
          <w:rFonts w:hint="default" w:ascii="Times New Roman" w:hAnsi="Times New Roman" w:cs="Times New Roman"/>
        </w:rPr>
        <w:t xml:space="preserve">. This strategy aims to leverage existing social habits to further increase the </w:t>
      </w:r>
      <w:r>
        <w:rPr>
          <w:rFonts w:hint="default" w:ascii="Times New Roman" w:hAnsi="Times New Roman" w:cs="Times New Roman"/>
          <w:b/>
          <w:bCs/>
        </w:rPr>
        <w:t>Average Order Value (AOV)</w:t>
      </w:r>
      <w:r>
        <w:rPr>
          <w:rFonts w:hint="default" w:ascii="Times New Roman" w:hAnsi="Times New Roman" w:cs="Times New Roman"/>
        </w:rPr>
        <w:t xml:space="preserve"> beyond the current </w:t>
      </w:r>
      <w:r>
        <w:rPr>
          <w:rFonts w:hint="default" w:ascii="Times New Roman" w:hAnsi="Times New Roman" w:cs="Times New Roman"/>
          <w:b/>
          <w:bCs/>
        </w:rPr>
        <w:t>$38.31</w:t>
      </w:r>
      <w:r>
        <w:rPr>
          <w:rFonts w:hint="default" w:ascii="Times New Roman" w:hAnsi="Times New Roman" w:cs="Times New Roman"/>
        </w:rPr>
        <w:t>.</w:t>
      </w:r>
    </w:p>
    <w:p w14:paraId="1443C221">
      <w:pPr>
        <w:pStyle w:val="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Low-Demand Period Stimulation</w:t>
      </w:r>
      <w:r>
        <w:rPr>
          <w:rFonts w:hint="default" w:ascii="Times New Roman" w:hAnsi="Times New Roman" w:cs="Times New Roman"/>
        </w:rPr>
        <w:t xml:space="preserve">: To address the Sunday slump, the brand should introduce </w:t>
      </w:r>
      <w:r>
        <w:rPr>
          <w:rFonts w:hint="default" w:ascii="Times New Roman" w:hAnsi="Times New Roman" w:cs="Times New Roman"/>
          <w:b/>
          <w:bCs/>
        </w:rPr>
        <w:t>"Sunday Classic Specials"</w:t>
      </w:r>
      <w:r>
        <w:rPr>
          <w:rFonts w:hint="default" w:ascii="Times New Roman" w:hAnsi="Times New Roman" w:cs="Times New Roman"/>
        </w:rPr>
        <w:t>. Utilizing the high popularity of the Classic category can bridge the revenue gap on quieter days without significantly increasing operational complexity.</w:t>
      </w:r>
    </w:p>
    <w:p w14:paraId="69549FD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Strategic Upselling (Size Migration)</w:t>
      </w:r>
      <w:r>
        <w:rPr>
          <w:rFonts w:hint="default" w:ascii="Times New Roman" w:hAnsi="Times New Roman" w:cs="Times New Roman"/>
        </w:rPr>
        <w:t xml:space="preserve">: With </w:t>
      </w:r>
      <w:r>
        <w:rPr>
          <w:rFonts w:hint="default" w:ascii="Times New Roman" w:hAnsi="Times New Roman" w:cs="Times New Roman"/>
          <w:b/>
          <w:bCs/>
        </w:rPr>
        <w:t>Large (L) size pizzas</w:t>
      </w:r>
      <w:r>
        <w:rPr>
          <w:rFonts w:hint="default" w:ascii="Times New Roman" w:hAnsi="Times New Roman" w:cs="Times New Roman"/>
        </w:rPr>
        <w:t xml:space="preserve"> already dominating nearly </w:t>
      </w:r>
      <w:r>
        <w:rPr>
          <w:rFonts w:hint="default" w:ascii="Times New Roman" w:hAnsi="Times New Roman" w:cs="Times New Roman"/>
          <w:b/>
          <w:bCs/>
        </w:rPr>
        <w:t>46% of total sales</w:t>
      </w:r>
      <w:r>
        <w:rPr>
          <w:rFonts w:hint="default" w:ascii="Times New Roman" w:hAnsi="Times New Roman" w:cs="Times New Roman"/>
        </w:rPr>
        <w:t xml:space="preserve">, there is a proven market appetite for bigger portions. Marketing efforts should focus on a </w:t>
      </w:r>
      <w:r>
        <w:rPr>
          <w:rFonts w:hint="default" w:ascii="Times New Roman" w:hAnsi="Times New Roman" w:cs="Times New Roman"/>
          <w:b/>
          <w:bCs/>
        </w:rPr>
        <w:t>"Size Upgrade"</w:t>
      </w:r>
      <w:r>
        <w:rPr>
          <w:rFonts w:hint="default" w:ascii="Times New Roman" w:hAnsi="Times New Roman" w:cs="Times New Roman"/>
        </w:rPr>
        <w:t xml:space="preserve"> promotion, nudging customers from Small or Medium sizes toward Large options to maximize the margin per transaction.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271992"/>
    <w:rsid w:val="1A27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2025-12-30T07:53:00Z</dcterms:created>
  <dc:creator>Việt Hưng Trương</dc:creator>
  <cp:lastModifiedBy>Việt Hưng Trương</cp:lastModifiedBy>
  <dcterms:modified xsi:type="dcterms:W3CDTF">2025-12-30T07:55:20Z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8DFBD5E2E581475CA4DBAB3D0717F3CA_11</vt:lpwstr>
  </property>
</Properties>
</file>